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As filed with the Securities and Exchange Commission on April 24, 2017.</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Act Registration No. 333-216852</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Investment Company Act of 1940 File No.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58420</wp:posOffset>
            </wp:positionV>
            <wp:extent cx="6955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84455</wp:posOffset>
            </wp:positionV>
            <wp:extent cx="6955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9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153035</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8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255270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 w:lineRule="exact"/>
        <w:rPr>
          <w:sz w:val="24"/>
          <w:szCs w:val="24"/>
          <w:color w:val="auto"/>
        </w:rPr>
      </w:pPr>
    </w:p>
    <w:p>
      <w:pPr>
        <w:ind w:left="5020"/>
        <w:spacing w:after="0" w:line="207" w:lineRule="exact"/>
        <w:tabs>
          <w:tab w:leader="none" w:pos="7260" w:val="left"/>
        </w:tabs>
        <w:rPr>
          <w:sz w:val="20"/>
          <w:szCs w:val="20"/>
          <w:color w:val="auto"/>
        </w:rPr>
      </w:pPr>
      <w:r>
        <w:rPr>
          <w:rFonts w:ascii="Arial" w:cs="Arial" w:eastAsia="Arial" w:hAnsi="Arial"/>
          <w:sz w:val="18"/>
          <w:szCs w:val="18"/>
          <w:b w:val="1"/>
          <w:bCs w:val="1"/>
          <w:color w:val="auto"/>
        </w:rPr>
        <w:t>Post-Effective Amendment</w:t>
      </w:r>
      <w:r>
        <w:rPr>
          <w:sz w:val="20"/>
          <w:szCs w:val="20"/>
          <w:color w:val="auto"/>
        </w:rPr>
        <w:tab/>
      </w:r>
      <w:r>
        <w:rPr>
          <w:rFonts w:ascii="MS PGothic" w:cs="MS PGothic" w:eastAsia="MS PGothic" w:hAnsi="MS PGothic"/>
          <w:sz w:val="16"/>
          <w:szCs w:val="16"/>
          <w:color w:val="auto"/>
        </w:rPr>
        <w:t>☐</w:t>
      </w:r>
    </w:p>
    <w:p>
      <w:pPr>
        <w:spacing w:after="0" w:line="17" w:lineRule="exact"/>
        <w:rPr>
          <w:sz w:val="24"/>
          <w:szCs w:val="24"/>
          <w:color w:val="auto"/>
        </w:rPr>
      </w:pPr>
    </w:p>
    <w:p>
      <w:pPr>
        <w:ind w:left="4700"/>
        <w:spacing w:after="0" w:line="207" w:lineRule="exact"/>
        <w:tabs>
          <w:tab w:leader="none" w:pos="7260" w:val="left"/>
        </w:tabs>
        <w:rPr>
          <w:sz w:val="20"/>
          <w:szCs w:val="20"/>
          <w:color w:val="auto"/>
        </w:rPr>
      </w:pPr>
      <w:r>
        <w:rPr>
          <w:rFonts w:ascii="Arial" w:cs="Arial" w:eastAsia="Arial" w:hAnsi="Arial"/>
          <w:sz w:val="18"/>
          <w:szCs w:val="18"/>
          <w:b w:val="1"/>
          <w:bCs w:val="1"/>
          <w:color w:val="auto"/>
        </w:rPr>
        <w:t>Pre-Effective Amendment No. 1</w:t>
      </w:r>
      <w:r>
        <w:rPr>
          <w:sz w:val="20"/>
          <w:szCs w:val="20"/>
          <w:color w:val="auto"/>
        </w:rPr>
        <w:tab/>
      </w:r>
      <w:r>
        <w:rPr>
          <w:rFonts w:ascii="MS PGothic" w:cs="MS PGothic" w:eastAsia="MS PGothic" w:hAnsi="MS PGothic"/>
          <w:sz w:val="16"/>
          <w:szCs w:val="16"/>
          <w:color w:val="auto"/>
        </w:rPr>
        <w:t>☒</w:t>
      </w:r>
    </w:p>
    <w:p>
      <w:pPr>
        <w:spacing w:after="0" w:line="205"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PennantPark Investment Corporation</w:t>
      </w:r>
    </w:p>
    <w:p>
      <w:pPr>
        <w:spacing w:after="0" w:line="4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139700</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8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590 Madison Avenue</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7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(212) 905-1000</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7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Arthur H. Penn</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 PennantPark Investment Corporation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590 Madison Avenue</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153035</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04"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i w:val="1"/>
          <w:iCs w:val="1"/>
          <w:color w:val="auto"/>
        </w:rPr>
        <w:t>Copies to:</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Thomas Friedmann</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David Harris</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William Tuttle</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Dechert LLP</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1900 K Street, N.W.</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20006-1110</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APPROXIMATE DATE OF PROPOSED PUBLIC OFFERING:</w:t>
      </w:r>
    </w:p>
    <w:p>
      <w:pPr>
        <w:spacing w:after="0" w:line="5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152400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9" w:lineRule="exact"/>
        <w:rPr>
          <w:sz w:val="24"/>
          <w:szCs w:val="24"/>
          <w:color w:val="auto"/>
        </w:rPr>
      </w:pPr>
    </w:p>
    <w:p>
      <w:pPr>
        <w:ind w:firstLine="571"/>
        <w:spacing w:after="0" w:line="229" w:lineRule="exact"/>
        <w:rPr>
          <w:sz w:val="20"/>
          <w:szCs w:val="20"/>
          <w:color w:val="auto"/>
        </w:rPr>
      </w:pPr>
      <w:r>
        <w:rPr>
          <w:rFonts w:ascii="Arial" w:cs="Arial" w:eastAsia="Arial" w:hAnsi="Arial"/>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29" w:lineRule="exact"/>
        <w:rPr>
          <w:sz w:val="24"/>
          <w:szCs w:val="24"/>
          <w:color w:val="auto"/>
        </w:rPr>
      </w:pPr>
    </w:p>
    <w:p>
      <w:pPr>
        <w:ind w:left="580"/>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63" w:lineRule="exact"/>
        <w:rPr>
          <w:sz w:val="24"/>
          <w:szCs w:val="24"/>
          <w:color w:val="auto"/>
        </w:rPr>
      </w:pPr>
    </w:p>
    <w:p>
      <w:pPr>
        <w:ind w:left="780" w:hanging="201"/>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CALCULATION OF REGISTRATION FEE UNDER THE SECURITIES ACT OF 1933</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4400" w:type="dxa"/>
            <w:vAlign w:val="bottom"/>
            <w:tcBorders>
              <w:top w:val="single" w:sz="8" w:color="auto"/>
              <w:left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144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Proposed Maximum</w:t>
            </w:r>
          </w:p>
        </w:tc>
        <w:tc>
          <w:tcPr>
            <w:tcW w:w="140" w:type="dxa"/>
            <w:vAlign w:val="bottom"/>
            <w:tcBorders>
              <w:top w:val="single" w:sz="8" w:color="auto"/>
            </w:tcBorders>
          </w:tcPr>
          <w:p>
            <w:pPr>
              <w:spacing w:after="0"/>
              <w:rPr>
                <w:sz w:val="12"/>
                <w:szCs w:val="12"/>
                <w:color w:val="auto"/>
              </w:rPr>
            </w:pPr>
          </w:p>
        </w:tc>
        <w:tc>
          <w:tcPr>
            <w:tcW w:w="1680" w:type="dxa"/>
            <w:vAlign w:val="bottom"/>
            <w:tcBorders>
              <w:top w:val="single" w:sz="8" w:color="auto"/>
              <w:right w:val="single" w:sz="8" w:color="auto"/>
            </w:tcBorders>
          </w:tcPr>
          <w:p>
            <w:pPr>
              <w:jc w:val="center"/>
              <w:ind w:right="437"/>
              <w:spacing w:after="0" w:line="149" w:lineRule="exact"/>
              <w:rPr>
                <w:sz w:val="20"/>
                <w:szCs w:val="20"/>
                <w:color w:val="auto"/>
              </w:rPr>
            </w:pPr>
            <w:r>
              <w:rPr>
                <w:rFonts w:ascii="Arial" w:cs="Arial" w:eastAsia="Arial" w:hAnsi="Arial"/>
                <w:sz w:val="14"/>
                <w:szCs w:val="14"/>
                <w:b w:val="1"/>
                <w:bCs w:val="1"/>
                <w:color w:val="auto"/>
                <w:w w:val="88"/>
              </w:rPr>
              <w:t>Proposed Maximum</w:t>
            </w:r>
          </w:p>
        </w:tc>
        <w:tc>
          <w:tcPr>
            <w:tcW w:w="140" w:type="dxa"/>
            <w:vAlign w:val="bottom"/>
            <w:tcBorders>
              <w:top w:val="single" w:sz="8" w:color="auto"/>
            </w:tcBorders>
          </w:tcPr>
          <w:p>
            <w:pPr>
              <w:spacing w:after="0"/>
              <w:rPr>
                <w:sz w:val="12"/>
                <w:szCs w:val="12"/>
                <w:color w:val="auto"/>
              </w:rPr>
            </w:pPr>
          </w:p>
        </w:tc>
        <w:tc>
          <w:tcPr>
            <w:tcW w:w="1620" w:type="dxa"/>
            <w:vAlign w:val="bottom"/>
            <w:tcBorders>
              <w:top w:val="single" w:sz="8" w:color="auto"/>
              <w:right w:val="single" w:sz="8" w:color="auto"/>
            </w:tcBorders>
          </w:tcPr>
          <w:p>
            <w:pPr>
              <w:spacing w:after="0"/>
              <w:rPr>
                <w:sz w:val="12"/>
                <w:szCs w:val="12"/>
                <w:color w:val="auto"/>
              </w:rPr>
            </w:pPr>
          </w:p>
        </w:tc>
      </w:tr>
      <w:tr>
        <w:trPr>
          <w:trHeight w:val="148"/>
        </w:trPr>
        <w:tc>
          <w:tcPr>
            <w:tcW w:w="4400" w:type="dxa"/>
            <w:vAlign w:val="bottom"/>
            <w:tcBorders>
              <w:left w:val="single" w:sz="8" w:color="auto"/>
              <w:right w:val="single" w:sz="8" w:color="auto"/>
            </w:tcBorders>
          </w:tcPr>
          <w:p>
            <w:pPr>
              <w:spacing w:after="0"/>
              <w:rPr>
                <w:sz w:val="12"/>
                <w:szCs w:val="12"/>
                <w:color w:val="auto"/>
              </w:rPr>
            </w:pPr>
          </w:p>
        </w:tc>
        <w:tc>
          <w:tcPr>
            <w:tcW w:w="1100" w:type="dxa"/>
            <w:vAlign w:val="bottom"/>
            <w:tcBorders>
              <w:right w:val="single" w:sz="8" w:color="auto"/>
            </w:tcBorders>
          </w:tcPr>
          <w:p>
            <w:pPr>
              <w:jc w:val="right"/>
              <w:ind w:right="72"/>
              <w:spacing w:after="0" w:line="148" w:lineRule="exact"/>
              <w:rPr>
                <w:sz w:val="20"/>
                <w:szCs w:val="20"/>
                <w:color w:val="auto"/>
              </w:rPr>
            </w:pPr>
            <w:r>
              <w:rPr>
                <w:rFonts w:ascii="Arial" w:cs="Arial" w:eastAsia="Arial" w:hAnsi="Arial"/>
                <w:sz w:val="14"/>
                <w:szCs w:val="14"/>
                <w:b w:val="1"/>
                <w:bCs w:val="1"/>
                <w:color w:val="auto"/>
                <w:w w:val="98"/>
              </w:rPr>
              <w:t>Amount Being</w:t>
            </w:r>
          </w:p>
        </w:tc>
        <w:tc>
          <w:tcPr>
            <w:tcW w:w="144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Offering Price</w:t>
            </w:r>
          </w:p>
        </w:tc>
        <w:tc>
          <w:tcPr>
            <w:tcW w:w="140" w:type="dxa"/>
            <w:vAlign w:val="bottom"/>
          </w:tcPr>
          <w:p>
            <w:pPr>
              <w:spacing w:after="0"/>
              <w:rPr>
                <w:sz w:val="12"/>
                <w:szCs w:val="12"/>
                <w:color w:val="auto"/>
              </w:rPr>
            </w:pPr>
          </w:p>
        </w:tc>
        <w:tc>
          <w:tcPr>
            <w:tcW w:w="1680" w:type="dxa"/>
            <w:vAlign w:val="bottom"/>
            <w:tcBorders>
              <w:right w:val="single" w:sz="8" w:color="auto"/>
            </w:tcBorders>
          </w:tcPr>
          <w:p>
            <w:pPr>
              <w:jc w:val="center"/>
              <w:ind w:right="437"/>
              <w:spacing w:after="0" w:line="148" w:lineRule="exact"/>
              <w:rPr>
                <w:sz w:val="20"/>
                <w:szCs w:val="20"/>
                <w:color w:val="auto"/>
              </w:rPr>
            </w:pPr>
            <w:r>
              <w:rPr>
                <w:rFonts w:ascii="Arial" w:cs="Arial" w:eastAsia="Arial" w:hAnsi="Arial"/>
                <w:sz w:val="14"/>
                <w:szCs w:val="14"/>
                <w:b w:val="1"/>
                <w:bCs w:val="1"/>
                <w:color w:val="auto"/>
                <w:w w:val="83"/>
              </w:rPr>
              <w:t>Aggregate</w:t>
            </w:r>
          </w:p>
        </w:tc>
        <w:tc>
          <w:tcPr>
            <w:tcW w:w="140" w:type="dxa"/>
            <w:vAlign w:val="bottom"/>
          </w:tcPr>
          <w:p>
            <w:pPr>
              <w:spacing w:after="0"/>
              <w:rPr>
                <w:sz w:val="12"/>
                <w:szCs w:val="12"/>
                <w:color w:val="auto"/>
              </w:rPr>
            </w:pPr>
          </w:p>
        </w:tc>
        <w:tc>
          <w:tcPr>
            <w:tcW w:w="1620" w:type="dxa"/>
            <w:vAlign w:val="bottom"/>
            <w:tcBorders>
              <w:right w:val="single" w:sz="8" w:color="auto"/>
            </w:tcBorders>
          </w:tcPr>
          <w:p>
            <w:pPr>
              <w:jc w:val="center"/>
              <w:ind w:right="499"/>
              <w:spacing w:after="0" w:line="148" w:lineRule="exact"/>
              <w:rPr>
                <w:sz w:val="20"/>
                <w:szCs w:val="20"/>
                <w:color w:val="auto"/>
              </w:rPr>
            </w:pPr>
            <w:r>
              <w:rPr>
                <w:rFonts w:ascii="Arial" w:cs="Arial" w:eastAsia="Arial" w:hAnsi="Arial"/>
                <w:sz w:val="14"/>
                <w:szCs w:val="14"/>
                <w:b w:val="1"/>
                <w:bCs w:val="1"/>
                <w:color w:val="auto"/>
                <w:w w:val="88"/>
              </w:rPr>
              <w:t>Amount of</w:t>
            </w:r>
          </w:p>
        </w:tc>
      </w:tr>
      <w:tr>
        <w:trPr>
          <w:trHeight w:val="176"/>
        </w:trPr>
        <w:tc>
          <w:tcPr>
            <w:tcW w:w="4400" w:type="dxa"/>
            <w:vAlign w:val="bottom"/>
            <w:tcBorders>
              <w:left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4"/>
                <w:szCs w:val="14"/>
                <w:b w:val="1"/>
                <w:bCs w:val="1"/>
                <w:color w:val="auto"/>
              </w:rPr>
              <w:t>Title of Securities Being Registered</w:t>
            </w:r>
          </w:p>
        </w:tc>
        <w:tc>
          <w:tcPr>
            <w:tcW w:w="1100" w:type="dxa"/>
            <w:vAlign w:val="bottom"/>
            <w:tcBorders>
              <w:bottom w:val="single" w:sz="8" w:color="auto"/>
              <w:right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Registered</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 Unit</w:t>
            </w: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right w:val="single" w:sz="8" w:color="auto"/>
            </w:tcBorders>
          </w:tcPr>
          <w:p>
            <w:pPr>
              <w:jc w:val="center"/>
              <w:ind w:right="417"/>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jc w:val="center"/>
              <w:ind w:right="479"/>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(1)</w:t>
            </w:r>
          </w:p>
        </w:tc>
      </w:tr>
      <w:tr>
        <w:trPr>
          <w:trHeight w:val="223"/>
        </w:trPr>
        <w:tc>
          <w:tcPr>
            <w:tcW w:w="4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14"/>
                <w:szCs w:val="14"/>
                <w:color w:val="auto"/>
              </w:rPr>
              <w:t>Common Stock, $0.001 par value</w:t>
            </w:r>
            <w:r>
              <w:rPr>
                <w:rFonts w:ascii="Arial" w:cs="Arial" w:eastAsia="Arial" w:hAnsi="Arial"/>
                <w:sz w:val="22"/>
                <w:szCs w:val="22"/>
                <w:color w:val="auto"/>
                <w:vertAlign w:val="superscript"/>
              </w:rPr>
              <w:t>(2)</w:t>
            </w:r>
          </w:p>
        </w:tc>
        <w:tc>
          <w:tcPr>
            <w:tcW w:w="1100" w:type="dxa"/>
            <w:vAlign w:val="bottom"/>
            <w:tcBorders>
              <w:bottom w:val="single" w:sz="8" w:color="auto"/>
              <w:right w:val="single" w:sz="8" w:color="auto"/>
            </w:tcBorders>
          </w:tcPr>
          <w:p>
            <w:pPr>
              <w:jc w:val="right"/>
              <w:ind w:right="852"/>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right w:val="single" w:sz="8" w:color="auto"/>
            </w:tcBorders>
          </w:tcPr>
          <w:p>
            <w:pPr>
              <w:jc w:val="right"/>
              <w:ind w:right="1232"/>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tcPr>
          <w:p>
            <w:pPr>
              <w:spacing w:after="0"/>
              <w:rPr>
                <w:sz w:val="19"/>
                <w:szCs w:val="19"/>
                <w:color w:val="auto"/>
              </w:rPr>
            </w:pPr>
          </w:p>
        </w:tc>
      </w:tr>
      <w:tr>
        <w:trPr>
          <w:trHeight w:val="223"/>
        </w:trPr>
        <w:tc>
          <w:tcPr>
            <w:tcW w:w="4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14"/>
                <w:szCs w:val="14"/>
                <w:color w:val="auto"/>
              </w:rPr>
              <w:t>Preferred Stock, $0.001 par value</w:t>
            </w:r>
            <w:r>
              <w:rPr>
                <w:rFonts w:ascii="Arial" w:cs="Arial" w:eastAsia="Arial" w:hAnsi="Arial"/>
                <w:sz w:val="22"/>
                <w:szCs w:val="22"/>
                <w:color w:val="auto"/>
                <w:vertAlign w:val="superscript"/>
              </w:rPr>
              <w:t>(2)</w:t>
            </w:r>
          </w:p>
        </w:tc>
        <w:tc>
          <w:tcPr>
            <w:tcW w:w="110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r>
      <w:tr>
        <w:trPr>
          <w:trHeight w:val="223"/>
        </w:trPr>
        <w:tc>
          <w:tcPr>
            <w:tcW w:w="4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14"/>
                <w:szCs w:val="14"/>
                <w:color w:val="auto"/>
              </w:rPr>
              <w:t>Warrants</w:t>
            </w:r>
            <w:r>
              <w:rPr>
                <w:rFonts w:ascii="Arial" w:cs="Arial" w:eastAsia="Arial" w:hAnsi="Arial"/>
                <w:sz w:val="22"/>
                <w:szCs w:val="22"/>
                <w:color w:val="auto"/>
                <w:vertAlign w:val="superscript"/>
              </w:rPr>
              <w:t>(2)</w:t>
            </w:r>
          </w:p>
        </w:tc>
        <w:tc>
          <w:tcPr>
            <w:tcW w:w="110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r>
      <w:tr>
        <w:trPr>
          <w:trHeight w:val="223"/>
        </w:trPr>
        <w:tc>
          <w:tcPr>
            <w:tcW w:w="4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14"/>
                <w:szCs w:val="14"/>
                <w:color w:val="auto"/>
              </w:rPr>
              <w:t>Subscription Rights</w:t>
            </w:r>
            <w:r>
              <w:rPr>
                <w:rFonts w:ascii="Arial" w:cs="Arial" w:eastAsia="Arial" w:hAnsi="Arial"/>
                <w:sz w:val="22"/>
                <w:szCs w:val="22"/>
                <w:color w:val="auto"/>
                <w:vertAlign w:val="superscript"/>
              </w:rPr>
              <w:t>(3)</w:t>
            </w:r>
          </w:p>
        </w:tc>
        <w:tc>
          <w:tcPr>
            <w:tcW w:w="110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r>
      <w:tr>
        <w:trPr>
          <w:trHeight w:val="223"/>
        </w:trPr>
        <w:tc>
          <w:tcPr>
            <w:tcW w:w="4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14"/>
                <w:szCs w:val="14"/>
                <w:color w:val="auto"/>
              </w:rPr>
              <w:t>Debt Securities</w:t>
            </w:r>
            <w:r>
              <w:rPr>
                <w:rFonts w:ascii="Arial" w:cs="Arial" w:eastAsia="Arial" w:hAnsi="Arial"/>
                <w:sz w:val="22"/>
                <w:szCs w:val="22"/>
                <w:color w:val="auto"/>
                <w:vertAlign w:val="superscript"/>
              </w:rPr>
              <w:t>(4)</w:t>
            </w:r>
          </w:p>
        </w:tc>
        <w:tc>
          <w:tcPr>
            <w:tcW w:w="110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r>
      <w:tr>
        <w:trPr>
          <w:trHeight w:val="223"/>
        </w:trPr>
        <w:tc>
          <w:tcPr>
            <w:tcW w:w="4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14"/>
                <w:szCs w:val="14"/>
                <w:color w:val="auto"/>
              </w:rPr>
              <w:t>Units</w:t>
            </w:r>
            <w:r>
              <w:rPr>
                <w:rFonts w:ascii="Arial" w:cs="Arial" w:eastAsia="Arial" w:hAnsi="Arial"/>
                <w:sz w:val="22"/>
                <w:szCs w:val="22"/>
                <w:color w:val="auto"/>
                <w:vertAlign w:val="superscript"/>
              </w:rPr>
              <w:t>(5)</w:t>
            </w:r>
          </w:p>
        </w:tc>
        <w:tc>
          <w:tcPr>
            <w:tcW w:w="110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r>
      <w:tr>
        <w:trPr>
          <w:trHeight w:val="142"/>
        </w:trPr>
        <w:tc>
          <w:tcPr>
            <w:tcW w:w="44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Total</w:t>
            </w:r>
          </w:p>
        </w:tc>
        <w:tc>
          <w:tcPr>
            <w:tcW w:w="1100" w:type="dxa"/>
            <w:vAlign w:val="bottom"/>
            <w:tcBorders>
              <w:bottom w:val="single" w:sz="8" w:color="auto"/>
              <w:right w:val="single" w:sz="8" w:color="auto"/>
            </w:tcBorders>
          </w:tcPr>
          <w:p>
            <w:pPr>
              <w:jc w:val="right"/>
              <w:ind w:right="852"/>
              <w:spacing w:after="0" w:line="142"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uto"/>
              <w:right w:val="single" w:sz="8" w:color="auto"/>
            </w:tcBorders>
          </w:tcPr>
          <w:p>
            <w:pPr>
              <w:jc w:val="right"/>
              <w:ind w:right="1232"/>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right w:val="single" w:sz="8" w:color="auto"/>
            </w:tcBorders>
          </w:tcPr>
          <w:p>
            <w:pPr>
              <w:jc w:val="right"/>
              <w:ind w:right="237"/>
              <w:spacing w:after="0" w:line="142" w:lineRule="exact"/>
              <w:rPr>
                <w:sz w:val="20"/>
                <w:szCs w:val="20"/>
                <w:color w:val="auto"/>
              </w:rPr>
            </w:pPr>
            <w:r>
              <w:rPr>
                <w:rFonts w:ascii="Arial" w:cs="Arial" w:eastAsia="Arial" w:hAnsi="Arial"/>
                <w:sz w:val="11"/>
                <w:szCs w:val="11"/>
                <w:color w:val="auto"/>
              </w:rPr>
              <w:t>750,000,000</w:t>
            </w:r>
            <w:r>
              <w:rPr>
                <w:rFonts w:ascii="Arial" w:cs="Arial" w:eastAsia="Arial" w:hAnsi="Arial"/>
                <w:sz w:val="16"/>
                <w:szCs w:val="16"/>
                <w:color w:val="auto"/>
                <w:vertAlign w:val="superscript"/>
              </w:rPr>
              <w:t>(6)</w:t>
            </w: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tcPr>
          <w:p>
            <w:pPr>
              <w:jc w:val="right"/>
              <w:ind w:right="279"/>
              <w:spacing w:after="0" w:line="142" w:lineRule="exact"/>
              <w:rPr>
                <w:sz w:val="20"/>
                <w:szCs w:val="20"/>
                <w:color w:val="auto"/>
              </w:rPr>
            </w:pPr>
            <w:r>
              <w:rPr>
                <w:rFonts w:ascii="Arial" w:cs="Arial" w:eastAsia="Arial" w:hAnsi="Arial"/>
                <w:sz w:val="11"/>
                <w:szCs w:val="11"/>
                <w:color w:val="auto"/>
              </w:rPr>
              <w:t>86,925</w:t>
            </w:r>
            <w:r>
              <w:rPr>
                <w:rFonts w:ascii="Arial" w:cs="Arial" w:eastAsia="Arial" w:hAnsi="Arial"/>
                <w:sz w:val="16"/>
                <w:szCs w:val="16"/>
                <w:color w:val="auto"/>
                <w:vertAlign w:val="superscript"/>
              </w:rPr>
              <w:t>(7)</w:t>
            </w:r>
          </w:p>
        </w:tc>
      </w:tr>
    </w:tbl>
    <w:p>
      <w:pPr>
        <w:spacing w:after="0" w:line="70" w:lineRule="exact"/>
        <w:rPr>
          <w:sz w:val="20"/>
          <w:szCs w:val="20"/>
          <w:color w:val="auto"/>
        </w:rPr>
      </w:pPr>
    </w:p>
    <w:p>
      <w:pPr>
        <w:ind w:left="680" w:hanging="334"/>
        <w:spacing w:after="0" w:line="239" w:lineRule="auto"/>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57" w:lineRule="exact"/>
        <w:rPr>
          <w:rFonts w:ascii="Arial" w:cs="Arial" w:eastAsia="Arial" w:hAnsi="Arial"/>
          <w:sz w:val="14"/>
          <w:szCs w:val="14"/>
          <w:color w:val="auto"/>
        </w:rPr>
      </w:pPr>
    </w:p>
    <w:p>
      <w:pPr>
        <w:ind w:left="680" w:right="120" w:hanging="334"/>
        <w:spacing w:after="0" w:line="239" w:lineRule="auto"/>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Subject to Note 6 below, there is being registered hereunder an indeterminate number of shares of common stock, preferred stock, or warrants as may be sold, from time to time. Warrants represent rights to purchase common stock, preferred stock or debt securities.</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2"/>
        </w:numPr>
        <w:rPr>
          <w:rFonts w:ascii="Arial" w:cs="Arial" w:eastAsia="Arial" w:hAnsi="Arial"/>
          <w:sz w:val="12"/>
          <w:szCs w:val="12"/>
          <w:color w:val="auto"/>
        </w:rPr>
      </w:pPr>
      <w:r>
        <w:rPr>
          <w:rFonts w:ascii="Arial" w:cs="Arial" w:eastAsia="Arial" w:hAnsi="Arial"/>
          <w:sz w:val="12"/>
          <w:szCs w:val="12"/>
          <w:color w:val="auto"/>
        </w:rPr>
        <w:t>Subject to Note 6 below, there is being registered hereunder an indeterminate number of subscription rights as may be sold, from time to time, representing rights to purchase common stock.</w:t>
      </w:r>
    </w:p>
    <w:p>
      <w:pPr>
        <w:spacing w:after="0" w:line="91" w:lineRule="exact"/>
        <w:rPr>
          <w:rFonts w:ascii="Arial" w:cs="Arial" w:eastAsia="Arial" w:hAnsi="Arial"/>
          <w:sz w:val="12"/>
          <w:szCs w:val="12"/>
          <w:color w:val="auto"/>
        </w:rPr>
      </w:pPr>
    </w:p>
    <w:p>
      <w:pPr>
        <w:ind w:left="680" w:right="280" w:hanging="334"/>
        <w:spacing w:after="0" w:line="318" w:lineRule="auto"/>
        <w:tabs>
          <w:tab w:leader="none" w:pos="680" w:val="left"/>
        </w:tabs>
        <w:numPr>
          <w:ilvl w:val="0"/>
          <w:numId w:val="2"/>
        </w:numPr>
        <w:rPr>
          <w:rFonts w:ascii="Arial" w:cs="Arial" w:eastAsia="Arial" w:hAnsi="Arial"/>
          <w:sz w:val="12"/>
          <w:szCs w:val="12"/>
          <w:color w:val="auto"/>
        </w:rPr>
      </w:pPr>
      <w:r>
        <w:rPr>
          <w:rFonts w:ascii="Arial" w:cs="Arial" w:eastAsia="Arial" w:hAnsi="Arial"/>
          <w:sz w:val="12"/>
          <w:szCs w:val="12"/>
          <w:color w:val="auto"/>
        </w:rPr>
        <w:t>Subject to Note 6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$750,000,000.</w:t>
      </w:r>
    </w:p>
    <w:p>
      <w:pPr>
        <w:spacing w:after="0" w:line="12" w:lineRule="exact"/>
        <w:rPr>
          <w:rFonts w:ascii="Arial" w:cs="Arial" w:eastAsia="Arial" w:hAnsi="Arial"/>
          <w:sz w:val="12"/>
          <w:szCs w:val="12"/>
          <w:color w:val="auto"/>
        </w:rPr>
      </w:pPr>
    </w:p>
    <w:p>
      <w:pPr>
        <w:ind w:left="680" w:right="100" w:hanging="334"/>
        <w:spacing w:after="0" w:line="239" w:lineRule="auto"/>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Subject to Note 6 below, there is being registered hereunder an indeterminate principal amount of units. Each unit may consist of a combination of any one or more of the securities being registered hereunder and may also include securities issued by the U.S. Treasury.</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exceed $750,000,000.</w:t>
      </w:r>
    </w:p>
    <w:p>
      <w:pPr>
        <w:spacing w:after="0" w:line="68" w:lineRule="exact"/>
        <w:rPr>
          <w:rFonts w:ascii="Arial" w:cs="Arial" w:eastAsia="Arial" w:hAnsi="Arial"/>
          <w:sz w:val="14"/>
          <w:szCs w:val="14"/>
          <w:color w:val="auto"/>
        </w:rPr>
      </w:pPr>
    </w:p>
    <w:p>
      <w:pPr>
        <w:ind w:left="680" w:hanging="334"/>
        <w:spacing w:after="0"/>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67" w:lineRule="exact"/>
        <w:rPr>
          <w:sz w:val="20"/>
          <w:szCs w:val="20"/>
          <w:color w:val="auto"/>
        </w:rPr>
      </w:pPr>
    </w:p>
    <w:p>
      <w:pPr>
        <w:ind w:right="340" w:firstLine="342"/>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dates as the Securities and Exchange Commission, acting pursuant to said Section 8(a), may determine.</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and sale is not permitted.</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62865</wp:posOffset>
            </wp:positionV>
            <wp:extent cx="1766570"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6657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Rights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42" w:lineRule="exact"/>
        <w:rPr>
          <w:sz w:val="20"/>
          <w:szCs w:val="20"/>
          <w:color w:val="auto"/>
        </w:rPr>
      </w:pPr>
    </w:p>
    <w:p>
      <w:pPr>
        <w:ind w:right="40" w:firstLine="571"/>
        <w:spacing w:after="0" w:line="268" w:lineRule="auto"/>
        <w:rPr>
          <w:sz w:val="20"/>
          <w:szCs w:val="20"/>
          <w:color w:val="auto"/>
        </w:rPr>
      </w:pPr>
      <w:r>
        <w:rPr>
          <w:rFonts w:ascii="Arial" w:cs="Arial" w:eastAsia="Arial" w:hAnsi="Arial"/>
          <w:sz w:val="18"/>
          <w:szCs w:val="18"/>
          <w:color w:val="auto"/>
        </w:rPr>
        <w:t>PennantPark Investment Corporation is a closed-end, externally managed, non-diversified investment company that has elected to be treated as a business development company under the Investment Company Act of 1940, as amended.</w:t>
      </w:r>
    </w:p>
    <w:p>
      <w:pPr>
        <w:spacing w:after="0" w:line="51" w:lineRule="exact"/>
        <w:rPr>
          <w:sz w:val="20"/>
          <w:szCs w:val="20"/>
          <w:color w:val="auto"/>
        </w:rPr>
      </w:pPr>
    </w:p>
    <w:p>
      <w:pPr>
        <w:ind w:right="580" w:firstLine="571"/>
        <w:spacing w:after="0" w:line="259" w:lineRule="auto"/>
        <w:rPr>
          <w:sz w:val="20"/>
          <w:szCs w:val="20"/>
          <w:color w:val="auto"/>
        </w:rPr>
      </w:pPr>
      <w:r>
        <w:rPr>
          <w:rFonts w:ascii="Arial" w:cs="Arial" w:eastAsia="Arial" w:hAnsi="Arial"/>
          <w:sz w:val="18"/>
          <w:szCs w:val="18"/>
          <w:color w:val="auto"/>
        </w:rPr>
        <w:t>Our investment objectives are to generate both current income and capital appreciation while seeking to preserve capital through debt and equity investments primarily made to U.S. middle-market companies in the form of senior secured debt, mezzanine debt and equity investments. We can offer no assurances that we will achieve our investment objectives.</w:t>
      </w:r>
    </w:p>
    <w:p>
      <w:pPr>
        <w:spacing w:after="0" w:line="59" w:lineRule="exact"/>
        <w:rPr>
          <w:sz w:val="20"/>
          <w:szCs w:val="20"/>
          <w:color w:val="auto"/>
        </w:rPr>
      </w:pPr>
    </w:p>
    <w:p>
      <w:pPr>
        <w:ind w:right="720" w:firstLine="571"/>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We may offer, from time to time, in one or more offerings or series, together or separately, up to $750,000,000 of our common stock, preferred stock, warrants representing rights to purchase shares of our common stock, preferred stock or debt securities, subscription rights, debt securities, or units, which we refer to, collectively, as the “securities.”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8 and “Sales of Common Stock Below Net Asset Value” on page 49 of this prospectus for more information.</w:t>
      </w:r>
    </w:p>
    <w:p>
      <w:pPr>
        <w:spacing w:after="0" w:line="42"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Our common stock has been approved for quotation on the NASDAQ Global Select Market under the symbol “PNNT.” The last reported closing price for our common stock on April 20, 2017 was $7.81 per share, and our net asset value on December 31, 2016 was $9.11 per share. Our 6.25% notes due 2025, or the 2025 Notes, have been approved for quotation on the New York Stock Exchange, or NYSE, under the symbol “PNTA.” The last reported closing price of the 2025 Notes on April 20, 2017 was $25.235 per $25 of par.</w:t>
      </w:r>
    </w:p>
    <w:p>
      <w:pPr>
        <w:spacing w:after="0" w:line="62"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0" w:lineRule="exact"/>
        <w:rPr>
          <w:sz w:val="20"/>
          <w:szCs w:val="20"/>
          <w:color w:val="auto"/>
        </w:rPr>
      </w:pPr>
    </w:p>
    <w:p>
      <w:pPr>
        <w:ind w:right="60" w:firstLine="571"/>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13">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8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ind w:right="100" w:firstLine="571"/>
        <w:spacing w:after="0" w:line="275"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90" w:lineRule="exact"/>
        <w:rPr>
          <w:sz w:val="20"/>
          <w:szCs w:val="20"/>
          <w:color w:val="auto"/>
        </w:rPr>
      </w:pPr>
    </w:p>
    <w:tbl>
      <w:tblPr>
        <w:tblLayout w:type="fixed"/>
        <w:tblInd w:w="4400" w:type="dxa"/>
        <w:tblCellMar>
          <w:top w:w="0" w:type="dxa"/>
          <w:left w:w="0" w:type="dxa"/>
          <w:bottom w:w="0" w:type="dxa"/>
          <w:right w:w="0" w:type="dxa"/>
        </w:tblCellMar>
      </w:tblPr>
      <w:tr>
        <w:trPr>
          <w:trHeight w:val="228"/>
        </w:trPr>
        <w:tc>
          <w:tcPr>
            <w:tcW w:w="1740" w:type="dxa"/>
            <w:vAlign w:val="bottom"/>
          </w:tcPr>
          <w:p>
            <w:pPr>
              <w:spacing w:after="0"/>
              <w:rPr>
                <w:sz w:val="20"/>
                <w:szCs w:val="20"/>
                <w:color w:val="auto"/>
              </w:rPr>
            </w:pPr>
            <w:r>
              <w:rPr>
                <w:rFonts w:ascii="Arial" w:cs="Arial" w:eastAsia="Arial" w:hAnsi="Arial"/>
                <w:sz w:val="18"/>
                <w:szCs w:val="18"/>
                <w:b w:val="1"/>
                <w:bCs w:val="1"/>
                <w:color w:val="auto"/>
              </w:rPr>
              <w:t>Prospectus dated</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 2017</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60" w:type="dxa"/>
            <w:vAlign w:val="bottom"/>
            <w:gridSpan w:val="4"/>
          </w:tcPr>
          <w:p>
            <w:pPr>
              <w:jc w:val="center"/>
              <w:ind w:right="4140"/>
              <w:spacing w:after="0"/>
              <w:rPr>
                <w:sz w:val="20"/>
                <w:szCs w:val="20"/>
                <w:color w:val="auto"/>
              </w:rPr>
            </w:pPr>
            <w:r>
              <w:rPr>
                <w:rFonts w:ascii="Arial" w:cs="Arial" w:eastAsia="Arial" w:hAnsi="Arial"/>
                <w:sz w:val="18"/>
                <w:szCs w:val="18"/>
                <w:b w:val="1"/>
                <w:bCs w:val="1"/>
                <w:color w:val="auto"/>
                <w:w w:val="96"/>
              </w:rPr>
              <w:t>TABLE OF CONTENTS</w:t>
            </w:r>
          </w:p>
        </w:tc>
        <w:tc>
          <w:tcPr>
            <w:tcW w:w="540" w:type="dxa"/>
            <w:vAlign w:val="bottom"/>
          </w:tcPr>
          <w:p>
            <w:pPr>
              <w:spacing w:after="0"/>
              <w:rPr>
                <w:sz w:val="19"/>
                <w:szCs w:val="19"/>
                <w:color w:val="auto"/>
              </w:rPr>
            </w:pPr>
          </w:p>
        </w:tc>
      </w:tr>
      <w:tr>
        <w:trPr>
          <w:trHeight w:val="353"/>
        </w:trPr>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23"/>
        </w:trPr>
        <w:tc>
          <w:tcPr>
            <w:tcW w:w="10820" w:type="dxa"/>
            <w:vAlign w:val="bottom"/>
            <w:gridSpan w:val="3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17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2"/>
          </w:tcPr>
          <w:p>
            <w:pPr>
              <w:spacing w:after="0"/>
              <w:rPr>
                <w:sz w:val="22"/>
                <w:szCs w:val="22"/>
                <w:color w:val="auto"/>
              </w:rPr>
            </w:pPr>
          </w:p>
        </w:tc>
        <w:tc>
          <w:tcPr>
            <w:tcW w:w="8780" w:type="dxa"/>
            <w:vAlign w:val="bottom"/>
            <w:gridSpan w:val="2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10820" w:type="dxa"/>
            <w:vAlign w:val="bottom"/>
            <w:gridSpan w:val="34"/>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820" w:type="dxa"/>
            <w:vAlign w:val="bottom"/>
            <w:gridSpan w:val="3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FORWARD-LOOKING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4"/>
        </w:trPr>
        <w:tc>
          <w:tcPr>
            <w:tcW w:w="2860" w:type="dxa"/>
            <w:vAlign w:val="bottom"/>
            <w:tcBorders>
              <w:top w:val="single" w:sz="8" w:color="0000EE"/>
            </w:tcBorders>
            <w:gridSpan w:val="1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USE OF PROCEEDS</w:t>
              </w:r>
            </w:hyperlink>
          </w:p>
        </w:tc>
        <w:tc>
          <w:tcPr>
            <w:tcW w:w="7960" w:type="dxa"/>
            <w:vAlign w:val="bottom"/>
            <w:gridSpan w:val="18"/>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238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SELECTED FINANCIAL DATA</w:t>
              </w:r>
            </w:hyperlink>
          </w:p>
        </w:tc>
        <w:tc>
          <w:tcPr>
            <w:tcW w:w="8440" w:type="dxa"/>
            <w:vAlign w:val="bottom"/>
            <w:gridSpan w:val="2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4"/>
        </w:trPr>
        <w:tc>
          <w:tcPr>
            <w:tcW w:w="10820" w:type="dxa"/>
            <w:vAlign w:val="bottom"/>
            <w:gridSpan w:val="3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64"/>
        </w:trPr>
        <w:tc>
          <w:tcPr>
            <w:tcW w:w="8700" w:type="dxa"/>
            <w:vAlign w:val="bottom"/>
            <w:tcBorders>
              <w:top w:val="single" w:sz="8" w:color="0000EE"/>
            </w:tcBorders>
            <w:gridSpan w:val="33"/>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SENIOR SECURITIES</w:t>
              </w:r>
            </w:hyperlink>
          </w:p>
        </w:tc>
        <w:tc>
          <w:tcPr>
            <w:tcW w:w="2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820" w:type="dxa"/>
            <w:vAlign w:val="bottom"/>
            <w:gridSpan w:val="3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RATIO OF EARNINGS TO FIXED CHARGES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64"/>
        </w:trPr>
        <w:tc>
          <w:tcPr>
            <w:tcW w:w="290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PRICE RANGE OF COMMON STOCK</w:t>
              </w:r>
            </w:hyperlink>
          </w:p>
        </w:tc>
        <w:tc>
          <w:tcPr>
            <w:tcW w:w="520" w:type="dxa"/>
            <w:vAlign w:val="bottom"/>
            <w:tcBorders>
              <w:top w:val="single" w:sz="8" w:color="0000EE"/>
            </w:tcBorders>
            <w:gridSpan w:val="4"/>
          </w:tcPr>
          <w:p>
            <w:pPr>
              <w:spacing w:after="0"/>
              <w:rPr>
                <w:sz w:val="22"/>
                <w:szCs w:val="22"/>
                <w:color w:val="auto"/>
              </w:rPr>
            </w:pPr>
          </w:p>
        </w:tc>
        <w:tc>
          <w:tcPr>
            <w:tcW w:w="7400" w:type="dxa"/>
            <w:vAlign w:val="bottom"/>
            <w:gridSpan w:val="1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64"/>
        </w:trPr>
        <w:tc>
          <w:tcPr>
            <w:tcW w:w="4540" w:type="dxa"/>
            <w:vAlign w:val="bottom"/>
            <w:tcBorders>
              <w:bottom w:val="single" w:sz="8" w:color="0000EE"/>
            </w:tcBorders>
            <w:gridSpan w:val="29"/>
          </w:tcPr>
          <w:p>
            <w:pPr>
              <w:spacing w:after="0"/>
              <w:rPr>
                <w:rFonts w:ascii="Arial" w:cs="Arial" w:eastAsia="Arial" w:hAnsi="Arial"/>
                <w:sz w:val="18"/>
                <w:szCs w:val="18"/>
                <w:color w:val="0000EE"/>
                <w:w w:val="93"/>
              </w:rPr>
            </w:pPr>
            <w:hyperlink w:anchor="page54">
              <w:r>
                <w:rPr>
                  <w:rFonts w:ascii="Arial" w:cs="Arial" w:eastAsia="Arial" w:hAnsi="Arial"/>
                  <w:sz w:val="18"/>
                  <w:szCs w:val="18"/>
                  <w:color w:val="0000EE"/>
                  <w:w w:val="93"/>
                </w:rPr>
                <w:t>SALES OF COMMON STOCK BELOW NET ASSET VALUE</w:t>
              </w:r>
            </w:hyperlink>
          </w:p>
        </w:tc>
        <w:tc>
          <w:tcPr>
            <w:tcW w:w="6280" w:type="dxa"/>
            <w:vAlign w:val="bottom"/>
            <w:gridSpan w:val="5"/>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64"/>
        </w:trPr>
        <w:tc>
          <w:tcPr>
            <w:tcW w:w="134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59">
              <w:r>
                <w:rPr>
                  <w:rFonts w:ascii="Arial" w:cs="Arial" w:eastAsia="Arial" w:hAnsi="Arial"/>
                  <w:sz w:val="18"/>
                  <w:szCs w:val="18"/>
                  <w:color w:val="0000EE"/>
                  <w:w w:val="94"/>
                </w:rPr>
                <w:t>DISTRIBUTIONS</w:t>
              </w:r>
            </w:hyperlink>
          </w:p>
        </w:tc>
        <w:tc>
          <w:tcPr>
            <w:tcW w:w="9480" w:type="dxa"/>
            <w:vAlign w:val="bottom"/>
            <w:gridSpan w:val="29"/>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64"/>
        </w:trPr>
        <w:tc>
          <w:tcPr>
            <w:tcW w:w="840" w:type="dxa"/>
            <w:vAlign w:val="bottom"/>
            <w:tcBorders>
              <w:bottom w:val="single" w:sz="8" w:color="0000EE"/>
            </w:tcBorders>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BUSINESS</w:t>
              </w:r>
            </w:hyperlink>
          </w:p>
        </w:tc>
        <w:tc>
          <w:tcPr>
            <w:tcW w:w="9980" w:type="dxa"/>
            <w:vAlign w:val="bottom"/>
            <w:gridSpan w:val="3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64"/>
        </w:trPr>
        <w:tc>
          <w:tcPr>
            <w:tcW w:w="10820" w:type="dxa"/>
            <w:vAlign w:val="bottom"/>
            <w:gridSpan w:val="34"/>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INVESTMENT OBJECTIVES AND POLICIES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64"/>
        </w:trPr>
        <w:tc>
          <w:tcPr>
            <w:tcW w:w="3440" w:type="dxa"/>
            <w:vAlign w:val="bottom"/>
            <w:tcBorders>
              <w:top w:val="single" w:sz="8" w:color="0000EE"/>
            </w:tcBorders>
            <w:gridSpan w:val="2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PORTFOLIO COMPANIES</w:t>
              </w:r>
            </w:hyperlink>
          </w:p>
        </w:tc>
        <w:tc>
          <w:tcPr>
            <w:tcW w:w="7380" w:type="dxa"/>
            <w:vAlign w:val="bottom"/>
            <w:gridSpan w:val="1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64"/>
        </w:trPr>
        <w:tc>
          <w:tcPr>
            <w:tcW w:w="12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7"/>
              </w:rPr>
            </w:pPr>
            <w:hyperlink w:anchor="page77">
              <w:r>
                <w:rPr>
                  <w:rFonts w:ascii="Arial" w:cs="Arial" w:eastAsia="Arial" w:hAnsi="Arial"/>
                  <w:sz w:val="18"/>
                  <w:szCs w:val="18"/>
                  <w:color w:val="0000EE"/>
                  <w:w w:val="97"/>
                </w:rPr>
                <w:t>MANAGEMENT</w:t>
              </w:r>
            </w:hyperlink>
          </w:p>
        </w:tc>
        <w:tc>
          <w:tcPr>
            <w:tcW w:w="720" w:type="dxa"/>
            <w:vAlign w:val="bottom"/>
            <w:tcBorders>
              <w:top w:val="single" w:sz="8" w:color="0000EE"/>
            </w:tcBorders>
            <w:gridSpan w:val="6"/>
          </w:tcPr>
          <w:p>
            <w:pPr>
              <w:spacing w:after="0"/>
              <w:rPr>
                <w:sz w:val="22"/>
                <w:szCs w:val="22"/>
                <w:color w:val="auto"/>
              </w:rPr>
            </w:pPr>
          </w:p>
        </w:tc>
        <w:tc>
          <w:tcPr>
            <w:tcW w:w="8820" w:type="dxa"/>
            <w:vAlign w:val="bottom"/>
            <w:gridSpan w:val="24"/>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64"/>
        </w:trPr>
        <w:tc>
          <w:tcPr>
            <w:tcW w:w="4440" w:type="dxa"/>
            <w:vAlign w:val="bottom"/>
            <w:tcBorders>
              <w:bottom w:val="single" w:sz="8" w:color="0000EE"/>
            </w:tcBorders>
            <w:gridSpan w:val="28"/>
          </w:tcPr>
          <w:p>
            <w:pPr>
              <w:spacing w:after="0"/>
              <w:rPr>
                <w:rFonts w:ascii="Arial" w:cs="Arial" w:eastAsia="Arial" w:hAnsi="Arial"/>
                <w:sz w:val="18"/>
                <w:szCs w:val="18"/>
                <w:color w:val="0000EE"/>
                <w:w w:val="92"/>
              </w:rPr>
            </w:pPr>
            <w:hyperlink w:anchor="page83">
              <w:r>
                <w:rPr>
                  <w:rFonts w:ascii="Arial" w:cs="Arial" w:eastAsia="Arial" w:hAnsi="Arial"/>
                  <w:sz w:val="18"/>
                  <w:szCs w:val="18"/>
                  <w:color w:val="0000EE"/>
                  <w:w w:val="92"/>
                </w:rPr>
                <w:t>CONTROL PERSONS AND PRINCIPAL STOCKHOLDERS</w:t>
              </w:r>
            </w:hyperlink>
          </w:p>
        </w:tc>
        <w:tc>
          <w:tcPr>
            <w:tcW w:w="6380" w:type="dxa"/>
            <w:vAlign w:val="bottom"/>
            <w:gridSpan w:val="6"/>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64"/>
        </w:trPr>
        <w:tc>
          <w:tcPr>
            <w:tcW w:w="10820" w:type="dxa"/>
            <w:vAlign w:val="bottom"/>
            <w:gridSpan w:val="34"/>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CERTAIN RELATIONSHIPS AND TRANSACTIONS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64"/>
        </w:trPr>
        <w:tc>
          <w:tcPr>
            <w:tcW w:w="330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4"/>
              </w:rPr>
            </w:pPr>
            <w:hyperlink w:anchor="page90">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6"/>
          </w:tcPr>
          <w:p>
            <w:pPr>
              <w:spacing w:after="0"/>
              <w:rPr>
                <w:sz w:val="22"/>
                <w:szCs w:val="22"/>
                <w:color w:val="auto"/>
              </w:rPr>
            </w:pPr>
          </w:p>
        </w:tc>
        <w:tc>
          <w:tcPr>
            <w:tcW w:w="6900" w:type="dxa"/>
            <w:vAlign w:val="bottom"/>
            <w:gridSpan w:val="9"/>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64"/>
        </w:trPr>
        <w:tc>
          <w:tcPr>
            <w:tcW w:w="276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93">
              <w:r>
                <w:rPr>
                  <w:rFonts w:ascii="Arial" w:cs="Arial" w:eastAsia="Arial" w:hAnsi="Arial"/>
                  <w:sz w:val="18"/>
                  <w:szCs w:val="18"/>
                  <w:color w:val="0000EE"/>
                  <w:w w:val="96"/>
                </w:rPr>
                <w:t>DIVIDEND REINVESTMENT PLAN</w:t>
              </w:r>
            </w:hyperlink>
          </w:p>
        </w:tc>
        <w:tc>
          <w:tcPr>
            <w:tcW w:w="8060" w:type="dxa"/>
            <w:vAlign w:val="bottom"/>
            <w:gridSpan w:val="2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64"/>
        </w:trPr>
        <w:tc>
          <w:tcPr>
            <w:tcW w:w="3220" w:type="dxa"/>
            <w:vAlign w:val="bottom"/>
            <w:tcBorders>
              <w:bottom w:val="single" w:sz="8" w:color="0000EE"/>
            </w:tcBorders>
            <w:gridSpan w:val="18"/>
          </w:tcPr>
          <w:p>
            <w:pPr>
              <w:spacing w:after="0"/>
              <w:rPr>
                <w:rFonts w:ascii="Arial" w:cs="Arial" w:eastAsia="Arial" w:hAnsi="Arial"/>
                <w:sz w:val="18"/>
                <w:szCs w:val="18"/>
                <w:color w:val="0000EE"/>
                <w:w w:val="92"/>
              </w:rPr>
            </w:pPr>
            <w:hyperlink w:anchor="page94">
              <w:r>
                <w:rPr>
                  <w:rFonts w:ascii="Arial" w:cs="Arial" w:eastAsia="Arial" w:hAnsi="Arial"/>
                  <w:sz w:val="18"/>
                  <w:szCs w:val="18"/>
                  <w:color w:val="0000EE"/>
                  <w:w w:val="92"/>
                </w:rPr>
                <w:t>DESCRIPTION OF OUR CAPITAL STOCK</w:t>
              </w:r>
            </w:hyperlink>
          </w:p>
        </w:tc>
        <w:tc>
          <w:tcPr>
            <w:tcW w:w="7600" w:type="dxa"/>
            <w:vAlign w:val="bottom"/>
            <w:gridSpan w:val="16"/>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64"/>
        </w:trPr>
        <w:tc>
          <w:tcPr>
            <w:tcW w:w="10820" w:type="dxa"/>
            <w:vAlign w:val="bottom"/>
            <w:gridSpan w:val="34"/>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DESCRIPTION OF OUR PREFERRED STOCK</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64"/>
        </w:trPr>
        <w:tc>
          <w:tcPr>
            <w:tcW w:w="3480" w:type="dxa"/>
            <w:vAlign w:val="bottom"/>
            <w:tcBorders>
              <w:top w:val="single" w:sz="8" w:color="0000EE"/>
            </w:tcBorders>
            <w:gridSpan w:val="23"/>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DESCRIPTION OF OUR WARRANTS</w:t>
              </w:r>
            </w:hyperlink>
          </w:p>
        </w:tc>
        <w:tc>
          <w:tcPr>
            <w:tcW w:w="7340" w:type="dxa"/>
            <w:vAlign w:val="bottom"/>
            <w:gridSpan w:val="11"/>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820" w:type="dxa"/>
            <w:vAlign w:val="bottom"/>
            <w:gridSpan w:val="34"/>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DESCRIPTION OF OUR SUBSCRIPTION RIGHTS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64"/>
        </w:trPr>
        <w:tc>
          <w:tcPr>
            <w:tcW w:w="338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92"/>
              </w:rPr>
            </w:pPr>
            <w:hyperlink w:anchor="page102">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4"/>
          </w:tcPr>
          <w:p>
            <w:pPr>
              <w:spacing w:after="0"/>
              <w:rPr>
                <w:sz w:val="22"/>
                <w:szCs w:val="22"/>
                <w:color w:val="auto"/>
              </w:rPr>
            </w:pPr>
          </w:p>
        </w:tc>
        <w:tc>
          <w:tcPr>
            <w:tcW w:w="7020" w:type="dxa"/>
            <w:vAlign w:val="bottom"/>
            <w:gridSpan w:val="1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64"/>
        </w:trPr>
        <w:tc>
          <w:tcPr>
            <w:tcW w:w="240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113">
              <w:r>
                <w:rPr>
                  <w:rFonts w:ascii="Arial" w:cs="Arial" w:eastAsia="Arial" w:hAnsi="Arial"/>
                  <w:sz w:val="18"/>
                  <w:szCs w:val="18"/>
                  <w:color w:val="0000EE"/>
                  <w:w w:val="92"/>
                </w:rPr>
                <w:t>DESCRIPTION OF OUR UNITS</w:t>
              </w:r>
            </w:hyperlink>
          </w:p>
        </w:tc>
        <w:tc>
          <w:tcPr>
            <w:tcW w:w="8420" w:type="dxa"/>
            <w:vAlign w:val="bottom"/>
            <w:gridSpan w:val="21"/>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64"/>
        </w:trPr>
        <w:tc>
          <w:tcPr>
            <w:tcW w:w="112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114">
              <w:r>
                <w:rPr>
                  <w:rFonts w:ascii="Arial" w:cs="Arial" w:eastAsia="Arial" w:hAnsi="Arial"/>
                  <w:sz w:val="18"/>
                  <w:szCs w:val="18"/>
                  <w:color w:val="0000EE"/>
                  <w:w w:val="93"/>
                </w:rPr>
                <w:t>REGULATION</w:t>
              </w:r>
            </w:hyperlink>
          </w:p>
        </w:tc>
        <w:tc>
          <w:tcPr>
            <w:tcW w:w="9700" w:type="dxa"/>
            <w:vAlign w:val="bottom"/>
            <w:gridSpan w:val="3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64"/>
        </w:trPr>
        <w:tc>
          <w:tcPr>
            <w:tcW w:w="4380" w:type="dxa"/>
            <w:vAlign w:val="bottom"/>
            <w:tcBorders>
              <w:bottom w:val="single" w:sz="8" w:color="0000EE"/>
            </w:tcBorders>
            <w:gridSpan w:val="27"/>
          </w:tcPr>
          <w:p>
            <w:pPr>
              <w:spacing w:after="0"/>
              <w:rPr>
                <w:rFonts w:ascii="Arial" w:cs="Arial" w:eastAsia="Arial" w:hAnsi="Arial"/>
                <w:sz w:val="18"/>
                <w:szCs w:val="18"/>
                <w:color w:val="0000EE"/>
                <w:w w:val="93"/>
              </w:rPr>
            </w:pPr>
            <w:hyperlink w:anchor="page119">
              <w:r>
                <w:rPr>
                  <w:rFonts w:ascii="Arial" w:cs="Arial" w:eastAsia="Arial" w:hAnsi="Arial"/>
                  <w:sz w:val="18"/>
                  <w:szCs w:val="18"/>
                  <w:color w:val="0000EE"/>
                  <w:w w:val="93"/>
                </w:rPr>
                <w:t>BROKERAGE ALLOCATIONS AND OTHER PRACTICES</w:t>
              </w:r>
            </w:hyperlink>
          </w:p>
        </w:tc>
        <w:tc>
          <w:tcPr>
            <w:tcW w:w="6440" w:type="dxa"/>
            <w:vAlign w:val="bottom"/>
            <w:gridSpan w:val="7"/>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64"/>
        </w:trPr>
        <w:tc>
          <w:tcPr>
            <w:tcW w:w="4760" w:type="dxa"/>
            <w:vAlign w:val="bottom"/>
            <w:tcBorders>
              <w:bottom w:val="single" w:sz="8" w:color="0000EE"/>
            </w:tcBorders>
            <w:gridSpan w:val="30"/>
          </w:tcPr>
          <w:p>
            <w:pPr>
              <w:spacing w:after="0"/>
              <w:rPr>
                <w:rFonts w:ascii="Arial" w:cs="Arial" w:eastAsia="Arial" w:hAnsi="Arial"/>
                <w:sz w:val="18"/>
                <w:szCs w:val="18"/>
                <w:color w:val="0000EE"/>
                <w:w w:val="94"/>
              </w:rPr>
            </w:pPr>
            <w:hyperlink w:anchor="page120">
              <w:r>
                <w:rPr>
                  <w:rFonts w:ascii="Arial" w:cs="Arial" w:eastAsia="Arial" w:hAnsi="Arial"/>
                  <w:sz w:val="18"/>
                  <w:szCs w:val="18"/>
                  <w:color w:val="0000EE"/>
                  <w:w w:val="94"/>
                </w:rPr>
                <w:t>MATERIAL U.S. FEDERAL INCOME TAX CONSIDERATIONS</w:t>
              </w:r>
            </w:hyperlink>
          </w:p>
        </w:tc>
        <w:tc>
          <w:tcPr>
            <w:tcW w:w="6060" w:type="dxa"/>
            <w:vAlign w:val="bottom"/>
            <w:gridSpan w:val="4"/>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64"/>
        </w:trPr>
        <w:tc>
          <w:tcPr>
            <w:tcW w:w="10820" w:type="dxa"/>
            <w:vAlign w:val="bottom"/>
            <w:gridSpan w:val="34"/>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PLAN OF DISTRIBUTION</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360" w:type="dxa"/>
            <w:vAlign w:val="bottom"/>
            <w:gridSpan w:val="16"/>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5800" w:type="dxa"/>
            <w:vAlign w:val="bottom"/>
            <w:tcBorders>
              <w:bottom w:val="single" w:sz="8" w:color="0000EE"/>
            </w:tcBorders>
            <w:gridSpan w:val="31"/>
          </w:tcPr>
          <w:p>
            <w:pPr>
              <w:spacing w:after="0"/>
              <w:rPr>
                <w:rFonts w:ascii="Arial" w:cs="Arial" w:eastAsia="Arial" w:hAnsi="Arial"/>
                <w:sz w:val="18"/>
                <w:szCs w:val="18"/>
                <w:color w:val="0000EE"/>
                <w:w w:val="94"/>
              </w:rPr>
            </w:pPr>
            <w:hyperlink w:anchor="page127">
              <w:r>
                <w:rPr>
                  <w:rFonts w:ascii="Arial" w:cs="Arial" w:eastAsia="Arial" w:hAnsi="Arial"/>
                  <w:sz w:val="18"/>
                  <w:szCs w:val="18"/>
                  <w:color w:val="0000EE"/>
                  <w:w w:val="94"/>
                </w:rPr>
                <w:t>SUB-ADMINISTRATOR, CUSTODIAN, TRANSFER AGENT AND TRUSTEE</w:t>
              </w:r>
            </w:hyperlink>
          </w:p>
        </w:tc>
        <w:tc>
          <w:tcPr>
            <w:tcW w:w="5020" w:type="dxa"/>
            <w:vAlign w:val="bottom"/>
            <w:gridSpan w:val="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64"/>
        </w:trPr>
        <w:tc>
          <w:tcPr>
            <w:tcW w:w="10820" w:type="dxa"/>
            <w:vAlign w:val="bottom"/>
            <w:gridSpan w:val="34"/>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LEGAL MATTERS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2940" w:type="dxa"/>
            <w:vAlign w:val="bottom"/>
            <w:gridSpan w:val="20"/>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820" w:type="dxa"/>
            <w:vAlign w:val="bottom"/>
            <w:gridSpan w:val="34"/>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INDEPENDENT REGISTERED PUBLIC ACCOUNTING FIRM/INDEPENDENT AUDITOR</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64"/>
        </w:trPr>
        <w:tc>
          <w:tcPr>
            <w:tcW w:w="6780" w:type="dxa"/>
            <w:vAlign w:val="bottom"/>
            <w:tcBorders>
              <w:top w:val="single" w:sz="8" w:color="0000EE"/>
            </w:tcBorders>
            <w:gridSpan w:val="32"/>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INDEX TO CONSOLIDATED FINANCIAL STATEMENTS</w:t>
              </w:r>
            </w:hyperlink>
          </w:p>
        </w:tc>
        <w:tc>
          <w:tcPr>
            <w:tcW w:w="4040" w:type="dxa"/>
            <w:vAlign w:val="bottom"/>
            <w:gridSpan w:val="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83"/>
        </w:trPr>
        <w:tc>
          <w:tcPr>
            <w:tcW w:w="8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60" w:type="dxa"/>
            <w:vAlign w:val="bottom"/>
            <w:gridSpan w:val="4"/>
          </w:tcPr>
          <w:p>
            <w:pPr>
              <w:jc w:val="center"/>
              <w:ind w:right="4160"/>
              <w:spacing w:after="0"/>
              <w:rPr>
                <w:sz w:val="20"/>
                <w:szCs w:val="20"/>
                <w:color w:val="auto"/>
              </w:rPr>
            </w:pPr>
            <w:r>
              <w:rPr>
                <w:rFonts w:ascii="Arial" w:cs="Arial" w:eastAsia="Arial" w:hAnsi="Arial"/>
                <w:sz w:val="18"/>
                <w:szCs w:val="18"/>
                <w:color w:val="auto"/>
              </w:rPr>
              <w:t>i</w:t>
            </w:r>
          </w:p>
        </w:tc>
        <w:tc>
          <w:tcPr>
            <w:tcW w:w="54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$750,000,000 of our common stock, preferred stock, warrants representing rights to purchase shares of our common stock, preferred stock or debt securities, subscription rights, debt securities, or units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025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4025900"/>
                    </a:xfrm>
                    <a:prstGeom prst="rect">
                      <a:avLst/>
                    </a:prstGeom>
                    <a:noFill/>
                  </pic:spPr>
                </pic:pic>
              </a:graphicData>
            </a:graphic>
          </wp:anchor>
        </w:drawing>
      </w:r>
    </w:p>
    <w:p>
      <w:pPr>
        <w:spacing w:after="0" w:line="31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67" w:lineRule="exact"/>
        <w:rPr>
          <w:sz w:val="20"/>
          <w:szCs w:val="20"/>
          <w:color w:val="auto"/>
        </w:rPr>
      </w:pPr>
    </w:p>
    <w:p>
      <w:pPr>
        <w:ind w:left="320" w:firstLine="540"/>
        <w:spacing w:after="0" w:line="263" w:lineRule="auto"/>
        <w:rPr>
          <w:sz w:val="20"/>
          <w:szCs w:val="20"/>
          <w:color w:val="auto"/>
        </w:rPr>
      </w:pPr>
      <w:r>
        <w:rPr>
          <w:rFonts w:ascii="Arial" w:cs="Arial" w:eastAsia="Arial" w:hAnsi="Arial"/>
          <w:sz w:val="12"/>
          <w:szCs w:val="12"/>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which apply to both us and our consolidated small business investment company, or SBIC, subsidiaries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except where the context suggests otherwise: the terms “we,” “us,” “our” and “Company”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“Taxable Subsidiaries” refers to PNNT Cascade Environmental Holdings, LLC, PNNT CI (Galls) Prime Investment Holdings, LLC, PNNT ecoserve, LLC, PNNT Investment Holdings, LLC and PNNT New Gulf Resources, LLC, all of which are consolidated with PennantPark Investment for financial reporting purposes; “PennantPark Investment Advisers” or “Investment Adviser” refers to PennantPark Investment Advisers, LLC; “PennantPark Investment Administration” or “Administrator” refers to PennantPark Investment Administration, LLC; “SBA” refers to the Small Business Administration; “Credit Facility” refers to our multi-currency, senior secured revolving credit facility, as amended and restated; “2025 Notes” refers to our 6.25% notes due 2025; “2019 Notes” refers to our 4.50% notes due 2019; “our Notes” refers, collectively, to our 2025 Notes and our 2019 Notes; “1940 Act” refers to the Investment Company Act of 1940, as amended; “Code” refers to the Internal Revenue Code of 1986, as amended; “RIC” refers to a regulated investment company under the Code; and “BDC” refers to a business development company under the 1940 Act.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67" w:lineRule="exact"/>
        <w:rPr>
          <w:sz w:val="20"/>
          <w:szCs w:val="20"/>
          <w:color w:val="auto"/>
        </w:rPr>
      </w:pPr>
    </w:p>
    <w:p>
      <w:pPr>
        <w:ind w:left="320" w:right="400" w:firstLine="540"/>
        <w:spacing w:after="0" w:line="239" w:lineRule="auto"/>
        <w:rPr>
          <w:sz w:val="20"/>
          <w:szCs w:val="20"/>
          <w:color w:val="auto"/>
        </w:rPr>
      </w:pPr>
      <w:r>
        <w:rPr>
          <w:rFonts w:ascii="Arial" w:cs="Arial" w:eastAsia="Arial" w:hAnsi="Arial"/>
          <w:sz w:val="14"/>
          <w:szCs w:val="14"/>
          <w:color w:val="auto"/>
        </w:rPr>
        <w:t>PennantPark Investment Corporation is a BDC whose objectives are to generate both current income and capital appreciation while seeking to preserve capital through debt and equity investments primarily made to U.S. middle-market companies in the form of senior secured debt, mezzanine debt and equity investments.</w:t>
      </w:r>
    </w:p>
    <w:p>
      <w:pPr>
        <w:spacing w:after="0" w:line="30" w:lineRule="exact"/>
        <w:rPr>
          <w:sz w:val="20"/>
          <w:szCs w:val="20"/>
          <w:color w:val="auto"/>
        </w:rPr>
      </w:pPr>
    </w:p>
    <w:p>
      <w:pPr>
        <w:ind w:left="320" w:right="20" w:firstLine="540"/>
        <w:spacing w:after="0" w:line="266" w:lineRule="auto"/>
        <w:rPr>
          <w:sz w:val="20"/>
          <w:szCs w:val="20"/>
          <w:color w:val="auto"/>
        </w:rPr>
      </w:pPr>
      <w:r>
        <w:rPr>
          <w:rFonts w:ascii="Arial" w:cs="Arial" w:eastAsia="Arial" w:hAnsi="Arial"/>
          <w:sz w:val="12"/>
          <w:szCs w:val="12"/>
          <w:color w:val="auto"/>
        </w:rPr>
        <w:t>We believe middle-market companies offer attractive risk-reward to investors due to the limited amount of capital available for such companies. We seek to create a diversified portfolio that includes senior secured debt,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 regions.</w:t>
      </w:r>
    </w:p>
    <w:p>
      <w:pPr>
        <w:spacing w:after="0" w:line="19" w:lineRule="exact"/>
        <w:rPr>
          <w:sz w:val="20"/>
          <w:szCs w:val="20"/>
          <w:color w:val="auto"/>
        </w:rPr>
      </w:pPr>
    </w:p>
    <w:p>
      <w:pPr>
        <w:ind w:left="320" w:right="60" w:firstLine="540"/>
        <w:spacing w:after="0" w:line="278" w:lineRule="auto"/>
        <w:rPr>
          <w:sz w:val="20"/>
          <w:szCs w:val="20"/>
          <w:color w:val="auto"/>
        </w:rPr>
      </w:pPr>
      <w:r>
        <w:rPr>
          <w:rFonts w:ascii="Arial" w:cs="Arial" w:eastAsia="Arial" w:hAnsi="Arial"/>
          <w:sz w:val="12"/>
          <w:szCs w:val="12"/>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 For a description of our Credit Facility, please see “Management’s Discussion and Analysis of Financial Condition and Results of Operations — Liquidity and Capital Resources.”</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67" w:lineRule="exact"/>
        <w:rPr>
          <w:sz w:val="20"/>
          <w:szCs w:val="20"/>
          <w:color w:val="auto"/>
        </w:rPr>
      </w:pPr>
    </w:p>
    <w:p>
      <w:pPr>
        <w:ind w:left="320" w:right="260" w:firstLine="540"/>
        <w:spacing w:after="0" w:line="305" w:lineRule="auto"/>
        <w:rPr>
          <w:sz w:val="20"/>
          <w:szCs w:val="20"/>
          <w:color w:val="auto"/>
        </w:rPr>
      </w:pPr>
      <w:r>
        <w:rPr>
          <w:rFonts w:ascii="Arial" w:cs="Arial" w:eastAsia="Arial" w:hAnsi="Arial"/>
          <w:sz w:val="12"/>
          <w:szCs w:val="12"/>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ind w:left="320" w:firstLine="540"/>
        <w:spacing w:after="0" w:line="230" w:lineRule="auto"/>
        <w:rPr>
          <w:sz w:val="20"/>
          <w:szCs w:val="20"/>
          <w:color w:val="auto"/>
        </w:rPr>
      </w:pPr>
      <w:r>
        <w:rPr>
          <w:rFonts w:ascii="Arial" w:cs="Arial" w:eastAsia="Arial" w:hAnsi="Arial"/>
          <w:sz w:val="14"/>
          <w:szCs w:val="14"/>
          <w:color w:val="auto"/>
        </w:rPr>
        <w:t>Our wholly owned subsidiaries, SBIC LP and SBIC II, were organized as Delaware limited partnerships in May 2010 and July 2012, respectively. SBIC LP and SBIC II received licenses from the SBA to operate as SBICs under Section 301(c) of the Small Business Investment Act of 1958, as amended, or the 1958 Act, in 2010 and 2013, respectively. Our SBIC Funds’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200" w:lineRule="exact"/>
        <w:rPr>
          <w:sz w:val="20"/>
          <w:szCs w:val="20"/>
          <w:color w:val="auto"/>
        </w:rPr>
      </w:pPr>
    </w:p>
    <w:p>
      <w:pPr>
        <w:spacing w:after="0" w:line="34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240" w:top="459" w:right="5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736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67360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left="200" w:right="40" w:firstLine="553"/>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$3.0 billion in debt and equity capital and has invested $6.0 billion in 430 companies with over 170 different financial sponsors through its managed funds.</w:t>
      </w:r>
    </w:p>
    <w:p>
      <w:pPr>
        <w:spacing w:after="0" w:line="120" w:lineRule="exact"/>
        <w:rPr>
          <w:sz w:val="20"/>
          <w:szCs w:val="20"/>
          <w:color w:val="auto"/>
        </w:rPr>
      </w:pPr>
    </w:p>
    <w:p>
      <w:pPr>
        <w:ind w:left="200" w:right="100" w:firstLine="553"/>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20" w:firstLine="553"/>
        <w:spacing w:after="0" w:line="291" w:lineRule="auto"/>
        <w:rPr>
          <w:sz w:val="20"/>
          <w:szCs w:val="20"/>
          <w:color w:val="auto"/>
        </w:rPr>
      </w:pPr>
      <w:r>
        <w:rPr>
          <w:rFonts w:ascii="Arial" w:cs="Arial" w:eastAsia="Arial" w:hAnsi="Arial"/>
          <w:sz w:val="16"/>
          <w:szCs w:val="16"/>
          <w:color w:val="auto"/>
        </w:rPr>
        <w:t>We believe that the limited amount of capital available to middle-market companies, coupled with the desire of these companies for flexible sources of capital, creates an attractive investment environment for us. From our perspective, middle market companies have faced difficulty in raising debt through the capital markets and private markets. We believe that, as a result of the difficulties in the credit markets and fewer sources of capital for middle market companies, we see opportunities for improved risk-reward on our investments. Furthermore, we believe with a large pool of uninvested private equity capital seeking debt capital to complete private investments and a substantial supply of refinancing opportunities, there is an opportunity to attain attractive risk-reward returns with debt investments. See “Business” for more information.</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200" w:right="180" w:firstLine="553"/>
        <w:spacing w:after="0" w:line="255" w:lineRule="auto"/>
        <w:rPr>
          <w:sz w:val="20"/>
          <w:szCs w:val="20"/>
          <w:color w:val="auto"/>
        </w:rPr>
      </w:pPr>
      <w:r>
        <w:rPr>
          <w:rFonts w:ascii="Arial" w:cs="Arial" w:eastAsia="Arial" w:hAnsi="Arial"/>
          <w:sz w:val="18"/>
          <w:szCs w:val="18"/>
          <w:color w:val="auto"/>
        </w:rPr>
        <w:t>We believe that we have competitive advantages over other capital providers to middle-market companies, such as a management team with an average of over 25 years of experience in senior lending, mezzanine lending, leveraged finance, distressed debt and private equity businesses, a disciplined investment approach with strong value orientation, an ability to source and evaluate transactions through our Investment Adviser’s proactive, research capability and established network and flexible transaction structuring that allows for us to invest across the capital structure. See “Business”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200" w:right="280" w:firstLine="553"/>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16" w:lineRule="exact"/>
        <w:rPr>
          <w:sz w:val="20"/>
          <w:szCs w:val="20"/>
          <w:color w:val="auto"/>
        </w:rPr>
      </w:pPr>
    </w:p>
    <w:p>
      <w:pPr>
        <w:ind w:left="200" w:firstLine="553"/>
        <w:spacing w:after="0" w:line="294"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523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49523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left="200" w:right="20" w:firstLine="553"/>
        <w:spacing w:after="0" w:line="291" w:lineRule="auto"/>
        <w:rPr>
          <w:sz w:val="20"/>
          <w:szCs w:val="20"/>
          <w:color w:val="auto"/>
        </w:rPr>
      </w:pPr>
      <w:r>
        <w:rPr>
          <w:rFonts w:ascii="Arial" w:cs="Arial" w:eastAsia="Arial" w:hAnsi="Arial"/>
          <w:sz w:val="16"/>
          <w:szCs w:val="16"/>
          <w:color w:val="auto"/>
        </w:rPr>
        <w:t>We currently use and expect to continue to use leverage to make investments. As a result, we may continue to be exposed to the risks associated with leverage. See “Risk Factors — Risks Relating to our Business and Structure” for more information. We believe that our capital resources provide us with the flexibility to take advantage of market opportunities when they arise. Our use of leverage, as calculated under the asset coverage requirements of the 1940 Act, may generally range between 60% and 80% of our net assets. We cannot assure investors that our leverage will remain within that range. The amount of leverage that we employ will depend on our assessment of the market and other factors at the time of any proposed borrowing. See “Management’s Discussion and Analysis of Financial Condition and Results of Operations — Liquidity and Capital Resources” for more information.</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177" w:lineRule="exact"/>
        <w:rPr>
          <w:sz w:val="20"/>
          <w:szCs w:val="20"/>
          <w:color w:val="auto"/>
        </w:rPr>
      </w:pPr>
    </w:p>
    <w:p>
      <w:pPr>
        <w:ind w:left="200" w:firstLine="553"/>
        <w:spacing w:after="0" w:line="298" w:lineRule="auto"/>
        <w:rPr>
          <w:sz w:val="20"/>
          <w:szCs w:val="20"/>
          <w:color w:val="auto"/>
        </w:rPr>
      </w:pPr>
      <w:r>
        <w:rPr>
          <w:rFonts w:ascii="Arial" w:cs="Arial" w:eastAsia="Arial" w:hAnsi="Arial"/>
          <w:sz w:val="16"/>
          <w:szCs w:val="16"/>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13" w:lineRule="exact"/>
        <w:rPr>
          <w:sz w:val="20"/>
          <w:szCs w:val="20"/>
          <w:color w:val="auto"/>
        </w:rPr>
      </w:pPr>
    </w:p>
    <w:p>
      <w:pPr>
        <w:ind w:left="200" w:firstLine="553"/>
        <w:spacing w:after="0" w:line="254"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 See “Certain Relationships and Transactions— Administration Agreements” for more information.</w:t>
      </w:r>
    </w:p>
    <w:p>
      <w:pPr>
        <w:spacing w:after="0" w:line="144" w:lineRule="exact"/>
        <w:rPr>
          <w:sz w:val="20"/>
          <w:szCs w:val="20"/>
          <w:color w:val="auto"/>
        </w:rPr>
      </w:pPr>
    </w:p>
    <w:p>
      <w:pPr>
        <w:ind w:left="200" w:right="300" w:firstLine="553"/>
        <w:spacing w:after="0" w:line="306" w:lineRule="auto"/>
        <w:rPr>
          <w:sz w:val="20"/>
          <w:szCs w:val="20"/>
          <w:color w:val="auto"/>
        </w:rPr>
      </w:pPr>
      <w:r>
        <w:rPr>
          <w:rFonts w:ascii="Arial" w:cs="Arial" w:eastAsia="Arial" w:hAnsi="Arial"/>
          <w:sz w:val="16"/>
          <w:szCs w:val="16"/>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107" w:lineRule="exact"/>
        <w:rPr>
          <w:sz w:val="20"/>
          <w:szCs w:val="20"/>
          <w:color w:val="auto"/>
        </w:rPr>
      </w:pPr>
    </w:p>
    <w:p>
      <w:pPr>
        <w:ind w:left="200" w:right="160" w:firstLine="553"/>
        <w:spacing w:after="0" w:line="259" w:lineRule="auto"/>
        <w:rPr>
          <w:sz w:val="20"/>
          <w:szCs w:val="20"/>
          <w:color w:val="auto"/>
        </w:rPr>
      </w:pPr>
      <w:r>
        <w:rPr>
          <w:rFonts w:ascii="Arial" w:cs="Arial" w:eastAsia="Arial" w:hAnsi="Arial"/>
          <w:sz w:val="18"/>
          <w:szCs w:val="18"/>
          <w:color w:val="auto"/>
        </w:rPr>
        <w:t>Our wholly-owned SBIC Funds received licenses from the SBA to operate as SBICs under Section 301(c) of the 1958 Act and are regulated by the SBA. The SBA regulates, among other matters, investing activities and periodically examines our SBIC Funds’ operations. We serve as the investment adviser and administrator to our SBIC Funds. See “Regulation” for more information.</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left="200" w:right="40" w:firstLine="553"/>
        <w:spacing w:after="0" w:line="306" w:lineRule="auto"/>
        <w:rPr>
          <w:sz w:val="20"/>
          <w:szCs w:val="20"/>
          <w:color w:val="auto"/>
        </w:rPr>
      </w:pPr>
      <w:r>
        <w:rPr>
          <w:rFonts w:ascii="Arial" w:cs="Arial" w:eastAsia="Arial" w:hAnsi="Arial"/>
          <w:sz w:val="16"/>
          <w:szCs w:val="16"/>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relating to an offering will more fully identify the use of the proceeds from such offering. See “Use of Proceeds” for more information.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3743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33743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Ratio of Earnings to Fixed Charges</w:t>
      </w:r>
    </w:p>
    <w:p>
      <w:pPr>
        <w:spacing w:after="0" w:line="96" w:lineRule="exact"/>
        <w:rPr>
          <w:sz w:val="20"/>
          <w:szCs w:val="20"/>
          <w:color w:val="auto"/>
        </w:rPr>
      </w:pPr>
    </w:p>
    <w:p>
      <w:pPr>
        <w:ind w:left="200" w:right="60" w:firstLine="553"/>
        <w:spacing w:after="0" w:line="332" w:lineRule="auto"/>
        <w:rPr>
          <w:sz w:val="20"/>
          <w:szCs w:val="20"/>
          <w:color w:val="auto"/>
        </w:rPr>
      </w:pPr>
      <w:r>
        <w:rPr>
          <w:rFonts w:ascii="Arial" w:cs="Arial" w:eastAsia="Arial" w:hAnsi="Arial"/>
          <w:sz w:val="16"/>
          <w:szCs w:val="16"/>
          <w:color w:val="auto"/>
        </w:rPr>
        <w:t>For the three months ended December 31, 2016 and the years ended September 30, 2016, 2015, 2014, 2013 and 2012, our ratios of earnings to fixed charges were 3.6x, 0.7x, (0.4)x, 5.5x, 6.0x and 5.4x, respectively. See “Ratio of Earnings to Fixed Charges” for more information.</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Common Stock</w:t>
      </w:r>
    </w:p>
    <w:p>
      <w:pPr>
        <w:spacing w:after="0" w:line="96" w:lineRule="exact"/>
        <w:rPr>
          <w:sz w:val="20"/>
          <w:szCs w:val="20"/>
          <w:color w:val="auto"/>
        </w:rPr>
      </w:pPr>
    </w:p>
    <w:p>
      <w:pPr>
        <w:ind w:left="200" w:firstLine="553"/>
        <w:spacing w:after="0" w:line="268" w:lineRule="auto"/>
        <w:rPr>
          <w:sz w:val="20"/>
          <w:szCs w:val="20"/>
          <w:color w:val="auto"/>
        </w:rPr>
      </w:pPr>
      <w:r>
        <w:rPr>
          <w:rFonts w:ascii="Arial" w:cs="Arial" w:eastAsia="Arial" w:hAnsi="Arial"/>
          <w:sz w:val="18"/>
          <w:szCs w:val="18"/>
          <w:color w:val="auto"/>
        </w:rPr>
        <w:t>We intend to continue making quarterly distributions to our common stockholders. Our quarterly distributions, if any, are determined by our board of directors. See “Distributions” for more information.</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left="200" w:right="80" w:firstLine="553"/>
        <w:spacing w:after="0" w:line="294"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left="200" w:right="40" w:firstLine="553"/>
        <w:spacing w:after="0" w:line="294" w:lineRule="auto"/>
        <w:rPr>
          <w:sz w:val="20"/>
          <w:szCs w:val="20"/>
          <w:color w:val="auto"/>
        </w:rPr>
      </w:pPr>
      <w:r>
        <w:rPr>
          <w:rFonts w:ascii="Arial" w:cs="Arial" w:eastAsia="Arial" w:hAnsi="Arial"/>
          <w:sz w:val="16"/>
          <w:szCs w:val="16"/>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4861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3486150"/>
                    </a:xfrm>
                    <a:prstGeom prst="rect">
                      <a:avLst/>
                    </a:prstGeom>
                    <a:noFill/>
                  </pic:spPr>
                </pic:pic>
              </a:graphicData>
            </a:graphic>
          </wp:anchor>
        </w:drawing>
      </w:r>
    </w:p>
    <w:p>
      <w:pPr>
        <w:spacing w:after="0" w:line="3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left="320" w:right="100" w:firstLine="540"/>
        <w:spacing w:after="0" w:line="268" w:lineRule="auto"/>
        <w:rPr>
          <w:sz w:val="20"/>
          <w:szCs w:val="20"/>
          <w:color w:val="auto"/>
        </w:rPr>
      </w:pPr>
      <w:r>
        <w:rPr>
          <w:rFonts w:ascii="Arial" w:cs="Arial" w:eastAsia="Arial" w:hAnsi="Arial"/>
          <w:sz w:val="18"/>
          <w:szCs w:val="18"/>
          <w:color w:val="auto"/>
        </w:rPr>
        <w:t>We may offer, from time to time, up to $750 million of our securities, on terms to be determined at the time of each such offering and set forth in a supplement to this prospectus.</w:t>
      </w:r>
    </w:p>
    <w:p>
      <w:pPr>
        <w:spacing w:after="0" w:line="51" w:lineRule="exact"/>
        <w:rPr>
          <w:sz w:val="20"/>
          <w:szCs w:val="20"/>
          <w:color w:val="auto"/>
        </w:rPr>
      </w:pPr>
    </w:p>
    <w:p>
      <w:pPr>
        <w:ind w:left="320" w:firstLine="540"/>
        <w:spacing w:after="0" w:line="312" w:lineRule="auto"/>
        <w:rPr>
          <w:sz w:val="20"/>
          <w:szCs w:val="20"/>
          <w:color w:val="auto"/>
        </w:rPr>
      </w:pPr>
      <w:r>
        <w:rPr>
          <w:rFonts w:ascii="Arial" w:cs="Arial" w:eastAsia="Arial" w:hAnsi="Arial"/>
          <w:sz w:val="15"/>
          <w:szCs w:val="15"/>
          <w:color w:val="auto"/>
        </w:rPr>
        <w:t>Securities may be offered at prices and on terms described in one or more supplements to this prospectus. We may sell our common stock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24" w:lineRule="exact"/>
        <w:rPr>
          <w:sz w:val="20"/>
          <w:szCs w:val="20"/>
          <w:color w:val="auto"/>
        </w:rPr>
      </w:pPr>
    </w:p>
    <w:p>
      <w:pPr>
        <w:ind w:left="320" w:right="60" w:firstLine="540"/>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left="320" w:firstLine="540"/>
        <w:spacing w:after="0" w:line="288" w:lineRule="auto"/>
        <w:rPr>
          <w:sz w:val="20"/>
          <w:szCs w:val="20"/>
          <w:color w:val="auto"/>
        </w:rPr>
      </w:pPr>
      <w:r>
        <w:rPr>
          <w:rFonts w:ascii="Arial" w:cs="Arial" w:eastAsia="Arial" w:hAnsi="Arial"/>
          <w:sz w:val="16"/>
          <w:szCs w:val="16"/>
          <w:color w:val="auto"/>
        </w:rPr>
        <w:t xml:space="preserve">Our administrative and principal executive offices are located at 590 Madison Avenue, 15th Floor, New York, NY 10022. Our common stock is quoted on the NASDAQ Global Select Market under the symbol “PNNT.” Our 2025 Notes are quoted on the NYSE under the symbol “PNTA.” Our phone number is (212) 905-1000, and our internet website address is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material that we file with the SEC on the EDGAR Database.</w:t>
      </w:r>
    </w:p>
    <w:p>
      <w:pPr>
        <w:spacing w:after="0" w:line="200" w:lineRule="exact"/>
        <w:rPr>
          <w:sz w:val="20"/>
          <w:szCs w:val="20"/>
          <w:color w:val="auto"/>
        </w:rPr>
      </w:pPr>
    </w:p>
    <w:p>
      <w:pPr>
        <w:spacing w:after="0" w:line="3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240" w:top="459" w:right="5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60" w:firstLine="571"/>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 contains a reference to fees or expenses paid by “you” or “us” or that “we” will pay, stockholders will indirectly bear such fees or expenses as investors in us.</w:t>
      </w:r>
    </w:p>
    <w:p>
      <w:pPr>
        <w:sectPr>
          <w:pgSz w:w="11900" w:h="16838" w:orient="portrait"/>
          <w:cols w:equalWidth="0" w:num="1">
            <w:col w:w="11420"/>
          </w:cols>
          <w:pgMar w:left="240" w:top="459" w:right="239" w:bottom="144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Sales load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Total stockholder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Estimated annual expenses (as a percentage of average net assets attributable to common shares)</w:t>
      </w:r>
      <w:r>
        <w:rPr>
          <w:rFonts w:ascii="Arial" w:cs="Arial" w:eastAsia="Arial" w:hAnsi="Arial"/>
          <w:sz w:val="10"/>
          <w:szCs w:val="10"/>
          <w:color w:val="auto"/>
        </w:rPr>
        <w:t>(3)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Management fees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Incentive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Interest on borrowed funds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estimated annual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5176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(2)</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3.18%</w:t>
      </w:r>
      <w:r>
        <w:rPr>
          <w:rFonts w:ascii="Arial" w:cs="Arial" w:eastAsia="Arial" w:hAnsi="Arial"/>
          <w:sz w:val="11"/>
          <w:szCs w:val="11"/>
          <w:color w:val="auto"/>
        </w:rPr>
        <w:t>(4)</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1.75%</w:t>
      </w:r>
      <w:r>
        <w:rPr>
          <w:rFonts w:ascii="Arial" w:cs="Arial" w:eastAsia="Arial" w:hAnsi="Arial"/>
          <w:sz w:val="11"/>
          <w:szCs w:val="11"/>
          <w:color w:val="auto"/>
        </w:rPr>
        <w:t>(5)</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4.15%</w:t>
      </w:r>
      <w:r>
        <w:rPr>
          <w:rFonts w:ascii="Arial" w:cs="Arial" w:eastAsia="Arial" w:hAnsi="Arial"/>
          <w:sz w:val="11"/>
          <w:szCs w:val="11"/>
          <w:color w:val="auto"/>
        </w:rPr>
        <w:t>(6)</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1.23%</w:t>
      </w: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36830</wp:posOffset>
            </wp:positionV>
            <wp:extent cx="2914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10.31%</w:t>
      </w:r>
      <w:r>
        <w:rPr>
          <w:rFonts w:ascii="Arial" w:cs="Arial" w:eastAsia="Arial" w:hAnsi="Arial"/>
          <w:sz w:val="10"/>
          <w:szCs w:val="10"/>
          <w:color w:val="auto"/>
        </w:rPr>
        <w:t>(8)</w:t>
      </w:r>
    </w:p>
    <w:p>
      <w:pPr>
        <w:spacing w:after="0" w:line="230" w:lineRule="exact"/>
        <w:rPr>
          <w:sz w:val="20"/>
          <w:szCs w:val="20"/>
          <w:color w:val="auto"/>
        </w:rPr>
      </w:pPr>
    </w:p>
    <w:p>
      <w:pPr>
        <w:sectPr>
          <w:pgSz w:w="11900" w:h="16838" w:orient="portrait"/>
          <w:cols w:equalWidth="0" w:num="2">
            <w:col w:w="10020" w:space="720"/>
            <w:col w:w="680"/>
          </w:cols>
          <w:pgMar w:left="240" w:top="459" w:right="239" w:bottom="1440" w:gutter="0" w:footer="0" w:header="0"/>
          <w:type w:val="continuous"/>
        </w:sectPr>
      </w:pPr>
    </w:p>
    <w:p>
      <w:pPr>
        <w:spacing w:after="0" w:line="137"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 the event that the securities to which this prospectus relates are sold to or through underwriters or agents, a corresponding prospectus supplement will disclose the applicable sales load.</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related prospectus supplement will disclose the estimated amount of offering expenses, the offering price and the offering expenses borne by us as a percentage of the offering price.</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assets attributable to common shares equals average net assets as of December 31, 2016.</w:t>
      </w:r>
    </w:p>
    <w:p>
      <w:pPr>
        <w:spacing w:after="0" w:line="68" w:lineRule="exact"/>
        <w:rPr>
          <w:rFonts w:ascii="Arial" w:cs="Arial" w:eastAsia="Arial" w:hAnsi="Arial"/>
          <w:sz w:val="14"/>
          <w:szCs w:val="14"/>
          <w:color w:val="auto"/>
        </w:rPr>
      </w:pPr>
    </w:p>
    <w:p>
      <w:pPr>
        <w:ind w:left="580" w:right="40" w:hanging="572"/>
        <w:spacing w:after="0" w:line="230"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2.00% of our average adjusted gross assets on December 31, 2016. Since December 31, 2015 and through December 31, 2017, the Investment Adviser has voluntarily agreed, in consultation with the board of directors, to irrevocably waive 16% of base management fees, correlated to our 16% energy cost exposure (oil &amp; gas and energy &amp; utilities industries) at cost as of December 31, 2015. For the three months ended December 31, 2016, the management fees ratio before the waiver was 3.79%. See “Certain Relationships and Transactions—Investment Management Agreement” for more information.</w:t>
      </w:r>
    </w:p>
    <w:p>
      <w:pPr>
        <w:spacing w:after="0" w:line="58" w:lineRule="exact"/>
        <w:rPr>
          <w:rFonts w:ascii="Arial" w:cs="Arial" w:eastAsia="Arial" w:hAnsi="Arial"/>
          <w:sz w:val="14"/>
          <w:szCs w:val="14"/>
          <w:color w:val="auto"/>
        </w:rPr>
      </w:pPr>
    </w:p>
    <w:p>
      <w:pPr>
        <w:ind w:left="580" w:hanging="572"/>
        <w:spacing w:after="0" w:line="264" w:lineRule="auto"/>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and capital gains, if any, is based on actual amounts incurred during the three months ended December 31, 2016,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three months ended December 31, 2016. Since December 31, 2015 and through December 31, 2017, the Investment Adviser has voluntarily agreed, in consultation with the board of directors, to irrevocably waive 16% of incentive fees, correlated to our 16% energy cost exposure (oil &amp; gas and energy &amp; utilities industries) at cost as of December 31, 2015. For the three months ended December 31, 2016, the incentive fee ratio before the waiver was 2.08%. For more detailed information about the incentive fee, please see “Certain Relationships and Transactions—Investment Management Agreement” for more information.</w:t>
      </w:r>
    </w:p>
    <w:p>
      <w:pPr>
        <w:spacing w:after="0" w:line="197" w:lineRule="exact"/>
        <w:rPr>
          <w:rFonts w:ascii="Arial" w:cs="Arial" w:eastAsia="Arial" w:hAnsi="Arial"/>
          <w:sz w:val="12"/>
          <w:szCs w:val="12"/>
          <w:color w:val="auto"/>
        </w:rPr>
      </w:pPr>
    </w:p>
    <w:p>
      <w:pPr>
        <w:ind w:left="580" w:right="40" w:hanging="572"/>
        <w:spacing w:after="0" w:line="265" w:lineRule="auto"/>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As of December 31, 2016, we had $396.9 million of unused borrowing capacity, subject to maintenance of the applicable total assets to debt ratio, under the 1940 Act. As of such date, we had $148.1 million in borrowings outstanding under our $545.0 million Credit Facility, $71.3 million in aggregate principal of 2025 Notes at an annual interest rate of 6.25% and $250.0 million in aggregate principal of 2019 Notes at an annual interest rate of 4.50%. As of December 31, 2016, our SBIC Funds had debenture commitments from the SBA in the amount of $225.0 million, had $197.5 million outstanding with a weighted average interest rate of 3.44%, exclusive of the 3.43% of upfront fees, and had $27.5 million remaining unused borrowing capacity subject to customary regulatory requirements. We may use proceeds of an offering of securities under this registration statement to repay outstanding obligations under our Credit Facility. After completing any such offering, we may continue to borrow under our Credit Facility to finance our investment objectives. Annual interest expense on borrowed funds represents actual interest expense incurred for the quarter ended December 31, 2016 annualized for a full year and amendment costs, if any, and we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46" w:lineRule="exact"/>
        <w:rPr>
          <w:rFonts w:ascii="Arial" w:cs="Arial" w:eastAsia="Arial" w:hAnsi="Arial"/>
          <w:sz w:val="12"/>
          <w:szCs w:val="12"/>
          <w:color w:val="auto"/>
        </w:rPr>
      </w:pPr>
    </w:p>
    <w:p>
      <w:pPr>
        <w:jc w:val="both"/>
        <w:ind w:left="580" w:right="160" w:hanging="572"/>
        <w:spacing w:after="0" w:line="233"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57" w:lineRule="exact"/>
        <w:rPr>
          <w:rFonts w:ascii="Arial" w:cs="Arial" w:eastAsia="Arial" w:hAnsi="Arial"/>
          <w:sz w:val="14"/>
          <w:szCs w:val="14"/>
          <w:color w:val="auto"/>
        </w:rPr>
      </w:pPr>
    </w:p>
    <w:p>
      <w:pPr>
        <w:ind w:left="580" w:hanging="572"/>
        <w:spacing w:after="0" w:line="278" w:lineRule="auto"/>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For a presentation and calculation of total annual expenses based on average total assets, see page 34 of this prospectus.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0.51%, (2) total net annual expenses of 8.56% of average net assets attributable to common shares as set forth in the table above (other than performance-based incentive fees) and (3) a 5% annual return.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You would pay the following expenses on a $1,000 common stock investment</w:t>
            </w:r>
          </w:p>
        </w:tc>
        <w:tc>
          <w:tcPr>
            <w:tcW w:w="4500" w:type="dxa"/>
            <w:vAlign w:val="bottom"/>
          </w:tcPr>
          <w:p>
            <w:pPr>
              <w:spacing w:after="0"/>
              <w:rPr>
                <w:sz w:val="15"/>
                <w:szCs w:val="15"/>
                <w:color w:val="auto"/>
              </w:rPr>
            </w:pPr>
          </w:p>
        </w:tc>
        <w:tc>
          <w:tcPr>
            <w:tcW w:w="440" w:type="dxa"/>
            <w:vAlign w:val="bottom"/>
            <w:gridSpan w:val="3"/>
          </w:tcPr>
          <w:p>
            <w:pPr>
              <w:spacing w:after="0"/>
              <w:rPr>
                <w:sz w:val="20"/>
                <w:szCs w:val="20"/>
                <w:color w:val="auto"/>
              </w:rPr>
            </w:pPr>
            <w:r>
              <w:rPr>
                <w:rFonts w:ascii="Arial" w:cs="Arial" w:eastAsia="Arial" w:hAnsi="Arial"/>
                <w:sz w:val="14"/>
                <w:szCs w:val="14"/>
                <w:b w:val="1"/>
                <w:bCs w:val="1"/>
                <w:color w:val="auto"/>
                <w:w w:val="99"/>
              </w:rPr>
              <w:t>1 Year</w:t>
            </w:r>
          </w:p>
        </w:tc>
        <w:tc>
          <w:tcPr>
            <w:tcW w:w="80" w:type="dxa"/>
            <w:vAlign w:val="bottom"/>
          </w:tcPr>
          <w:p>
            <w:pPr>
              <w:spacing w:after="0"/>
              <w:rPr>
                <w:sz w:val="15"/>
                <w:szCs w:val="15"/>
                <w:color w:val="auto"/>
              </w:rPr>
            </w:pPr>
          </w:p>
        </w:tc>
        <w:tc>
          <w:tcPr>
            <w:tcW w:w="440" w:type="dxa"/>
            <w:vAlign w:val="bottom"/>
            <w:gridSpan w:val="2"/>
          </w:tcPr>
          <w:p>
            <w:pPr>
              <w:spacing w:after="0"/>
              <w:rPr>
                <w:sz w:val="20"/>
                <w:szCs w:val="20"/>
                <w:color w:val="auto"/>
              </w:rPr>
            </w:pPr>
            <w:r>
              <w:rPr>
                <w:rFonts w:ascii="Arial" w:cs="Arial" w:eastAsia="Arial" w:hAnsi="Arial"/>
                <w:sz w:val="14"/>
                <w:szCs w:val="14"/>
                <w:b w:val="1"/>
                <w:bCs w:val="1"/>
                <w:color w:val="auto"/>
                <w:w w:val="84"/>
              </w:rPr>
              <w:t>3 Years</w:t>
            </w:r>
          </w:p>
        </w:tc>
        <w:tc>
          <w:tcPr>
            <w:tcW w:w="14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5 Years</w:t>
            </w: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w w:val="90"/>
              </w:rPr>
              <w:t>10 Years</w:t>
            </w:r>
          </w:p>
        </w:tc>
      </w:tr>
      <w:tr>
        <w:trPr>
          <w:trHeight w:val="136"/>
        </w:trPr>
        <w:tc>
          <w:tcPr>
            <w:tcW w:w="920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Assuming a 5% annual return (assumes no return from net realized capital gains or net unrealized capital appreciation)</w:t>
            </w:r>
          </w:p>
        </w:tc>
        <w:tc>
          <w:tcPr>
            <w:tcW w:w="12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ind w:left="60"/>
              <w:spacing w:after="0" w:line="136" w:lineRule="exact"/>
              <w:rPr>
                <w:sz w:val="20"/>
                <w:szCs w:val="20"/>
                <w:color w:val="auto"/>
              </w:rPr>
            </w:pPr>
            <w:r>
              <w:rPr>
                <w:rFonts w:ascii="Arial" w:cs="Arial" w:eastAsia="Arial" w:hAnsi="Arial"/>
                <w:sz w:val="12"/>
                <w:szCs w:val="12"/>
                <w:color w:val="auto"/>
                <w:w w:val="79"/>
              </w:rPr>
              <w:t>116</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270</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413</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728</w:t>
            </w:r>
          </w:p>
        </w:tc>
        <w:tc>
          <w:tcPr>
            <w:tcW w:w="40" w:type="dxa"/>
            <w:vAlign w:val="bottom"/>
            <w:tcBorders>
              <w:top w:val="single" w:sz="8" w:color="CCEEFF"/>
            </w:tcBorders>
            <w:shd w:val="clear" w:color="auto" w:fill="CCEEFF"/>
          </w:tcPr>
          <w:p>
            <w:pPr>
              <w:spacing w:after="0"/>
              <w:rPr>
                <w:sz w:val="11"/>
                <w:szCs w:val="11"/>
                <w:color w:val="auto"/>
              </w:rPr>
            </w:pPr>
          </w:p>
        </w:tc>
      </w:tr>
      <w:tr>
        <w:trPr>
          <w:trHeight w:val="175"/>
        </w:trPr>
        <w:tc>
          <w:tcPr>
            <w:tcW w:w="9200" w:type="dxa"/>
            <w:vAlign w:val="bottom"/>
            <w:gridSpan w:val="2"/>
          </w:tcPr>
          <w:p>
            <w:pPr>
              <w:spacing w:after="0"/>
              <w:rPr>
                <w:sz w:val="20"/>
                <w:szCs w:val="20"/>
                <w:color w:val="auto"/>
              </w:rPr>
            </w:pPr>
            <w:r>
              <w:rPr>
                <w:rFonts w:ascii="Arial" w:cs="Arial" w:eastAsia="Arial" w:hAnsi="Arial"/>
                <w:sz w:val="14"/>
                <w:szCs w:val="14"/>
                <w:color w:val="auto"/>
              </w:rPr>
              <w:t>Assuming a 5% annual return (assumes return from only realized capital gains and thus subject to the capital gains incentive fee)</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125</w:t>
            </w:r>
          </w:p>
        </w:tc>
        <w:tc>
          <w:tcPr>
            <w:tcW w:w="2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293</w:t>
            </w:r>
          </w:p>
        </w:tc>
        <w:tc>
          <w:tcPr>
            <w:tcW w:w="2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447</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772</w:t>
            </w:r>
          </w:p>
        </w:tc>
        <w:tc>
          <w:tcPr>
            <w:tcW w:w="40" w:type="dxa"/>
            <w:vAlign w:val="bottom"/>
          </w:tcPr>
          <w:p>
            <w:pPr>
              <w:spacing w:after="0"/>
              <w:rPr>
                <w:sz w:val="15"/>
                <w:szCs w:val="15"/>
                <w:color w:val="auto"/>
              </w:rPr>
            </w:pPr>
          </w:p>
        </w:tc>
      </w:tr>
    </w:tbl>
    <w:p>
      <w:pPr>
        <w:spacing w:after="0" w:line="141"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returns on our investments, including realized capital gains, result in an incentive fee, our expenses, and returns to investors, would be higher. The example assumes that all distributions are reinvested at NAV. Reinvestment of distributions under our dividend reinvestment plan may occur at a price per share that differs from NAV. See “Distributions” for more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69"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i w:val="1"/>
          <w:iCs w:val="1"/>
          <w:color w:val="auto"/>
        </w:rPr>
        <w:t>Before you invest in our securities, you should be aware of various risks, including those described below. You should carefully consider these risk factors, together with all of the other information included in this prospectus,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our Notes or any securities we may issue, may decline, and you may lose all or part of your investment.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32"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The U.S. and global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uncertainty regarding the United Kingdom referendum decision to leave the European Union (the so called “Brexit”), continuing signs of deteriorating sovereign debt conditions in Europe and an economic slowdown in China create uncertainty that could lead to further disruptions, instability and weakening consumer, corporate and financial confidence. We may in the future have difficulty accessing debt and equity capital markets, and a severe disruption in the global financial markets, deterioration in credit and financing conditions or uncertainty regarding U.S. government spending and deficit levels, Brexit, European sovereign debt, Chinese economic slowdown or other global economic conditions could have a material adverse effect on our business, financial condition and results of operations.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or a prolonged disruption in the credit markets could materially damage our business.</w:t>
      </w:r>
    </w:p>
    <w:p>
      <w:pPr>
        <w:spacing w:after="0" w:line="63" w:lineRule="exact"/>
        <w:rPr>
          <w:sz w:val="20"/>
          <w:szCs w:val="20"/>
          <w:color w:val="auto"/>
        </w:rPr>
      </w:pPr>
    </w:p>
    <w:p>
      <w:pPr>
        <w:ind w:right="40" w:firstLine="571"/>
        <w:spacing w:after="0" w:line="287"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requirements for a BDC, as defined under the 1940 Act, exclusive of the SBA debentures pursuant to our SEC exemptive relief. Declining portfolio values negatively impact our ability to borrow additional funds under our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 and could materially damage our business, financial condition and results of operations.</w:t>
      </w:r>
    </w:p>
    <w:p>
      <w:pPr>
        <w:spacing w:after="0" w:line="15"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 significant disruption in the capital markets experienced in the past has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reduced availability and/or mandatory prepayments under our Credit Facility, our Notes and SBA debentures.</w:t>
      </w:r>
    </w:p>
    <w:p>
      <w:pPr>
        <w:spacing w:after="0" w:line="63"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In addition to the asset coverage ratio requirements, our Credit Facility and the indenture governing our Notes contain various covenants which, if not complied with, could accelerate repayment under the Credit Facility and our Notes. This could have a material adverse effect on our business, financial condition and results of operations. Our borrowings under our Credit Facility are collateralized by the assets in our investment portfolio, excluding those portfolio investments held by our SBIC Funds. The agreements governing the Credit Facility require us to comply with certain financial and operational covenants. These covenants include:</w:t>
      </w:r>
    </w:p>
    <w:p>
      <w:pPr>
        <w:spacing w:after="0" w:line="48" w:lineRule="exact"/>
        <w:rPr>
          <w:sz w:val="20"/>
          <w:szCs w:val="20"/>
          <w:color w:val="auto"/>
        </w:rPr>
      </w:pPr>
    </w:p>
    <w:p>
      <w:pPr>
        <w:ind w:left="1460" w:hanging="655"/>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requirement to retain our tax status as a RIC;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60" w:hanging="655"/>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requirement to maintain a minimum amount of stockholder’s equity; and</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 of our portfolio.</w:t>
      </w:r>
    </w:p>
    <w:p>
      <w:pPr>
        <w:spacing w:after="0" w:line="113"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In addition to the Credit Facility, we have issued our Notes and our SBIC Funds have issued SBA debentures that require us and our SBIC Funds to generate sufficient cash flow to make required interest payments. Further, our SBIC Funds must maintain a minimum capitalization that, if impaired, could materially and adversely affect our liquidity, financial condition and results of operations by accelerating repayment under the SBA debentures. Our borrowings under the SBA debentures are secured by the assets of our SBIC Funds.</w:t>
      </w:r>
    </w:p>
    <w:p>
      <w:pPr>
        <w:spacing w:after="0" w:line="62"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This could have a material adverse effect on our operations, as it would reduce availability under the Credit Facility and could trigger mandatory prepayment obligations under the terms of the Credit Facility and our Notes.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4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borrowers may default on their payments, which may have a materially negative effect on our financial performance.</w:t>
      </w:r>
    </w:p>
    <w:p>
      <w:pPr>
        <w:spacing w:after="0" w:line="90"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4"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62"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We make long-term loans and debt investments, which may involve a high degree of repayment risk. Our investments with a deferred interest feature, such as original issue discount, or OID, income and payment-in-kind, or PIK, interest, could represent a higher credit risk than investments that must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i w:val="1"/>
          <w:iCs w:val="1"/>
          <w:color w:val="auto"/>
        </w:rPr>
        <w:t>Any unrealized losses we experience on our investment portfolio may be an indication of future realized losses, which could reduce our income available for distribution.</w:t>
      </w:r>
    </w:p>
    <w:p>
      <w:pPr>
        <w:ind w:right="40" w:firstLine="456"/>
        <w:spacing w:after="0" w:line="255" w:lineRule="auto"/>
        <w:rPr>
          <w:sz w:val="20"/>
          <w:szCs w:val="20"/>
          <w:color w:val="auto"/>
        </w:rPr>
      </w:pPr>
      <w:r>
        <w:rPr>
          <w:rFonts w:ascii="Arial" w:cs="Arial" w:eastAsia="Arial" w:hAnsi="Arial"/>
          <w:sz w:val="18"/>
          <w:szCs w:val="18"/>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 fair value of our portfolio companies reflects unrealized losses that are subsequently realized, we could experience reductions of our income available for distribution in future periods that could materially harm our results of operations and cause a material decline in the value of our publicly traded common stock.</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the target of litigation.</w:t>
      </w:r>
    </w:p>
    <w:p>
      <w:pPr>
        <w:spacing w:after="0" w:line="36"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We may be the target of securities litigation in the future, particularly if the trading price of our common stock and our Notes fluctuates significantly. We could also generally be subject to litigation, including derivative actions by our stockholders. Any litigation could result in substantial costs and divert management’s attention and resources from our business and cause a material adverse effect on our business, financial condition and results of operations.</w:t>
      </w:r>
    </w:p>
    <w:p>
      <w:pPr>
        <w:spacing w:after="0" w:line="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depend on the diligence, skill and network of business contacts of the senior investment professionals of our Investment Adviser for our future success. We also depend, to a 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 that may affect our cost of capital and net investment income.</w:t>
      </w:r>
    </w:p>
    <w:p>
      <w:pPr>
        <w:spacing w:after="0" w:line="3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will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which may diminish the actual benefits of any hedging strategy we employ. See “Management’s Discussion and Analysis of Financial Condition and Results of Operations—Quantitative and Qualitative Disclosures about Market Risk” for more information.</w:t>
      </w:r>
    </w:p>
    <w:p>
      <w:pPr>
        <w:spacing w:after="0" w:line="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our Credit Facility, thereby decreasing our net investment income. Also, an increase in interest rates available to investors could make an investment in our common stock less attractive if we are not able to increase our dividend rate, which could reduce the value of our common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financial condition and results of operation depend on our ability to manage future growth effectively.</w:t>
      </w:r>
    </w:p>
    <w:p>
      <w:pPr>
        <w:spacing w:after="0" w:line="15" w:lineRule="exact"/>
        <w:rPr>
          <w:sz w:val="20"/>
          <w:szCs w:val="20"/>
          <w:color w:val="auto"/>
        </w:rPr>
      </w:pPr>
    </w:p>
    <w:p>
      <w:pPr>
        <w:ind w:right="80" w:firstLine="456"/>
        <w:spacing w:after="0" w:line="265" w:lineRule="auto"/>
        <w:rPr>
          <w:sz w:val="20"/>
          <w:szCs w:val="20"/>
          <w:color w:val="auto"/>
        </w:rPr>
      </w:pPr>
      <w:r>
        <w:rPr>
          <w:rFonts w:ascii="Arial" w:cs="Arial" w:eastAsia="Arial" w:hAnsi="Arial"/>
          <w:sz w:val="12"/>
          <w:szCs w:val="12"/>
          <w:color w:val="auto"/>
        </w:rPr>
        <w:t>Our ability to achieve our investment objectives depends on our ability to grow, which depends, in turn, on our Investment Adviser’s ability to identify, invest in and monitor companies that meet our investment selection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for us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rPr>
          <w:sz w:val="20"/>
          <w:szCs w:val="20"/>
          <w:color w:val="auto"/>
        </w:rPr>
      </w:pPr>
      <w:r>
        <w:rPr>
          <w:rFonts w:ascii="Arial" w:cs="Arial" w:eastAsia="Arial" w:hAnsi="Arial"/>
          <w:sz w:val="14"/>
          <w:szCs w:val="14"/>
          <w:b w:val="1"/>
          <w:bCs w:val="1"/>
          <w:i w:val="1"/>
          <w:iCs w:val="1"/>
          <w:color w:val="auto"/>
        </w:rPr>
        <w:t>We are highly dependent on information systems and systems failures could have a material adverse effect on our business, financial condition and results of operations.</w:t>
      </w:r>
    </w:p>
    <w:p>
      <w:pPr>
        <w:spacing w:after="0" w:line="15" w:lineRule="exact"/>
        <w:rPr>
          <w:sz w:val="20"/>
          <w:szCs w:val="20"/>
          <w:color w:val="auto"/>
        </w:rPr>
      </w:pPr>
    </w:p>
    <w:p>
      <w:pPr>
        <w:ind w:right="100" w:firstLine="456"/>
        <w:spacing w:after="0" w:line="281" w:lineRule="auto"/>
        <w:rPr>
          <w:sz w:val="20"/>
          <w:szCs w:val="20"/>
          <w:color w:val="auto"/>
        </w:rPr>
      </w:pPr>
      <w:r>
        <w:rPr>
          <w:rFonts w:ascii="Arial" w:cs="Arial" w:eastAsia="Arial" w:hAnsi="Arial"/>
          <w:sz w:val="12"/>
          <w:szCs w:val="12"/>
          <w:color w:val="auto"/>
        </w:rPr>
        <w:t>Our business depends on the communications and information systems, including financial and accounting systems, of the Investment Adviser, the Administrator and our sub-administrator. Any failure or interruption of such systems could cause delays or other problems in our activities. This, in turn, could have a material adverse effect on our business, financial condition and results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replicate the historical performance of other investment companies and funds with which our senior and other investment professionals have been affiliated.</w:t>
      </w:r>
    </w:p>
    <w:p>
      <w:pPr>
        <w:spacing w:after="0" w:line="15" w:lineRule="exact"/>
        <w:rPr>
          <w:sz w:val="20"/>
          <w:szCs w:val="20"/>
          <w:color w:val="auto"/>
        </w:rPr>
      </w:pPr>
    </w:p>
    <w:p>
      <w:pPr>
        <w:ind w:right="80" w:firstLine="456"/>
        <w:spacing w:after="0" w:line="266" w:lineRule="auto"/>
        <w:rPr>
          <w:sz w:val="20"/>
          <w:szCs w:val="20"/>
          <w:color w:val="auto"/>
        </w:rPr>
      </w:pPr>
      <w:r>
        <w:rPr>
          <w:rFonts w:ascii="Arial" w:cs="Arial" w:eastAsia="Arial" w:hAnsi="Arial"/>
          <w:sz w:val="12"/>
          <w:szCs w:val="12"/>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senior and other investment professionals have been affiliated, and we caution that our investment returns could be substantially lower than the returns achieved by such other companies.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failure on our part to maintain our status as a BDC would reduce our operating flexibility.</w:t>
      </w:r>
    </w:p>
    <w:p>
      <w:pPr>
        <w:spacing w:after="0" w:line="15" w:lineRule="exact"/>
        <w:rPr>
          <w:sz w:val="20"/>
          <w:szCs w:val="20"/>
          <w:color w:val="auto"/>
        </w:rPr>
      </w:pPr>
    </w:p>
    <w:p>
      <w:pPr>
        <w:ind w:right="80" w:firstLine="456"/>
        <w:spacing w:after="0" w:line="281" w:lineRule="auto"/>
        <w:rPr>
          <w:sz w:val="20"/>
          <w:szCs w:val="20"/>
          <w:color w:val="auto"/>
        </w:rPr>
      </w:pPr>
      <w:r>
        <w:rPr>
          <w:rFonts w:ascii="Arial" w:cs="Arial" w:eastAsia="Arial" w:hAnsi="Arial"/>
          <w:sz w:val="12"/>
          <w:szCs w:val="12"/>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of RIC tax status would substantially reduce our net assets and income available for debt service and distributions.</w:t>
      </w:r>
    </w:p>
    <w:p>
      <w:pPr>
        <w:spacing w:after="0" w:line="15" w:lineRule="exact"/>
        <w:rPr>
          <w:sz w:val="20"/>
          <w:szCs w:val="20"/>
          <w:color w:val="auto"/>
        </w:rPr>
      </w:pPr>
    </w:p>
    <w:p>
      <w:pPr>
        <w:ind w:right="20" w:firstLine="456"/>
        <w:spacing w:after="0" w:line="263" w:lineRule="auto"/>
        <w:rPr>
          <w:sz w:val="20"/>
          <w:szCs w:val="20"/>
          <w:color w:val="auto"/>
        </w:rPr>
      </w:pPr>
      <w:r>
        <w:rPr>
          <w:rFonts w:ascii="Arial" w:cs="Arial" w:eastAsia="Arial" w:hAnsi="Arial"/>
          <w:sz w:val="12"/>
          <w:szCs w:val="12"/>
          <w:color w:val="auto"/>
        </w:rPr>
        <w:t>We have operated and continue to operate so as to maintain our election to be treated as a RIC under Subchapter M of the Code. If we meet the annual source of income, Diversification Tests, and Annual Distribution Requirement, we generally will not be subject to corporate-level income taxation on income we timely distribute, or deem to distribute, as dividends for U.S. federal income tax purposes to our stockholders. We would cease to qualify for such tax treatment if we were unable to comply with these requirements. In addition, we may have difficulty meeting our Annual Distribution Requirement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to our stockholders in respect of each calendar year of an amount at least equal to the sum of (1) 98% of our net ordinary income (subject to certain deferrals and elections) for the calendar year, (2) 98.2% of our capital gain net income (adjusted for certain ordinary losses) generally for the one-year period ending on October 31 of the calendar year plus (3) any net ordinary income or capital gain net income for preceding years that was not distributed during such years and on which we were not subject to corporate income tax, or the Excise Tax Avoidance Requirement.</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have difficulty paying our Annual Distribution Requirement if we recognize income before or without receiving cash representing such income.</w:t>
      </w:r>
    </w:p>
    <w:p>
      <w:pPr>
        <w:spacing w:after="0" w:line="15"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firstLine="571"/>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PIK or OID interest, it is possible that accrued interest previously used in the calculation of the incentive fee will become uncollectible.</w:t>
      </w:r>
    </w:p>
    <w:p>
      <w:pPr>
        <w:spacing w:after="0" w:line="59"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We may have difficulty meeting the tax requirement to distribute at least 90% of the sum of our ordinary income and realized net short-term capital gains, if any, to obtain RIC tax benefits. Accordingly,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lose our RIC tax status and thus be subject to corporate-level income tax.</w:t>
      </w:r>
    </w:p>
    <w:p>
      <w:pPr>
        <w:spacing w:after="0" w:line="62" w:lineRule="exact"/>
        <w:rPr>
          <w:sz w:val="20"/>
          <w:szCs w:val="20"/>
          <w:color w:val="auto"/>
        </w:rPr>
      </w:pPr>
    </w:p>
    <w:p>
      <w:pPr>
        <w:ind w:right="40"/>
        <w:spacing w:after="0" w:line="357" w:lineRule="auto"/>
        <w:rPr>
          <w:sz w:val="20"/>
          <w:szCs w:val="20"/>
          <w:color w:val="auto"/>
        </w:rPr>
      </w:pPr>
      <w:r>
        <w:rPr>
          <w:rFonts w:ascii="Arial" w:cs="Arial" w:eastAsia="Arial" w:hAnsi="Arial"/>
          <w:sz w:val="15"/>
          <w:szCs w:val="15"/>
          <w:b w:val="1"/>
          <w:bCs w:val="1"/>
          <w:i w:val="1"/>
          <w:iCs w:val="1"/>
          <w:color w:val="auto"/>
        </w:rPr>
        <w:t>Because we intend to distribute substantially all of our income to our stockholders to maintain our tax status as a RIC, we will need to raise additional capital to finance our growth. If funds are not available to us, we may need to curtail new investments, and our common stock value could decline.</w:t>
      </w:r>
    </w:p>
    <w:p>
      <w:pPr>
        <w:ind w:right="160" w:firstLine="571"/>
        <w:spacing w:after="0" w:line="306" w:lineRule="auto"/>
        <w:rPr>
          <w:sz w:val="20"/>
          <w:szCs w:val="20"/>
          <w:color w:val="auto"/>
        </w:rPr>
      </w:pPr>
      <w:r>
        <w:rPr>
          <w:rFonts w:ascii="Arial" w:cs="Arial" w:eastAsia="Arial" w:hAnsi="Arial"/>
          <w:sz w:val="16"/>
          <w:szCs w:val="16"/>
          <w:color w:val="auto"/>
        </w:rPr>
        <w:t>In order to satisfy the requirements to be treated as a RIC for federal income tax purposes, we intend to distribute to our stockholders substantially all of our investment company taxable income and net capital gains each taxable year. However, we may retain all or a portion of our net capital gains and pay applicable income taxes with respect thereto and elect to treat such retained net capital gains as deemed dividend distributions to our stockholders.</w:t>
      </w:r>
    </w:p>
    <w:p>
      <w:pPr>
        <w:spacing w:after="0" w:line="26"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As a BDC, we are required to meet a 200% asset coverage ratio of total assets to total senior securities, which includes all of our borrowings, exclusive of the SBA debentures pursuant to SEC exemptive relief,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35"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We are partially dependent on our SBIC Funds for cash distributions to enable us to meet the RIC distribution requirements. Our SBIC Funds may be limited by the SBA regulations governing SBICs from making certain distributions to us that may be necessary to fulfill our requirements to be subject to tax as a RIC for federal income tax purposes. We may have to request a waiver of the SBA’s restrictions for our SBIC Funds to make certain distributions to enable us to be treated as a RIC for federal income tax purposes. We cannot assure you that the SBA will grant such waiver, and if our SBIC Funds are unable to obtain a waiver, compliance with the SBA regulations may cause us to incur corporate-level income tax.</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will affect our ability to, and the way in which we, raise additional capital.</w:t>
      </w:r>
    </w:p>
    <w:p>
      <w:pPr>
        <w:spacing w:after="0" w:line="90"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or through SBA debentures. However, we may not be able to raise additional capital in the future on favorable terms or at all. We may issue additional debt securities or preferred securities, which we refer to collectively as “senior securities,” and we may borrow money from banks, through the SBA debenture program or other financial institutions, up to the maximum amount permitted by the 1940 Act. Under the 1940 Act, the asset coverage ratio requirements permit us to issue senior securities or incur indebtedness subject to certain limitations, exclusive of the SBA debentures pursuant to our SEC exemptive relief. Our ability to pay distributions or issue additional senior securities would be restricted if our asset coverage ratio was not met. If the value of our assets declines, we may be unable to satisfy the asset coverage ratio. If that happens, we may be required to liquidate a portion of our investments and repay a portion of our indebtedness at a time when such sales may be disadvantageous, which could materially damage our business, financial condition and results of operations.</w:t>
      </w:r>
    </w:p>
    <w:p>
      <w:pPr>
        <w:spacing w:after="0" w:line="42" w:lineRule="exact"/>
        <w:rPr>
          <w:sz w:val="20"/>
          <w:szCs w:val="20"/>
          <w:color w:val="auto"/>
        </w:rPr>
      </w:pPr>
    </w:p>
    <w:p>
      <w:pPr>
        <w:ind w:left="1460" w:right="40" w:hanging="655"/>
        <w:spacing w:after="0" w:line="253"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Senior Securities. </w:t>
      </w:r>
      <w:r>
        <w:rPr>
          <w:rFonts w:ascii="Arial" w:cs="Arial" w:eastAsia="Arial" w:hAnsi="Arial"/>
          <w:sz w:val="18"/>
          <w:szCs w:val="18"/>
          <w:color w:val="auto"/>
        </w:rPr>
        <w:t>As a result of issuing senior securities, including our Notes, we are exposed to typical risks associated with leverage,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an increased 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66" w:lineRule="exact"/>
        <w:rPr>
          <w:rFonts w:ascii="Arial" w:cs="Arial" w:eastAsia="Arial" w:hAnsi="Arial"/>
          <w:sz w:val="18"/>
          <w:szCs w:val="18"/>
          <w:color w:val="auto"/>
        </w:rPr>
      </w:pPr>
    </w:p>
    <w:p>
      <w:pPr>
        <w:ind w:left="1460" w:hanging="655"/>
        <w:spacing w:after="0" w:line="254"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Additional Common Stock. </w:t>
      </w:r>
      <w:r>
        <w:rPr>
          <w:rFonts w:ascii="Arial" w:cs="Arial" w:eastAsia="Arial" w:hAnsi="Arial"/>
          <w:sz w:val="18"/>
          <w:szCs w:val="18"/>
          <w:color w:val="auto"/>
        </w:rPr>
        <w:t>Our board of directors may decide to issue common stock to finance our operations rather than issuing debt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senior securities. As a BDC, we 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80" w:right="40"/>
        <w:spacing w:after="0" w:line="285" w:lineRule="auto"/>
        <w:rPr>
          <w:sz w:val="20"/>
          <w:szCs w:val="20"/>
          <w:color w:val="auto"/>
        </w:rPr>
      </w:pPr>
      <w:r>
        <w:rPr>
          <w:rFonts w:ascii="Arial" w:cs="Arial" w:eastAsia="Arial" w:hAnsi="Arial"/>
          <w:sz w:val="16"/>
          <w:szCs w:val="16"/>
          <w:color w:val="auto"/>
        </w:rPr>
        <w:t>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because there is a time-intensive process each quarter to determine the NAV per share of our common stock which cannot be completed in 48 hours. The quarterly process includes preliminary valuation conclusions, engagement of independent valuation firms and review by those firms of preliminary valuation conclusions. See “Determination of Net Asset Value.” By contrast, the procedures in connection with an offering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45" w:lineRule="exact"/>
        <w:rPr>
          <w:sz w:val="20"/>
          <w:szCs w:val="20"/>
          <w:color w:val="auto"/>
        </w:rPr>
      </w:pPr>
    </w:p>
    <w:p>
      <w:pPr>
        <w:ind w:left="1360" w:hanging="447"/>
        <w:spacing w:after="0" w:line="305" w:lineRule="auto"/>
        <w:tabs>
          <w:tab w:leader="none" w:pos="1360" w:val="left"/>
        </w:tabs>
        <w:numPr>
          <w:ilvl w:val="0"/>
          <w:numId w:val="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Securitization. </w:t>
      </w:r>
      <w:r>
        <w:rPr>
          <w:rFonts w:ascii="Arial" w:cs="Arial" w:eastAsia="Arial" w:hAnsi="Arial"/>
          <w:sz w:val="15"/>
          <w:szCs w:val="15"/>
          <w:color w:val="auto"/>
        </w:rPr>
        <w:t>In addition to issuing securities to raise capital as described above, we anticipate that in the future, as market conditions permit,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247" w:lineRule="exact"/>
        <w:rPr>
          <w:rFonts w:ascii="Arial" w:cs="Arial" w:eastAsia="Arial" w:hAnsi="Arial"/>
          <w:sz w:val="15"/>
          <w:szCs w:val="15"/>
          <w:color w:val="auto"/>
        </w:rPr>
      </w:pPr>
    </w:p>
    <w:p>
      <w:pPr>
        <w:ind w:left="1360" w:right="100" w:hanging="447"/>
        <w:spacing w:after="0" w:line="255" w:lineRule="auto"/>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SBA Debentures. </w:t>
      </w:r>
      <w:r>
        <w:rPr>
          <w:rFonts w:ascii="Arial" w:cs="Arial" w:eastAsia="Arial" w:hAnsi="Arial"/>
          <w:sz w:val="18"/>
          <w:szCs w:val="18"/>
          <w:color w:val="auto"/>
        </w:rPr>
        <w:t>In addition to issuing securities and using securitizations to raise capital as described above, we have issued and may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issue, as permitted under SBA regulations and through our wholly owned subsidiaries, SBIC LP, SBIC II and any future SBIC subsidiary, SBA debentures to generate cash for funding new investments. To issue SBA debentures, we may request commitments for debt capital from the SBA. Our SBIC Funds are and any future SBIC subsidiary may be exposed to any losses on its portfolio of loans, however, such debentures are non-recourse to 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SBIC Funds may be unable to make distributions to us that will enable us to meet or maintain RIC tax status.</w:t>
      </w:r>
    </w:p>
    <w:p>
      <w:pPr>
        <w:spacing w:after="0" w:line="90" w:lineRule="exact"/>
        <w:rPr>
          <w:sz w:val="20"/>
          <w:szCs w:val="20"/>
          <w:color w:val="auto"/>
        </w:rPr>
      </w:pPr>
    </w:p>
    <w:p>
      <w:pPr>
        <w:ind w:right="20" w:firstLine="571"/>
        <w:spacing w:after="0" w:line="253" w:lineRule="auto"/>
        <w:rPr>
          <w:sz w:val="20"/>
          <w:szCs w:val="20"/>
          <w:color w:val="auto"/>
        </w:rPr>
      </w:pPr>
      <w:r>
        <w:rPr>
          <w:rFonts w:ascii="Arial" w:cs="Arial" w:eastAsia="Arial" w:hAnsi="Arial"/>
          <w:sz w:val="18"/>
          <w:szCs w:val="18"/>
          <w:color w:val="auto"/>
        </w:rPr>
        <w:t>In order for us to continue to qualify for RIC tax treatment and to minimize corporate-level income taxes, we will be required to distribute substantially all of our consolidated investment company taxable income and capital gains net income, including income from our SBIC Funds, each taxable year as dividends to our stockholders. We will be partially dependent on our SBIC Funds for cash distributions to enable us to meet the RIC distribution requirements. Our SBIC Funds may be limited by SBA regulations governing SBICs from making certain distributions to us that may be necessary to maintain our status as a RIC. We may have to request a waiver of the SBA’s restrictions for our SBIC Funds to make certain distributions to maintain our RIC tax status. We cannot assure you that the SBA will grant such waiver and if our SBIC Funds are unable to obtain a waiver, compliance with the SBA regulations may result in corporate level income tax on us.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SBIC Funds are licensed by the SBA and are subject to SBA regulations.</w:t>
      </w:r>
    </w:p>
    <w:p>
      <w:pPr>
        <w:spacing w:after="0" w:line="36"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Our wholly owned subsidiaries, SBIC LP and SBIC II, received licenses to operate as SBICs under the 1958 Act and are regulated by the SBA. The SBA places certain limitations on the financing terms of investments by SBICs in portfolio companies and regulates the types of financings and prohibits investing in certain industries. Compliance with SBIC requirements may cause our SBIC Funds to make investments at lower rates in order to qualify investments under the SBA regulations.</w:t>
      </w:r>
    </w:p>
    <w:p>
      <w:pPr>
        <w:spacing w:after="0" w:line="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Further, SBA regulations require that a licensed SBIC be periodically examined and audited by the SBA to determine its compliance with the relevant regulations. If our SBIC Funds fail to comply with applicable regulations, the SBA could, depending on the severity of the violation, limit or prohibit their use of debentures, declare outstanding debentures immediately due and payable, and/or limit them from making new investments. In addition, the SBA could revoke or suspend our SBIC Funds’ licenses for willful or repeated violation of, or willful or repeated failure to observe, any provision of the 1958 Act or any rule or regulation promulgated thereunder. These actions by the SBA would, in turn, negatively affect us because our SBIC Funds are our wholly owned subsidiaries.</w:t>
      </w:r>
    </w:p>
    <w:p>
      <w:pPr>
        <w:spacing w:after="0" w:line="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Current SBA regulations limit the amount that any single SBIC may borrow to a maximum of $150.0 million, which is up to twice its regulatory capital, and a maximum of $350.0 million as part of a group of SBICs under common control.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use borrowed funds to make investments and are exposed to the typical risks associated with leverage.</w:t>
      </w:r>
    </w:p>
    <w:p>
      <w:pPr>
        <w:spacing w:after="0" w:line="3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may be restricted when our asset coverage ratio is not met, exclusive of the SBA debentures pursuant to SEC exemptive relief, and any cash that we use to service our indebtedness is not available for distribution to our common stockholders.</w:t>
      </w:r>
    </w:p>
    <w:p>
      <w:pPr>
        <w:spacing w:after="0" w:line="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current debt is governed by the terms of our Notes, Credit Facility and the SBA debentures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 and may also carry leverage related risks. Leverage magnifies the potential risks for loss and the risks of investing in us, both as detailed below.</w:t>
      </w:r>
    </w:p>
    <w:p>
      <w:pPr>
        <w:spacing w:after="0" w:line="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Additionally, our SBIC Funds have received borrowed funds and may in the future receive funds from the SBA through its debenture program. In connection with the filing of its initial SBA license application, PennantPark Investment received exemptive relief, in 2011, from the SEC to permit us to exclude the debt of our SBIC Funds from our consolidated asset coverage ratio. Our ratio of total assets on a consolidated basis to outstanding indebtedness may be less than the applicable asset coverage ratio, which while providing increased investment flexibility, would also increase our exposure to risks associated with leverage.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incur additional debt, it could increase the risk of investing in our shares.</w:t>
      </w:r>
    </w:p>
    <w:p>
      <w:pPr>
        <w:spacing w:after="0" w:line="36"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We have indebtedness outstanding pursuant to our Notes, Credit Facility and SBA debentures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our SBIC Funds, in connection with our Credit Facility borrowings. In the case of a liquidation event, those lenders would receive proceeds before our stockholders. Additionally, the SBA, as a lender and an administrative agent, has a superior claim over the assets of our SBIC Funds in relation to our other creditors. Any future debt issuance will increase our leverage and may be subordinate to our Credit Facility and SBA debentures. In addition, borrowings or debt issuances and SBA debentures,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2016, we had outstanding borrowings of $148.1 million under our Credit Facility, $250.0 million outstanding under our 2019 Notes,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$71.3 million outstanding under our 2025 Notes and $197.5 million outstanding under the SBA debentures. Our consolidated debt outstanding was $666.9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had a weighted average annual interest rate at the time of 3.96%, exclusive of the fee on undrawn commitment on our Credit Facility and 3.43% of upfront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fees on the SBA debentures. To cover the annual interest on our borrowings of $666.9 million outstanding at December 31, 2016, at the weighted average annual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rate of 3.96%, we would have to receive an annual yield of at least 2.01%. This example is for illustrative purposes only, and actual interest rates on our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Facility or any future borrowings are likely to fluctuate. The costs associated with our borrowings, including any increase in the management fee or incentive fee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payable to our Investment Adviser, are and will be borne by our common stockholders.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571"/>
        <w:spacing w:after="0" w:line="254" w:lineRule="auto"/>
        <w:rPr>
          <w:sz w:val="20"/>
          <w:szCs w:val="20"/>
          <w:color w:val="auto"/>
        </w:rPr>
      </w:pPr>
      <w:r>
        <w:rPr>
          <w:rFonts w:ascii="Arial" w:cs="Arial" w:eastAsia="Arial" w:hAnsi="Arial"/>
          <w:sz w:val="18"/>
          <w:szCs w:val="18"/>
          <w:color w:val="auto"/>
        </w:rPr>
        <w:t>The following table is designed to illustrate the effect on the return to a holder of our common stock of the leverage created by our use of borrowing at December 31, 2016 of 47% of total assets (including such borrowed funds), at the weighted average rate at the time of 3.96%,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1"/>
                <w:szCs w:val="11"/>
                <w:color w:val="auto"/>
              </w:rPr>
              <w:t>(1)</w:t>
            </w:r>
          </w:p>
        </w:tc>
        <w:tc>
          <w:tcPr>
            <w:tcW w:w="2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(5.0)%</w:t>
            </w:r>
          </w:p>
        </w:tc>
        <w:tc>
          <w:tcPr>
            <w:tcW w:w="7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558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2860" w:type="dxa"/>
            <w:vAlign w:val="bottom"/>
          </w:tcPr>
          <w:p>
            <w:pPr>
              <w:jc w:val="right"/>
              <w:ind w:right="52"/>
              <w:spacing w:after="0"/>
              <w:rPr>
                <w:sz w:val="20"/>
                <w:szCs w:val="20"/>
                <w:color w:val="auto"/>
              </w:rPr>
            </w:pPr>
            <w:r>
              <w:rPr>
                <w:rFonts w:ascii="Arial" w:cs="Arial" w:eastAsia="Arial" w:hAnsi="Arial"/>
                <w:sz w:val="18"/>
                <w:szCs w:val="18"/>
                <w:color w:val="auto"/>
              </w:rPr>
              <w:t>(25.5)%</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(14.8)%</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(4.1)%</w:t>
            </w: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6.6%</w:t>
            </w:r>
          </w:p>
        </w:tc>
        <w:tc>
          <w:tcPr>
            <w:tcW w:w="660" w:type="dxa"/>
            <w:vAlign w:val="bottom"/>
          </w:tcPr>
          <w:p>
            <w:pPr>
              <w:jc w:val="right"/>
              <w:spacing w:after="0"/>
              <w:rPr>
                <w:sz w:val="20"/>
                <w:szCs w:val="20"/>
                <w:color w:val="auto"/>
              </w:rPr>
            </w:pPr>
            <w:r>
              <w:rPr>
                <w:rFonts w:ascii="Arial" w:cs="Arial" w:eastAsia="Arial" w:hAnsi="Arial"/>
                <w:sz w:val="18"/>
                <w:szCs w:val="18"/>
                <w:color w:val="auto"/>
              </w:rPr>
              <w:t>17.3%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8865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9" w:lineRule="exact"/>
        <w:rPr>
          <w:sz w:val="20"/>
          <w:szCs w:val="20"/>
          <w:color w:val="auto"/>
        </w:rPr>
      </w:pPr>
    </w:p>
    <w:p>
      <w:pPr>
        <w:ind w:left="580" w:hanging="572"/>
        <w:spacing w:after="0"/>
        <w:tabs>
          <w:tab w:leader="none" w:pos="58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580" w:hanging="572"/>
        <w:spacing w:after="0" w:line="203" w:lineRule="auto"/>
        <w:tabs>
          <w:tab w:leader="none" w:pos="580" w:val="left"/>
        </w:tabs>
        <w:numPr>
          <w:ilvl w:val="0"/>
          <w:numId w:val="8"/>
        </w:numPr>
        <w:rPr>
          <w:rFonts w:ascii="Arial" w:cs="Arial" w:eastAsia="Arial" w:hAnsi="Arial"/>
          <w:sz w:val="21"/>
          <w:szCs w:val="21"/>
          <w:color w:val="auto"/>
          <w:vertAlign w:val="superscript"/>
        </w:rPr>
      </w:pPr>
      <w:r>
        <w:rPr>
          <w:rFonts w:ascii="Arial" w:cs="Arial" w:eastAsia="Arial" w:hAnsi="Arial"/>
          <w:sz w:val="13"/>
          <w:szCs w:val="13"/>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60"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preferred stock, which would magnify the potential for loss and the risks of investing in us.</w:t>
      </w:r>
    </w:p>
    <w:p>
      <w:pPr>
        <w:spacing w:after="0" w:line="51" w:lineRule="exact"/>
        <w:rPr>
          <w:sz w:val="20"/>
          <w:szCs w:val="20"/>
          <w:color w:val="auto"/>
        </w:rPr>
      </w:pPr>
    </w:p>
    <w:p>
      <w:pPr>
        <w:ind w:right="100" w:firstLine="571"/>
        <w:spacing w:after="0" w:line="289"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the best interest of stockholders.</w:t>
      </w:r>
    </w:p>
    <w:p>
      <w:pPr>
        <w:spacing w:after="0" w:line="3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debt securities, which would magnify the potential for loss and the risks of investing in us.</w:t>
      </w:r>
    </w:p>
    <w:p>
      <w:pPr>
        <w:spacing w:after="0" w:line="51" w:lineRule="exact"/>
        <w:rPr>
          <w:sz w:val="20"/>
          <w:szCs w:val="20"/>
          <w:color w:val="auto"/>
        </w:rPr>
      </w:pPr>
    </w:p>
    <w:p>
      <w:pPr>
        <w:ind w:right="20" w:firstLine="571"/>
        <w:spacing w:after="0" w:line="314" w:lineRule="auto"/>
        <w:rPr>
          <w:sz w:val="20"/>
          <w:szCs w:val="20"/>
          <w:color w:val="auto"/>
        </w:rPr>
      </w:pPr>
      <w:r>
        <w:rPr>
          <w:rFonts w:ascii="Arial" w:cs="Arial" w:eastAsia="Arial" w:hAnsi="Arial"/>
          <w:sz w:val="15"/>
          <w:szCs w:val="15"/>
          <w:color w:val="auto"/>
        </w:rPr>
        <w:t>As a result of the issuance of our Notes and SBA debentures, we are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additional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ratings may not reflect all risks of an investment in our debt securities.</w:t>
      </w:r>
    </w:p>
    <w:p>
      <w:pPr>
        <w:spacing w:after="0" w:line="90"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our publicly issued debt securities. Our credit ratings, generally may not reflect the potential impact of risks related to market conditions or other factors discussed above on the market value of, or trading market for, any publicly issued debt securities.</w:t>
      </w:r>
    </w:p>
    <w:p>
      <w:pPr>
        <w:spacing w:after="0" w:line="2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A downgrade, suspension or withdrawal of the credit rating assigned by a rating agency to us or our Notes, if any, or change in the debt markets could cause the liquidity or market value of our Notes to decline significantly.</w:t>
      </w:r>
    </w:p>
    <w:p>
      <w:pPr>
        <w:spacing w:after="0" w:line="51"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Our credit ratings are an assessment by rating agencies of our ability to pay our debts when they come due. Consequently, real or anticipated changes in our credit ratings will generally affect the market value of our Notes. In March 2017, Fitch Ratings, or Fitch, placed our investment grade rating on negative watch due to elevated leverage. This means that there is a more imminent potential for a ratings downgrade. Our credit ratings may not reflect the potential impact of risks relating to the structure or marketing of our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our Notes of any changes in our credit ratings. The 2019 Notes are rated by Standard &amp; Poor’s Ratings Services, or S&amp;P, and Fitch. There can be no assurance that their respective credit ratings will remain for any given period of time or that such credit ratings will not be lowered or withdrawn entirely by S&amp;P or Fitch if in either of their respective judgments future circumstances relating to the basis of the credit rating, such as adverse changes in our Company, so warrant. The conditions of the financial markets and prevailing interest rates have fluctuated in the past and are likely to fluctuate in the future.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b w:val="1"/>
          <w:bCs w:val="1"/>
          <w:i w:val="1"/>
          <w:iCs w:val="1"/>
          <w:color w:val="auto"/>
        </w:rPr>
        <w:t>Market conditions may make it difficult to extend the maturity of or refinance our existing indebtedness and any failure to do so could have a material adverse effect on our business.</w:t>
      </w:r>
    </w:p>
    <w:p>
      <w:pPr>
        <w:ind w:right="100" w:firstLine="456"/>
        <w:spacing w:after="0" w:line="285" w:lineRule="auto"/>
        <w:rPr>
          <w:sz w:val="20"/>
          <w:szCs w:val="20"/>
          <w:color w:val="auto"/>
        </w:rPr>
      </w:pPr>
      <w:r>
        <w:rPr>
          <w:rFonts w:ascii="Arial" w:cs="Arial" w:eastAsia="Arial" w:hAnsi="Arial"/>
          <w:sz w:val="16"/>
          <w:szCs w:val="16"/>
          <w:color w:val="auto"/>
        </w:rPr>
        <w:t>Our Credit Facility expires and our 2019 Notes mature in June and October 2019, respectively. We utilize proceeds from the Credit Facility and our 2019 Notes to make investments in our portfolio companies. The duration of many of our investments exceeds the duration of our indebtedness under our Credit Facility and 2019 Notes. This means that we will have to extend the maturity of our Credit Facility or refinance our indebtedness in order to avoid selling investments at maturity of any of our debt investments, at which time such sales may be at prices that are disadvantageous to us, which could materially damage our business. In addition, future market conditions may affect our ability to extend or refinance our Credit Facility and 2019 Notes on terms as favorable as those in our existing indebtedness.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impact our investment returns.</w:t>
      </w:r>
    </w:p>
    <w:p>
      <w:pPr>
        <w:spacing w:after="0" w:line="36"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controlled affiliates and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our exemptive relief and our allocation procedures.</w:t>
      </w:r>
    </w:p>
    <w:p>
      <w:pPr>
        <w:spacing w:after="0" w:line="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 For example, the Investment Adviser may seek to invest in more speculative investments in order to increase its incentive fee, which practice could result in higher investment losses, particularly during economic downturns.</w:t>
      </w:r>
    </w:p>
    <w:p>
      <w:pPr>
        <w:spacing w:after="0" w:line="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entered into a license agreement, or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3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and our Notes, future decreases of fair value of our debt is expected to have a corresponding increase to our NAV. Similarly, future increases in the fair value of our debt may have a corresponding decrease to our NAV. Any future indebtedness that we elect the fair value option for may have similar effects on our NAV as our Credit Facility and our Notes. This is expected to mitigate volatility in our earnings and NAV. As a result of these factors, results for any period should not be relied upon as being indicative of performance in future periods.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Holders of any preferred stock that we may issue will have the right to elect members of the board of directors and have class voting rights on certain matters.</w:t>
      </w:r>
    </w:p>
    <w:p>
      <w:pPr>
        <w:spacing w:after="0" w:line="125"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conversion to open-end status and, accordingly, preferred stockholders could veto any such changes in addition to any ability of common and preferred stockholders, voting together as a single class, to veto such matters. Restrictions imposed on the declarations and payment of distributions to the holders of our common stock and preferred stock, both by the 1940 Act and by requirements imposed by rating agencies, might impair our ability to maintain our ability to be subject to tax as a RIC for U.S. federal income tax purposes, which could have a material adverse effect on our business, financial condition and results of operations.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 the future issue securities for which there is no public market and for which we expect no public market to develop.</w:t>
      </w:r>
    </w:p>
    <w:p>
      <w:pPr>
        <w:spacing w:after="0" w:line="90"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39"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If we issue preferred stock, other debt securities, convertible debt securities or units, the NAV and market value of our common stock may become more volatile.</w:t>
      </w:r>
    </w:p>
    <w:p>
      <w:pPr>
        <w:spacing w:after="0" w:line="51" w:lineRule="exact"/>
        <w:rPr>
          <w:sz w:val="20"/>
          <w:szCs w:val="20"/>
          <w:color w:val="auto"/>
        </w:rPr>
      </w:pPr>
    </w:p>
    <w:p>
      <w:pPr>
        <w:ind w:right="40" w:firstLine="571"/>
        <w:spacing w:after="0" w:line="288"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debt securities, convertible debt or units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39"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or other covenants which may be required by the preferred stock, debt securities, convertible debt or risk a downgrade in the ratings of the preferred stock, debt securities, convertible debt or units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convertible debt or units.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units may have different interests than holders of common stock and may at times have disproportionate influence over our business.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market or market value of any publicly issued debt or convertible debt securities may be volatile.</w:t>
      </w:r>
    </w:p>
    <w:p>
      <w:pPr>
        <w:spacing w:after="0" w:line="90"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If we publicly issue debt or convertible debt securities, such as the 2025 Notes,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These factors include the following:</w:t>
      </w:r>
    </w:p>
    <w:p>
      <w:pPr>
        <w:spacing w:after="0" w:line="90" w:lineRule="exact"/>
        <w:rPr>
          <w:sz w:val="20"/>
          <w:szCs w:val="20"/>
          <w:color w:val="auto"/>
        </w:rPr>
      </w:pPr>
    </w:p>
    <w:p>
      <w:pPr>
        <w:ind w:left="1460" w:hanging="655"/>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or similar to these debt securities;</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and</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relating to debt redemption may have a material adverse effect on the return on any debt securities.</w:t>
      </w:r>
    </w:p>
    <w:p>
      <w:pPr>
        <w:spacing w:after="0" w:line="90" w:lineRule="exact"/>
        <w:rPr>
          <w:sz w:val="20"/>
          <w:szCs w:val="20"/>
          <w:color w:val="auto"/>
        </w:rPr>
      </w:pPr>
    </w:p>
    <w:p>
      <w:pPr>
        <w:ind w:right="40" w:firstLine="571"/>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issue subscription rights or warrants for our common stock, your interest in us may be diluted as a result of such rights or warrants offering.</w:t>
      </w:r>
    </w:p>
    <w:p>
      <w:pPr>
        <w:spacing w:after="0" w:line="113"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62"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recent financial reform legislation on us is uncertain.</w:t>
      </w:r>
    </w:p>
    <w:p>
      <w:pPr>
        <w:spacing w:after="0" w:line="90" w:lineRule="exact"/>
        <w:rPr>
          <w:sz w:val="20"/>
          <w:szCs w:val="20"/>
          <w:color w:val="auto"/>
        </w:rPr>
      </w:pPr>
    </w:p>
    <w:p>
      <w:pPr>
        <w:ind w:right="120" w:firstLine="571"/>
        <w:spacing w:after="0" w:line="291" w:lineRule="auto"/>
        <w:rPr>
          <w:sz w:val="20"/>
          <w:szCs w:val="20"/>
          <w:color w:val="auto"/>
        </w:rPr>
      </w:pPr>
      <w:r>
        <w:rPr>
          <w:rFonts w:ascii="Arial" w:cs="Arial" w:eastAsia="Arial" w:hAnsi="Arial"/>
          <w:sz w:val="16"/>
          <w:szCs w:val="16"/>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became effective in 2010. Although many provisions of the Dodd-Frank Act have delayed effectiveness or will not become effective until the relevant federal agencies issue new rules to implement the Dodd-Frank Act, the Dodd-Frank Act may nevertheless have a material adverse impact on the financial services industry as a whole and on our business, financial condition and results of operations. Accordingly, we are continuing to evaluate the effect the Dodd-Frank Act or implementing its regulations will have on our business, financial condition and results of operations.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or those of our portfolio companies may adversely affect our business.</w:t>
      </w:r>
    </w:p>
    <w:p>
      <w:pPr>
        <w:spacing w:after="0" w:line="90" w:lineRule="exact"/>
        <w:rPr>
          <w:sz w:val="20"/>
          <w:szCs w:val="20"/>
          <w:color w:val="auto"/>
        </w:rPr>
      </w:pPr>
    </w:p>
    <w:p>
      <w:pPr>
        <w:jc w:val="both"/>
        <w:ind w:right="540" w:firstLine="571"/>
        <w:spacing w:after="0" w:line="335" w:lineRule="auto"/>
        <w:rPr>
          <w:sz w:val="20"/>
          <w:szCs w:val="20"/>
          <w:color w:val="auto"/>
        </w:rPr>
      </w:pPr>
      <w:r>
        <w:rPr>
          <w:rFonts w:ascii="Arial" w:cs="Arial" w:eastAsia="Arial" w:hAnsi="Arial"/>
          <w:sz w:val="15"/>
          <w:szCs w:val="15"/>
          <w:color w:val="auto"/>
        </w:rPr>
        <w:t>We and our portfolio companies are subject to laws and regulation at the local, state and federal levels. These laws and regulations, as well as their interpretation, may be changed from time to time. Accordingly, any change in these laws or regulations that govern our operations or those of our portfolio companies could have a material adverse effect on our business, financial condition and results of operations. See “Regulation” for more information.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may change our investment objectives, operating policies and strategies without prior notice or stockholder approval.</w:t>
      </w:r>
    </w:p>
    <w:p>
      <w:pPr>
        <w:spacing w:after="0" w:line="113"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cybersecurity and cyber incidents.</w:t>
      </w:r>
    </w:p>
    <w:p>
      <w:pPr>
        <w:spacing w:after="0" w:line="90"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 increased cybersecurity protection and insurance costs, litigation and damage to our business relationships, any of which could have a material adverse effect on our business, financial condition and results of operations. As our reliance on technology has increased, so have the risks posed to our information systems, both internal and those provided by the Investment Adviser and third-party service providers. We, along with our Investment Adviser, have implemented processes, procedures and internal controls to help mitigate cybersecurity risks and cyber intrusions, but these measures, as well as our increased awareness of the nature and extent of the risk of a cyber incident, may be ineffective and do not guarantee that a cyber incident will not occur or that our financial results, operations or confidential information will not be negatively impacted by such an incident.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51" w:lineRule="exact"/>
        <w:rPr>
          <w:sz w:val="20"/>
          <w:szCs w:val="20"/>
          <w:color w:val="auto"/>
        </w:rPr>
      </w:pPr>
    </w:p>
    <w:p>
      <w:pPr>
        <w:ind w:right="60" w:firstLine="571"/>
        <w:spacing w:after="0" w:line="284" w:lineRule="auto"/>
        <w:rPr>
          <w:sz w:val="20"/>
          <w:szCs w:val="20"/>
          <w:color w:val="auto"/>
        </w:rPr>
      </w:pPr>
      <w:r>
        <w:rPr>
          <w:rFonts w:ascii="Arial" w:cs="Arial" w:eastAsia="Arial" w:hAnsi="Arial"/>
          <w:sz w:val="16"/>
          <w:szCs w:val="16"/>
          <w:color w:val="auto"/>
        </w:rPr>
        <w:t>All of our investments are recorded using broker or dealer quotes, if available, or at fair value as determined in good faith by our board of directors. We expect that most, if not all, of our investments (other than cash and cash equivalents) and the fair value of the Credit Facility will be classified as Level 3 under the Financial Accounting Standards Board, or FASB, Accounting Standards Codification, or ASC, Topic 820, Fair Value Measurements and Disclosures, or ASC</w:t>
      </w:r>
    </w:p>
    <w:p>
      <w:pPr>
        <w:spacing w:after="0" w:line="1" w:lineRule="exact"/>
        <w:rPr>
          <w:sz w:val="20"/>
          <w:szCs w:val="20"/>
          <w:color w:val="auto"/>
        </w:rPr>
      </w:pPr>
    </w:p>
    <w:p>
      <w:pPr>
        <w:ind w:right="40" w:firstLine="8"/>
        <w:spacing w:after="0" w:line="290" w:lineRule="auto"/>
        <w:tabs>
          <w:tab w:leader="none" w:pos="351"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 As a result, there will be uncertainty as to the value of our portfolio investments.</w:t>
      </w:r>
    </w:p>
    <w:p>
      <w:pPr>
        <w:spacing w:after="0" w:line="37"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64"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All of our investments were recorded at fair value as determined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lower than the values that we ultimately realize upon the disposal of such investments.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90" w:lineRule="exact"/>
        <w:rPr>
          <w:sz w:val="20"/>
          <w:szCs w:val="20"/>
          <w:color w:val="auto"/>
        </w:rPr>
      </w:pPr>
    </w:p>
    <w:p>
      <w:pPr>
        <w:ind w:right="160" w:firstLine="571"/>
        <w:spacing w:after="0" w:line="306"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26" w:lineRule="exact"/>
        <w:rPr>
          <w:sz w:val="20"/>
          <w:szCs w:val="20"/>
          <w:color w:val="auto"/>
        </w:rPr>
      </w:pPr>
    </w:p>
    <w:p>
      <w:pPr>
        <w:ind w:right="180" w:firstLine="571"/>
        <w:spacing w:after="0" w:line="294" w:lineRule="auto"/>
        <w:rPr>
          <w:sz w:val="20"/>
          <w:szCs w:val="20"/>
          <w:color w:val="auto"/>
        </w:rPr>
      </w:pPr>
      <w:r>
        <w:rPr>
          <w:rFonts w:ascii="Arial" w:cs="Arial" w:eastAsia="Arial" w:hAnsi="Arial"/>
          <w:sz w:val="16"/>
          <w:szCs w:val="16"/>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35"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 region, can reverberate and have materially negative consequences for other market, economic or regional sectors in a manner that may not be foreseen and which may materially harm our business.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general disruption in the credit markets could materially damage our business.</w:t>
      </w:r>
    </w:p>
    <w:p>
      <w:pPr>
        <w:spacing w:after="0" w:line="90" w:lineRule="exact"/>
        <w:rPr>
          <w:sz w:val="20"/>
          <w:szCs w:val="20"/>
          <w:color w:val="auto"/>
        </w:rPr>
      </w:pPr>
    </w:p>
    <w:p>
      <w:pPr>
        <w:jc w:val="both"/>
        <w:ind w:right="260" w:firstLine="571"/>
        <w:spacing w:after="0" w:line="323" w:lineRule="auto"/>
        <w:rPr>
          <w:sz w:val="20"/>
          <w:szCs w:val="20"/>
          <w:color w:val="auto"/>
        </w:rPr>
      </w:pPr>
      <w:r>
        <w:rPr>
          <w:rFonts w:ascii="Arial" w:cs="Arial" w:eastAsia="Arial" w:hAnsi="Arial"/>
          <w:sz w:val="15"/>
          <w:szCs w:val="15"/>
          <w:color w:val="auto"/>
        </w:rPr>
        <w:t>We are susceptible to the risk of significant loss if we are forced to discount the value of our investments in order to provide liquidity to meet our debt maturities. Our borrowings under our Credit Facility are collateralized by the assets in our investment portfolio (excluding assets held by our SBIC Funds). A general disruption in the credit markets could result in diminished demand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our counterparties or us, and could materially damage our business.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in over-the-counter securities, which have and may continue to face liquidity constraints, to provide us with liquidity.</w:t>
      </w:r>
    </w:p>
    <w:p>
      <w:pPr>
        <w:spacing w:after="0" w:line="50" w:lineRule="exact"/>
        <w:rPr>
          <w:sz w:val="20"/>
          <w:szCs w:val="20"/>
          <w:color w:val="auto"/>
        </w:rPr>
      </w:pPr>
    </w:p>
    <w:p>
      <w:pPr>
        <w:ind w:right="260" w:firstLine="571"/>
        <w:spacing w:after="0" w:line="304" w:lineRule="auto"/>
        <w:rPr>
          <w:sz w:val="20"/>
          <w:szCs w:val="20"/>
          <w:color w:val="auto"/>
        </w:rPr>
      </w:pPr>
      <w:r>
        <w:rPr>
          <w:rFonts w:ascii="Arial" w:cs="Arial" w:eastAsia="Arial" w:hAnsi="Arial"/>
          <w:sz w:val="16"/>
          <w:szCs w:val="16"/>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prospective portfolio companies may be risky, and you could lose all or part of your investment.</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intend to invest primarily in senior secured debt, mezzanine debt and selected equity investments issued by U.S. and foreign middle-market companies.</w:t>
      </w:r>
    </w:p>
    <w:p>
      <w:pPr>
        <w:spacing w:after="0" w:line="98" w:lineRule="exact"/>
        <w:rPr>
          <w:sz w:val="20"/>
          <w:szCs w:val="20"/>
          <w:color w:val="auto"/>
        </w:rPr>
      </w:pPr>
    </w:p>
    <w:p>
      <w:pPr>
        <w:ind w:left="1120" w:hanging="437"/>
        <w:spacing w:after="0" w:line="287" w:lineRule="auto"/>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Senior Secured Debt: </w:t>
      </w:r>
      <w:r>
        <w:rPr>
          <w:rFonts w:ascii="Arial" w:cs="Arial" w:eastAsia="Arial" w:hAnsi="Arial"/>
          <w:sz w:val="16"/>
          <w:szCs w:val="16"/>
          <w:color w:val="auto"/>
        </w:rPr>
        <w:t>When we extend senior secured debt, which we define to include first lien debt, we will generally take a security interest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available assets of these portfolio companies, including the equity interests of their subsidiaries, although this may not always be the case. We expect this security interest, if any, to help mitigate the risk that we will not be repaid. However, there is a risk that the collateral securing our debts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senior secured debt investment is secured does not guarantee that we will receive principal and interest payments according to the loan’s terms, or at all, or that we will be able to collect on the loan should we be forced to enforce our remedies.</w:t>
      </w:r>
    </w:p>
    <w:p>
      <w:pPr>
        <w:spacing w:after="0" w:line="14" w:lineRule="exact"/>
        <w:rPr>
          <w:rFonts w:ascii="Arial" w:cs="Arial" w:eastAsia="Arial" w:hAnsi="Arial"/>
          <w:sz w:val="16"/>
          <w:szCs w:val="16"/>
          <w:color w:val="auto"/>
        </w:rPr>
      </w:pPr>
    </w:p>
    <w:p>
      <w:pPr>
        <w:ind w:left="1120" w:right="40" w:hanging="437"/>
        <w:spacing w:after="0" w:line="290" w:lineRule="auto"/>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Mezzanine Debt: </w:t>
      </w:r>
      <w:r>
        <w:rPr>
          <w:rFonts w:ascii="Arial" w:cs="Arial" w:eastAsia="Arial" w:hAnsi="Arial"/>
          <w:sz w:val="16"/>
          <w:szCs w:val="16"/>
          <w:color w:val="auto"/>
        </w:rPr>
        <w:t>Our mezzanine debt investments, which we define to include second lien secured and subordinated debt, will generally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subordinated to senior secured debt and will generally 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mezzanine debt investments, such investments may be of greater risk than cash paying loans.</w:t>
      </w:r>
    </w:p>
    <w:p>
      <w:pPr>
        <w:spacing w:after="0" w:line="10" w:lineRule="exact"/>
        <w:rPr>
          <w:rFonts w:ascii="Arial" w:cs="Arial" w:eastAsia="Arial" w:hAnsi="Arial"/>
          <w:sz w:val="16"/>
          <w:szCs w:val="16"/>
          <w:color w:val="auto"/>
        </w:rPr>
      </w:pPr>
    </w:p>
    <w:p>
      <w:pPr>
        <w:ind w:left="1120" w:right="60" w:hanging="437"/>
        <w:spacing w:after="0" w:line="287" w:lineRule="auto"/>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Equity Investments: </w:t>
      </w:r>
      <w:r>
        <w:rPr>
          <w:rFonts w:ascii="Arial" w:cs="Arial" w:eastAsia="Arial" w:hAnsi="Arial"/>
          <w:sz w:val="16"/>
          <w:szCs w:val="16"/>
          <w:color w:val="auto"/>
        </w:rPr>
        <w:t>We have made and expect to continue to make select equity investments, all of which are subordinated to debt investments.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addition, when we invest in senior secured debt or 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 Furthermore, we may hold equity investments in partnerships through a taxable subsidiary for federal income tax purposes. Upon sale or exit of such investments, we may pay taxes at regular corporate tax rates, which will reduce the amount on gains or dividends available for distributions to our stockholders.</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63" w:lineRule="exact"/>
        <w:rPr>
          <w:sz w:val="20"/>
          <w:szCs w:val="20"/>
          <w:color w:val="auto"/>
        </w:rPr>
      </w:pPr>
    </w:p>
    <w:p>
      <w:pPr>
        <w:ind w:left="1120" w:right="140" w:hanging="437"/>
        <w:spacing w:after="0" w:line="259"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32" w:lineRule="exact"/>
        <w:rPr>
          <w:rFonts w:ascii="Arial" w:cs="Arial" w:eastAsia="Arial" w:hAnsi="Arial"/>
          <w:sz w:val="18"/>
          <w:szCs w:val="18"/>
          <w:color w:val="auto"/>
        </w:rPr>
      </w:pPr>
    </w:p>
    <w:p>
      <w:pPr>
        <w:ind w:left="1120" w:hanging="437"/>
        <w:spacing w:after="0" w:line="259"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typically have shorter operating histories, more limited publicly available information, narrower product lines, more concentration of revenues from customers and smaller market shares than larger businesses, which tend to render them more vulnerable to competitors’ actions and changing market conditions, as well as general economic downturns;</w:t>
      </w:r>
    </w:p>
    <w:p>
      <w:pPr>
        <w:spacing w:after="0" w:line="32" w:lineRule="exact"/>
        <w:rPr>
          <w:rFonts w:ascii="Arial" w:cs="Arial" w:eastAsia="Arial" w:hAnsi="Arial"/>
          <w:sz w:val="18"/>
          <w:szCs w:val="18"/>
          <w:color w:val="auto"/>
        </w:rPr>
      </w:pPr>
    </w:p>
    <w:p>
      <w:pPr>
        <w:ind w:left="1120" w:right="240" w:hanging="437"/>
        <w:spacing w:after="0" w:line="332"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60" w:right="340" w:hanging="655"/>
        <w:spacing w:after="0" w:line="255" w:lineRule="auto"/>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34" w:lineRule="exact"/>
        <w:rPr>
          <w:rFonts w:ascii="Arial" w:cs="Arial" w:eastAsia="Arial" w:hAnsi="Arial"/>
          <w:sz w:val="18"/>
          <w:szCs w:val="18"/>
          <w:color w:val="auto"/>
        </w:rPr>
      </w:pPr>
    </w:p>
    <w:p>
      <w:pPr>
        <w:ind w:left="1460" w:right="20" w:hanging="655"/>
        <w:spacing w:after="0" w:line="268" w:lineRule="auto"/>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refinance their outstanding indebtedness upon maturity.</w:t>
      </w:r>
    </w:p>
    <w:p>
      <w:pPr>
        <w:spacing w:after="0" w:line="10" w:lineRule="exact"/>
        <w:rPr>
          <w:sz w:val="20"/>
          <w:szCs w:val="20"/>
          <w:color w:val="auto"/>
        </w:rPr>
      </w:pPr>
    </w:p>
    <w:p>
      <w:pPr>
        <w:ind w:right="240"/>
        <w:spacing w:after="0" w:line="308" w:lineRule="auto"/>
        <w:rPr>
          <w:sz w:val="20"/>
          <w:szCs w:val="20"/>
          <w:color w:val="auto"/>
        </w:rPr>
      </w:pPr>
      <w:r>
        <w:rPr>
          <w:rFonts w:ascii="Arial" w:cs="Arial" w:eastAsia="Arial" w:hAnsi="Arial"/>
          <w:sz w:val="16"/>
          <w:szCs w:val="16"/>
          <w:b w:val="1"/>
          <w:bCs w:val="1"/>
          <w:i w:val="1"/>
          <w:iCs w:val="1"/>
          <w:color w:val="auto"/>
        </w:rPr>
        <w:t>Under the 1940 Act we may invest up to 30% of our assets in investments that are not qualifying assets for BDCs. If we do not invest a sufficient portion of our assets in qualifying assets, we could be precluded from investing in assets that we deem to be attractive.</w:t>
      </w:r>
    </w:p>
    <w:p>
      <w:pPr>
        <w:ind w:right="200" w:firstLine="571"/>
        <w:spacing w:after="0" w:line="255"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21" w:lineRule="exact"/>
        <w:rPr>
          <w:sz w:val="20"/>
          <w:szCs w:val="20"/>
          <w:color w:val="auto"/>
        </w:rPr>
      </w:pPr>
    </w:p>
    <w:p>
      <w:pPr>
        <w:ind w:right="140" w:firstLine="571"/>
        <w:spacing w:after="0" w:line="289" w:lineRule="auto"/>
        <w:rPr>
          <w:sz w:val="20"/>
          <w:szCs w:val="20"/>
          <w:color w:val="auto"/>
        </w:rPr>
      </w:pPr>
      <w:r>
        <w:rPr>
          <w:rFonts w:ascii="Arial" w:cs="Arial" w:eastAsia="Arial" w:hAnsi="Arial"/>
          <w:sz w:val="16"/>
          <w:szCs w:val="16"/>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do not invest a sufficient portion of our assets in qualifying assets at the time of the proposed investment,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1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the Diversification Requirements, we do not have fixed guidelines for portfolio diversification, and our investments could be concentrated in relatively few portfolio companies or industries.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50"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Many of our portfolio companies are susceptible to economic or industry centric slowdowns or recessions and may be unable to repay debt from us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3"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and any restructuring could further cause adverse effects on our business.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 In addition, we cannot assure you that a bankruptcy court would not take actions contrary to our interests.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make follow-on investments in our portfolio companies, this could materially impair the value of our portfolio.</w:t>
      </w:r>
    </w:p>
    <w:p>
      <w:pPr>
        <w:spacing w:after="0" w:line="50"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24" w:lineRule="exact"/>
        <w:rPr>
          <w:sz w:val="20"/>
          <w:szCs w:val="20"/>
          <w:color w:val="auto"/>
        </w:rPr>
      </w:pPr>
    </w:p>
    <w:p>
      <w:pPr>
        <w:ind w:left="1460" w:hanging="655"/>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63" w:lineRule="exact"/>
        <w:rPr>
          <w:rFonts w:ascii="Arial" w:cs="Arial" w:eastAsia="Arial" w:hAnsi="Arial"/>
          <w:sz w:val="18"/>
          <w:szCs w:val="18"/>
          <w:color w:val="auto"/>
        </w:rPr>
      </w:pPr>
    </w:p>
    <w:p>
      <w:pPr>
        <w:ind w:left="1460" w:hanging="655"/>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63" w:lineRule="exact"/>
        <w:rPr>
          <w:rFonts w:ascii="Arial" w:cs="Arial" w:eastAsia="Arial" w:hAnsi="Arial"/>
          <w:sz w:val="18"/>
          <w:szCs w:val="18"/>
          <w:color w:val="auto"/>
        </w:rPr>
      </w:pPr>
    </w:p>
    <w:p>
      <w:pPr>
        <w:ind w:left="1460" w:hanging="655"/>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transaction or business.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RIC tax status.</w:t>
      </w:r>
    </w:p>
    <w:p>
      <w:pPr>
        <w:spacing w:after="0" w:line="39"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4" w:lineRule="exact"/>
        <w:rPr>
          <w:sz w:val="20"/>
          <w:szCs w:val="20"/>
          <w:color w:val="auto"/>
        </w:rPr>
      </w:pPr>
    </w:p>
    <w:p>
      <w:pPr>
        <w:ind w:right="20" w:firstLine="571"/>
        <w:spacing w:after="0" w:line="323" w:lineRule="auto"/>
        <w:rPr>
          <w:sz w:val="20"/>
          <w:szCs w:val="20"/>
          <w:color w:val="auto"/>
        </w:rPr>
      </w:pPr>
      <w:r>
        <w:rPr>
          <w:rFonts w:ascii="Arial" w:cs="Arial" w:eastAsia="Arial" w:hAnsi="Arial"/>
          <w:sz w:val="15"/>
          <w:szCs w:val="15"/>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An investment strategy focused primarily on privately held companies, including controlled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59"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6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 and our portfolio companies may be highly leveraged.</w:t>
      </w:r>
    </w:p>
    <w:p>
      <w:pPr>
        <w:spacing w:after="0" w:line="51" w:lineRule="exact"/>
        <w:rPr>
          <w:sz w:val="20"/>
          <w:szCs w:val="20"/>
          <w:color w:val="auto"/>
        </w:rPr>
      </w:pPr>
    </w:p>
    <w:p>
      <w:pPr>
        <w:ind w:right="160" w:firstLine="571"/>
        <w:spacing w:after="0" w:line="310" w:lineRule="auto"/>
        <w:rPr>
          <w:sz w:val="20"/>
          <w:szCs w:val="20"/>
          <w:color w:val="auto"/>
        </w:rPr>
      </w:pPr>
      <w:r>
        <w:rPr>
          <w:rFonts w:ascii="Arial" w:cs="Arial" w:eastAsia="Arial" w:hAnsi="Arial"/>
          <w:sz w:val="15"/>
          <w:szCs w:val="15"/>
          <w:color w:val="auto"/>
        </w:rPr>
        <w:t>We invest primarily in senior secured debt, mezzanine debt and equity investments issued by our portfolio companies. The portfolio companies usually will have, or may be permitted to incur, other debt that ranks equally with, or senior to, our investments, and they may be highly leveraged. By their terms, such debt instruments may provide that the holders are entitled to receive payment of interest or principal on or before the dates on which we are entitled to receive payments with respect to our debt investments.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incentive fee may induce the Investment Adviser to make speculative investments.</w:t>
      </w:r>
    </w:p>
    <w:p>
      <w:pPr>
        <w:spacing w:after="0" w:line="90" w:lineRule="exact"/>
        <w:rPr>
          <w:sz w:val="20"/>
          <w:szCs w:val="20"/>
          <w:color w:val="auto"/>
        </w:rPr>
      </w:pPr>
    </w:p>
    <w:p>
      <w:pPr>
        <w:ind w:right="40" w:firstLine="571"/>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39"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investments in distressed debt may not produce income and may require us to bear large expenses in order to protect and recover our investment.</w:t>
      </w:r>
    </w:p>
    <w:p>
      <w:pPr>
        <w:spacing w:after="0" w:line="98"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obligated to pay our Investment Adviser incentive compensation even if we incur a loss.</w:t>
      </w:r>
    </w:p>
    <w:p>
      <w:pPr>
        <w:spacing w:after="0" w:line="63" w:lineRule="exact"/>
        <w:rPr>
          <w:sz w:val="20"/>
          <w:szCs w:val="20"/>
          <w:color w:val="auto"/>
        </w:rPr>
      </w:pPr>
    </w:p>
    <w:p>
      <w:pPr>
        <w:ind w:right="100" w:firstLine="571"/>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our Investment Adviser incentive compensation for a fiscal quarter even if there is a decline in the value of our portfolio, NAV or we incur a net loss for that quarter.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foreign securities may involve significant risks in addition to the risks inherent in U.S. investments.</w:t>
      </w:r>
    </w:p>
    <w:p>
      <w:pPr>
        <w:spacing w:after="0" w:line="63"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Our investment strategy contemplates potential investments in securities of companies located outside of the United States. Investments in securities of companies located outside of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economic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2"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interest rates, differences in relative values of similar assets in different currencies, long-term opportunities for investment and capital appreciation, economic and political developments. We may employ hedging techniques such as using our Credit Facility’s multicurrency capability to minimize these risks, but we can offer no assurance that we will, in fact, hedge currency risk or, that if we do, such strategies will be effective.</w:t>
      </w:r>
    </w:p>
    <w:p>
      <w:pPr>
        <w:spacing w:after="0" w:line="8"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b w:val="1"/>
          <w:bCs w:val="1"/>
          <w:i w:val="1"/>
          <w:iCs w:val="1"/>
          <w:color w:val="auto"/>
        </w:rPr>
        <w:t>We may make investments that cause our stockholders to bear investment advisory fees and other expenses on such investments in addition to our management fees and expenses.</w:t>
      </w:r>
    </w:p>
    <w:p>
      <w:pPr>
        <w:spacing w:after="0" w:line="24" w:lineRule="exact"/>
        <w:rPr>
          <w:sz w:val="20"/>
          <w:szCs w:val="20"/>
          <w:color w:val="auto"/>
        </w:rPr>
      </w:pPr>
    </w:p>
    <w:p>
      <w:pPr>
        <w:ind w:right="160" w:firstLine="571"/>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the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63"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571"/>
        <w:spacing w:after="0" w:line="289"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worse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the rules of the Commodity Futures Trading Commission.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 of global climate change may impact the operations of our portfolio companies.</w:t>
      </w:r>
    </w:p>
    <w:p>
      <w:pPr>
        <w:spacing w:after="0" w:line="90" w:lineRule="exact"/>
        <w:rPr>
          <w:sz w:val="20"/>
          <w:szCs w:val="20"/>
          <w:color w:val="auto"/>
        </w:rPr>
      </w:pPr>
    </w:p>
    <w:p>
      <w:pPr>
        <w:ind w:right="40" w:firstLine="571"/>
        <w:spacing w:after="0" w:line="253" w:lineRule="auto"/>
        <w:rPr>
          <w:sz w:val="20"/>
          <w:szCs w:val="20"/>
          <w:color w:val="auto"/>
        </w:rPr>
      </w:pPr>
      <w:r>
        <w:rPr>
          <w:rFonts w:ascii="Arial" w:cs="Arial" w:eastAsia="Arial" w:hAnsi="Arial"/>
          <w:sz w:val="18"/>
          <w:szCs w:val="18"/>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6"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7"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We have in the past obtained the approval of our stockholders to issue shares of our common stock at prices below the then current NAV per share of our common stock in one or more offerings for a twelve-month period, and we may attempt to obtain such approval in the future. Such approval has allowed, and may again allow, us to access the capital markets in a way that we typically are unable to do as a result of restrictions that, absent stockholder approval, apply to BDCs under the 1940 Act.</w:t>
      </w:r>
    </w:p>
    <w:p>
      <w:pPr>
        <w:spacing w:after="0" w:line="62"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Any sale or other issuance of shares of our common stock at a price below NAV per share has resulted and will continue to result in an immediate dilution to your interest in our common stock and a reduction of our NAV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37"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our stockholders may not receive distributions or that our distributions may not grow over time.</w:t>
      </w:r>
    </w:p>
    <w:p>
      <w:pPr>
        <w:spacing w:after="0" w:line="9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requirements applicable to us as a BDC, we may be limited in our ability to make distributions. Further, if more stockholders opt to receive cash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shares may involve an above average degree of risk.</w:t>
      </w:r>
    </w:p>
    <w:p>
      <w:pPr>
        <w:spacing w:after="0" w:line="90"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substantial amounts of our securities may have an adverse effect on the market price of our securities.</w:t>
      </w:r>
    </w:p>
    <w:p>
      <w:pPr>
        <w:spacing w:after="0" w:line="90" w:lineRule="exact"/>
        <w:rPr>
          <w:sz w:val="20"/>
          <w:szCs w:val="20"/>
          <w:color w:val="auto"/>
        </w:rPr>
      </w:pPr>
    </w:p>
    <w:p>
      <w:pPr>
        <w:ind w:right="320" w:firstLine="571"/>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allocate the net proceeds from any offering of our securities in ways with which you may not agree.</w:t>
      </w:r>
    </w:p>
    <w:p>
      <w:pPr>
        <w:spacing w:after="0" w:line="90" w:lineRule="exact"/>
        <w:rPr>
          <w:sz w:val="20"/>
          <w:szCs w:val="20"/>
          <w:color w:val="auto"/>
        </w:rPr>
      </w:pPr>
    </w:p>
    <w:p>
      <w:pPr>
        <w:ind w:right="120" w:firstLine="571"/>
        <w:spacing w:after="0" w:line="268" w:lineRule="auto"/>
        <w:rPr>
          <w:sz w:val="20"/>
          <w:szCs w:val="20"/>
          <w:color w:val="auto"/>
        </w:rPr>
      </w:pPr>
      <w:r>
        <w:rPr>
          <w:rFonts w:ascii="Arial" w:cs="Arial" w:eastAsia="Arial" w:hAnsi="Arial"/>
          <w:sz w:val="18"/>
          <w:szCs w:val="18"/>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shares may trade at discounts from NAV or at premiums that are unsustainable over the long term.</w:t>
      </w:r>
    </w:p>
    <w:p>
      <w:pPr>
        <w:spacing w:after="0" w:line="90" w:lineRule="exact"/>
        <w:rPr>
          <w:sz w:val="20"/>
          <w:szCs w:val="20"/>
          <w:color w:val="auto"/>
        </w:rPr>
      </w:pPr>
    </w:p>
    <w:p>
      <w:pPr>
        <w:ind w:right="220" w:firstLine="571"/>
        <w:spacing w:after="0" w:line="255" w:lineRule="auto"/>
        <w:rPr>
          <w:sz w:val="20"/>
          <w:szCs w:val="20"/>
          <w:color w:val="auto"/>
        </w:rPr>
      </w:pPr>
      <w:r>
        <w:rPr>
          <w:rFonts w:ascii="Arial" w:cs="Arial" w:eastAsia="Arial" w:hAnsi="Arial"/>
          <w:sz w:val="18"/>
          <w:szCs w:val="18"/>
          <w:color w:val="auto"/>
        </w:rPr>
        <w:t>Shares of BDCs may trade at a market price that is less than the NAV that is attributable to those shares. Our shares have traded above and below our NAV. Our shares closed on the NASDAQ Global Select Market at $7.66 and $7.52 on December 31, 2016 and September 30, 2016, respectively. Our NAV per share was $9.11 and $9.05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90" w:lineRule="exact"/>
        <w:rPr>
          <w:sz w:val="20"/>
          <w:szCs w:val="20"/>
          <w:color w:val="auto"/>
        </w:rPr>
      </w:pPr>
    </w:p>
    <w:p>
      <w:pPr>
        <w:ind w:right="500" w:firstLine="571"/>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1460" w:hanging="655"/>
        <w:spacing w:after="0" w:line="268" w:lineRule="auto"/>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1460" w:hanging="655"/>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BDCs or SBICs;</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loss of our BDC or RIC status or any loss of our subsidiaries’ SBIC licenses;</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prevailing interest rates;</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1460" w:right="100" w:hanging="655"/>
        <w:spacing w:after="0" w:line="268" w:lineRule="auto"/>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50" w:lineRule="exact"/>
        <w:rPr>
          <w:rFonts w:ascii="Arial" w:cs="Arial" w:eastAsia="Arial" w:hAnsi="Arial"/>
          <w:sz w:val="18"/>
          <w:szCs w:val="18"/>
          <w:color w:val="auto"/>
        </w:rPr>
      </w:pPr>
    </w:p>
    <w:p>
      <w:pPr>
        <w:ind w:left="1460" w:hanging="655"/>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national and international economic trends and other external factors;</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price and volume fluctuations in the stock markets, including as a result of short sales;</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90" w:lineRule="exact"/>
        <w:rPr>
          <w:sz w:val="20"/>
          <w:szCs w:val="20"/>
          <w:color w:val="auto"/>
        </w:rPr>
      </w:pPr>
    </w:p>
    <w:p>
      <w:pPr>
        <w:ind w:right="520" w:firstLine="571"/>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invest the net proceeds raised from offerings on acceptable terms, which would harm our financial condition and operating results.</w:t>
      </w:r>
    </w:p>
    <w:p>
      <w:pPr>
        <w:spacing w:after="0" w:line="125"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or any future Credit Facility. We cannot assure you that we will be able to find enough appropriate investments that meet our investment selection criteria or that any investment we complete using the proceeds from an offering will produce a sufficient return.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SBA also limits an SBIC’s choices to invest idle funds to the following types of securities:</w:t>
      </w:r>
    </w:p>
    <w:p>
      <w:pPr>
        <w:spacing w:after="0" w:line="90" w:lineRule="exact"/>
        <w:rPr>
          <w:sz w:val="20"/>
          <w:szCs w:val="20"/>
          <w:color w:val="auto"/>
        </w:rPr>
      </w:pPr>
    </w:p>
    <w:p>
      <w:pPr>
        <w:ind w:left="1460" w:right="60" w:hanging="655"/>
        <w:spacing w:after="0" w:line="268" w:lineRule="auto"/>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U.S. government, which mature within 15 months from the date of the investment;</w:t>
      </w:r>
    </w:p>
    <w:p>
      <w:pPr>
        <w:spacing w:after="0" w:line="50" w:lineRule="exact"/>
        <w:rPr>
          <w:rFonts w:ascii="Arial" w:cs="Arial" w:eastAsia="Arial" w:hAnsi="Arial"/>
          <w:sz w:val="18"/>
          <w:szCs w:val="18"/>
          <w:color w:val="auto"/>
        </w:rPr>
      </w:pPr>
    </w:p>
    <w:p>
      <w:pPr>
        <w:ind w:left="1460" w:right="140" w:hanging="655"/>
        <w:spacing w:after="0" w:line="268" w:lineRule="auto"/>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50" w:lineRule="exact"/>
        <w:rPr>
          <w:rFonts w:ascii="Arial" w:cs="Arial" w:eastAsia="Arial" w:hAnsi="Arial"/>
          <w:sz w:val="18"/>
          <w:szCs w:val="18"/>
          <w:color w:val="auto"/>
        </w:rPr>
      </w:pPr>
    </w:p>
    <w:p>
      <w:pPr>
        <w:ind w:left="1460" w:hanging="655"/>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a withdrawal restriction of one year or less.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have current tax liabilities on distributions you reinvest in our common stock.</w:t>
      </w:r>
    </w:p>
    <w:p>
      <w:pPr>
        <w:spacing w:after="0" w:line="90" w:lineRule="exact"/>
        <w:rPr>
          <w:sz w:val="20"/>
          <w:szCs w:val="20"/>
          <w:color w:val="auto"/>
        </w:rPr>
      </w:pPr>
    </w:p>
    <w:p>
      <w:pPr>
        <w:ind w:right="80" w:firstLine="571"/>
        <w:spacing w:after="0" w:line="253" w:lineRule="auto"/>
        <w:rPr>
          <w:sz w:val="20"/>
          <w:szCs w:val="20"/>
          <w:color w:val="auto"/>
        </w:rPr>
      </w:pPr>
      <w:r>
        <w:rPr>
          <w:rFonts w:ascii="Arial" w:cs="Arial" w:eastAsia="Arial" w:hAnsi="Arial"/>
          <w:sz w:val="18"/>
          <w:szCs w:val="18"/>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income tax liabilities on the value of the common stock received. See “Management’s Discussion and Analysis of Financial Condition and Results of Operations—Liquidity and Capital Resources—Distributions” for more information.</w:t>
      </w:r>
    </w:p>
    <w:p>
      <w:pPr>
        <w:spacing w:after="0" w:line="6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There is a risk that our common stockholders may receive our stock as distributions in which case they may be required to pay taxes in excess of the cash they receive.</w:t>
      </w:r>
    </w:p>
    <w:p>
      <w:pPr>
        <w:spacing w:after="0" w:line="51" w:lineRule="exact"/>
        <w:rPr>
          <w:sz w:val="20"/>
          <w:szCs w:val="20"/>
          <w:color w:val="auto"/>
        </w:rPr>
      </w:pPr>
    </w:p>
    <w:p>
      <w:pPr>
        <w:ind w:right="140" w:firstLine="571"/>
        <w:spacing w:after="0" w:line="255"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90" w:lineRule="exact"/>
        <w:rPr>
          <w:sz w:val="20"/>
          <w:szCs w:val="20"/>
          <w:color w:val="auto"/>
        </w:rPr>
      </w:pPr>
    </w:p>
    <w:p>
      <w:pPr>
        <w:ind w:right="280" w:firstLine="571"/>
        <w:spacing w:after="0" w:line="256"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Securities Exchange Act of 1934, or the Exchange Act, as well as additional corporate governance requirements, including requirements under the Sarbanes-Oxley Act of 2002, or the Sarbanes-Oxley Act, and other rules implemented by the SEC and the listing standards of the NASDAQ Stock Market LLC and NYSE.</w:t>
      </w:r>
    </w:p>
    <w:p>
      <w:pPr>
        <w:spacing w:after="0" w:line="6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51"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us or the removal of our directors. We are subject to the Maryland Business Combination Act, or the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39"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In addition, our bylaws exempt from the Maryland Control Share Acquisition Act, or the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39"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 See “Description of our Capital Stock—Provisions of the Maryland General Corporation Law and our Charter and Bylaws.”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DEBT SECURITIES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Notes are unsecured and therefore are effectively subordinated to any secured indebtedness we have currently incurred or may incur in the future.</w:t>
      </w:r>
    </w:p>
    <w:p>
      <w:pPr>
        <w:spacing w:after="0" w:line="125" w:lineRule="exact"/>
        <w:rPr>
          <w:sz w:val="20"/>
          <w:szCs w:val="20"/>
          <w:color w:val="auto"/>
        </w:rPr>
      </w:pPr>
    </w:p>
    <w:p>
      <w:pPr>
        <w:ind w:firstLine="571"/>
        <w:spacing w:after="0" w:line="310" w:lineRule="auto"/>
        <w:rPr>
          <w:sz w:val="20"/>
          <w:szCs w:val="20"/>
          <w:color w:val="auto"/>
        </w:rPr>
      </w:pPr>
      <w:r>
        <w:rPr>
          <w:rFonts w:ascii="Arial" w:cs="Arial" w:eastAsia="Arial" w:hAnsi="Arial"/>
          <w:sz w:val="15"/>
          <w:szCs w:val="15"/>
          <w:color w:val="auto"/>
        </w:rPr>
        <w:t>Our Notes are not secured by any of our assets or any of the assets of our subsidiaries. As a result, our Notes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Effective subordination means that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our Notes. As of December 31, 2016 and September 30, 2016, we had $148.1 million and $50.3 million, respectively, outstanding under the Credit Facility. The Credit Facility is secured by substantially all of the assets in our portfolio (other than assets held by our SBIC Funds), and the indebtedness under the Credit Facility is therefore effectively senior in right of payment to our Notes to the extent of the value of such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Notes are structurally subordinated to the indebtedness and other liabilities of our subsidiaries.</w:t>
      </w:r>
    </w:p>
    <w:p>
      <w:pPr>
        <w:spacing w:after="0" w:line="90" w:lineRule="exact"/>
        <w:rPr>
          <w:sz w:val="20"/>
          <w:szCs w:val="20"/>
          <w:color w:val="auto"/>
        </w:rPr>
      </w:pPr>
    </w:p>
    <w:p>
      <w:pPr>
        <w:jc w:val="both"/>
        <w:ind w:right="260" w:firstLine="571"/>
        <w:spacing w:after="0" w:line="256" w:lineRule="auto"/>
        <w:rPr>
          <w:sz w:val="20"/>
          <w:szCs w:val="20"/>
          <w:color w:val="auto"/>
        </w:rPr>
      </w:pPr>
      <w:r>
        <w:rPr>
          <w:rFonts w:ascii="Arial" w:cs="Arial" w:eastAsia="Arial" w:hAnsi="Arial"/>
          <w:sz w:val="18"/>
          <w:szCs w:val="18"/>
          <w:color w:val="auto"/>
        </w:rPr>
        <w:t>Our Notes are obligations exclusively of PennantPark Investment Corporation and not of any of our subsidiaries. None of our subsidiaries are or act as guarantors of our Notes and neither the 2019 Notes nor the 2025 Notes is required to be guaranteed by any subsidiaries we may acquire or create in the future. Our secured indebtedness with respect to the SBA debentures is held through our SBIC Funds. The assets of any such subsidiaries are not directly available to satisfy the claims of our creditors, including holders of our Notes.</w:t>
      </w:r>
    </w:p>
    <w:p>
      <w:pPr>
        <w:spacing w:after="0" w:line="62"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our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our Notes are structurally subordinated to all indebtedness and other liabilities (including trade payables) of our subsidiaries and any subsidiaries that we may in the future acquire or establish as financing vehicles or otherwise. As of December 31, 2016 and September 30, 2016, our SBIC Funds had $225.0 million in debt commitments, of which $197.5 million was drawn. All of such indebtedness is structurally senior to our Notes. In addition, our subsidiaries may incur substantial additional indebtedness in the future, all of which would be structurally senior to our Notes.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indenture under which our Notes were issued contains limited protection for their respective holders.</w:t>
      </w:r>
    </w:p>
    <w:p>
      <w:pPr>
        <w:spacing w:after="0" w:line="90"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The indenture under which our Notes were issued offers limited protection to their respective holders. The terms of the indenture and our Notes do not restrict our or any of our subsidiaries’ ability to engage in, or otherwise be a party to, a variety of corporate transactions, circumstances or events that could have an adverse impact on an investment in our Notes. In particular, the terms of the indentures and our Notes do not place any restrictions on our or our subsidiaries’ ability to:</w:t>
      </w:r>
    </w:p>
    <w:p>
      <w:pPr>
        <w:spacing w:after="0" w:line="62" w:lineRule="exact"/>
        <w:rPr>
          <w:sz w:val="20"/>
          <w:szCs w:val="20"/>
          <w:color w:val="auto"/>
        </w:rPr>
      </w:pPr>
    </w:p>
    <w:p>
      <w:pPr>
        <w:ind w:left="1460" w:hanging="655"/>
        <w:spacing w:after="0" w:line="289" w:lineRule="auto"/>
        <w:tabs>
          <w:tab w:leader="none" w:pos="1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issue securities or otherwise incur additional indebtedness or other obligations, including (1) any indebtedness or other obligations that would be equal in right of payment to our Notes, (2) any indebtedness or other obligations that would be secured and therefore rank effectively senior in right of payment to our Notes to the extent of the values of the assets securing such debt, (3) indebtedness of ours that is guaranteed by one or more of our subsidiaries and which therefore would rank structurally senior to our Notes and (4) securities, indebtedness or other obligations issued or incurred by our subsidiaries that would be senior in right of payment to our equity interests in our subsidiaries and therefore would rank structurally senior in right of payment to our Notes with respect to the assets of our subsidiaries, in each case other than an incurrence of indebtedness or other obligation that would cause a violation of Section 18(a)(1)(A) as modified by Section 61(a)(1) of the 1940 Act or any successor provisions;</w:t>
      </w:r>
    </w:p>
    <w:p>
      <w:pPr>
        <w:spacing w:after="0" w:line="37" w:lineRule="exact"/>
        <w:rPr>
          <w:rFonts w:ascii="Arial" w:cs="Arial" w:eastAsia="Arial" w:hAnsi="Arial"/>
          <w:sz w:val="16"/>
          <w:szCs w:val="16"/>
          <w:color w:val="auto"/>
        </w:rPr>
      </w:pPr>
    </w:p>
    <w:p>
      <w:pPr>
        <w:ind w:left="1460" w:right="300" w:hanging="655"/>
        <w:spacing w:after="0" w:line="268" w:lineRule="auto"/>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distributions on, or purchase or redeem or make any payments in respect of, capital stock or other securities ranking junior in right of payment to our Notes;</w:t>
      </w:r>
    </w:p>
    <w:p>
      <w:pPr>
        <w:spacing w:after="0" w:line="50" w:lineRule="exact"/>
        <w:rPr>
          <w:rFonts w:ascii="Arial" w:cs="Arial" w:eastAsia="Arial" w:hAnsi="Arial"/>
          <w:sz w:val="18"/>
          <w:szCs w:val="18"/>
          <w:color w:val="auto"/>
        </w:rPr>
      </w:pPr>
    </w:p>
    <w:p>
      <w:pPr>
        <w:ind w:left="1460" w:hanging="655"/>
        <w:spacing w:after="0"/>
        <w:tabs>
          <w:tab w:leader="none" w:pos="1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sell assets (other than certain limited restrictions on our ability to consolidate, merge or sell all or substantially all of our assets);</w:t>
      </w:r>
    </w:p>
    <w:p>
      <w:pPr>
        <w:spacing w:after="0" w:line="113" w:lineRule="exact"/>
        <w:rPr>
          <w:rFonts w:ascii="Arial" w:cs="Arial" w:eastAsia="Arial" w:hAnsi="Arial"/>
          <w:sz w:val="16"/>
          <w:szCs w:val="16"/>
          <w:color w:val="auto"/>
        </w:rPr>
      </w:pPr>
    </w:p>
    <w:p>
      <w:pPr>
        <w:ind w:left="1460" w:hanging="655"/>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restrictions on the payment of distributions or other amounts to us from our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571"/>
        <w:spacing w:after="0" w:line="306" w:lineRule="auto"/>
        <w:rPr>
          <w:sz w:val="20"/>
          <w:szCs w:val="20"/>
          <w:color w:val="auto"/>
        </w:rPr>
      </w:pPr>
      <w:r>
        <w:rPr>
          <w:rFonts w:ascii="Arial" w:cs="Arial" w:eastAsia="Arial" w:hAnsi="Arial"/>
          <w:sz w:val="16"/>
          <w:szCs w:val="16"/>
          <w:color w:val="auto"/>
        </w:rPr>
        <w:t>Furthermore, the terms of the indenture and our Notes do not protect their respective holders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26"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our Notes may have important consequences for their holders, including making it more difficult for us to satisfy our obligations with respect to our Notes or negatively affecting their trading value.</w:t>
      </w:r>
    </w:p>
    <w:p>
      <w:pPr>
        <w:spacing w:after="0" w:line="59" w:lineRule="exact"/>
        <w:rPr>
          <w:sz w:val="20"/>
          <w:szCs w:val="20"/>
          <w:color w:val="auto"/>
        </w:rPr>
      </w:pPr>
    </w:p>
    <w:p>
      <w:pPr>
        <w:jc w:val="both"/>
        <w:ind w:right="120" w:firstLine="571"/>
        <w:spacing w:after="0" w:line="306" w:lineRule="auto"/>
        <w:rPr>
          <w:sz w:val="20"/>
          <w:szCs w:val="20"/>
          <w:color w:val="auto"/>
        </w:rPr>
      </w:pPr>
      <w:r>
        <w:rPr>
          <w:rFonts w:ascii="Arial" w:cs="Arial" w:eastAsia="Arial" w:hAnsi="Arial"/>
          <w:sz w:val="16"/>
          <w:szCs w:val="16"/>
          <w:color w:val="auto"/>
        </w:rPr>
        <w:t>Certain of our current debt instruments include more protections for their respective holders than the indenture and our Notes. In addition, other debt we issue or incur in the future could contain more protections for its holders than the indenture and our Notes, including additional covenants and events of default. The issuance or incurrence of any such debt with incremental protections could affect the market for and trading levels and prices of our Notes.</w:t>
      </w:r>
    </w:p>
    <w:p>
      <w:pPr>
        <w:spacing w:after="0" w:line="26" w:lineRule="exact"/>
        <w:rPr>
          <w:sz w:val="20"/>
          <w:szCs w:val="20"/>
          <w:color w:val="auto"/>
        </w:rPr>
      </w:pPr>
    </w:p>
    <w:p>
      <w:pPr>
        <w:ind w:right="100"/>
        <w:spacing w:after="0" w:line="357" w:lineRule="auto"/>
        <w:rPr>
          <w:sz w:val="20"/>
          <w:szCs w:val="20"/>
          <w:color w:val="auto"/>
        </w:rPr>
      </w:pPr>
      <w:r>
        <w:rPr>
          <w:rFonts w:ascii="Arial" w:cs="Arial" w:eastAsia="Arial" w:hAnsi="Arial"/>
          <w:sz w:val="15"/>
          <w:szCs w:val="15"/>
          <w:b w:val="1"/>
          <w:bCs w:val="1"/>
          <w:i w:val="1"/>
          <w:iCs w:val="1"/>
          <w:color w:val="auto"/>
        </w:rPr>
        <w:t>An active trading market for our Notes may not develop, which could limit their market price or the ability of their respective holders to sell them. If a rating agency assigns our Notes a non-investment grade rating, they may be subject to greater price volatility than similar securities without such a rating.</w:t>
      </w:r>
    </w:p>
    <w:p>
      <w:pPr>
        <w:ind w:right="20" w:firstLine="571"/>
        <w:spacing w:after="0" w:line="289" w:lineRule="auto"/>
        <w:rPr>
          <w:sz w:val="20"/>
          <w:szCs w:val="20"/>
          <w:color w:val="auto"/>
        </w:rPr>
      </w:pPr>
      <w:r>
        <w:rPr>
          <w:rFonts w:ascii="Arial" w:cs="Arial" w:eastAsia="Arial" w:hAnsi="Arial"/>
          <w:sz w:val="16"/>
          <w:szCs w:val="16"/>
          <w:color w:val="auto"/>
        </w:rPr>
        <w:t>We have not and do not intend to list the 2019 Notes on any securities exchange or for quotation on any automated dealer quotation system. We have listed the 2025 Notes on the NYSE. However, we cannot provide any assurances that an active trading market will develop for the 2019 Notes and 2025 Notes or that their holders will be able to sell them. Our Notes may trade at a discount from their initial offering price depending on prevailing interest rates, the market for similar securities, our credit ratings, general economic conditions, our financial condition, performance and prospects and other factors. If a rating agency assigns our Notes a non-investment grade rating, they may be subject to greater price volatility than securities of similar maturity without such a non-investment grade rating. We cannot assure holders of our Notes that a liquid trading market will develop for them, that holders will be able to sell their 2019 Notes and 2025 Notes at a particular time or that the price holders receive upon such sale will be favorable. To the extent an active trading market does not develop, the liquidity and trading price for our Notes may be harmed. Accordingly, holders of our Notes may be required to bear the financial risk for an indefinite period of time.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default on our obligations to pay our other indebtedness, we may not be able to make payments on our Notes.</w:t>
      </w:r>
    </w:p>
    <w:p>
      <w:pPr>
        <w:spacing w:after="0" w:line="90" w:lineRule="exact"/>
        <w:rPr>
          <w:sz w:val="20"/>
          <w:szCs w:val="20"/>
          <w:color w:val="auto"/>
        </w:rPr>
      </w:pPr>
    </w:p>
    <w:p>
      <w:pPr>
        <w:ind w:firstLine="571"/>
        <w:spacing w:after="0" w:line="285" w:lineRule="auto"/>
        <w:rPr>
          <w:sz w:val="20"/>
          <w:szCs w:val="20"/>
          <w:color w:val="auto"/>
        </w:rPr>
      </w:pPr>
      <w:r>
        <w:rPr>
          <w:rFonts w:ascii="Arial" w:cs="Arial" w:eastAsia="Arial" w:hAnsi="Arial"/>
          <w:sz w:val="16"/>
          <w:szCs w:val="16"/>
          <w:color w:val="auto"/>
        </w:rPr>
        <w:t>Any default under the agreements governing our indebtedness, including a default under our Credit Facility or under other indebtedness to which we may be a party that is not waived by the required lenders or holders, and the remedies sought by the holders of such indebtedness could make us unable to pay principal, premium, if any, and interest on our Notes and substantially decrease their market value.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Credit Facility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agreements relating to our Credit Facility or other debt that we may incur in the future to avoid being in default. If we breach our covenants under our Credit Facility or other debt and seek a waiver, we may not be able to obtain a waiver from the required lenders or holders. If this occurs, we would be in default and our lenders or debt holders could exercise their rights as described above, and we could be forced into bankruptcy or liquidation. If we are unable to repay debt, lenders having secured obligations, including the lenders under our Credit Facility, could proceed against the collateral securing the debt. Because our Credit Facility has, and any future debt will likely will have, customary cross-default provisions, if the indebtedness thereunder or under any future credit facility is accelerated, we may be unable to repay or finance the amounts due.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FATCA withholding may apply to payments to certain foreign entities.</w:t>
      </w:r>
    </w:p>
    <w:p>
      <w:pPr>
        <w:spacing w:after="0" w:line="90" w:lineRule="exact"/>
        <w:rPr>
          <w:sz w:val="20"/>
          <w:szCs w:val="20"/>
          <w:color w:val="auto"/>
        </w:rPr>
      </w:pPr>
    </w:p>
    <w:p>
      <w:pPr>
        <w:ind w:right="200" w:firstLine="571"/>
        <w:spacing w:after="0" w:line="294" w:lineRule="auto"/>
        <w:rPr>
          <w:sz w:val="20"/>
          <w:szCs w:val="20"/>
          <w:color w:val="auto"/>
        </w:rPr>
      </w:pPr>
      <w:r>
        <w:rPr>
          <w:rFonts w:ascii="Arial" w:cs="Arial" w:eastAsia="Arial" w:hAnsi="Arial"/>
          <w:sz w:val="16"/>
          <w:szCs w:val="16"/>
          <w:color w:val="auto"/>
        </w:rPr>
        <w:t>Payments made under our Notes to a foreign financial institution or non-financial foreign entity (including such an institution or entity acting as an intermediary) may be subject to a U.S. withholding tax of 30% under a U.S. federal tax law (commonly known as “FATCA”). This tax may apply to certain payments of interest as well as payments made upon maturity, redemption, or sale of our Notes, unless the foreign financial institution or non-financial foreign entity complies with certain information reporting, withholding, identification, certification and related requirements imposed by FATCA. Holders of our Notes should consult their own tax advisors regarding FATCA and how it may affect their investment in our Notes.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420" w:firstLine="571"/>
        <w:spacing w:after="0" w:line="256" w:lineRule="auto"/>
        <w:rPr>
          <w:sz w:val="20"/>
          <w:szCs w:val="20"/>
          <w:color w:val="auto"/>
        </w:rPr>
      </w:pPr>
      <w:r>
        <w:rPr>
          <w:rFonts w:ascii="Arial" w:cs="Arial" w:eastAsia="Arial" w:hAnsi="Arial"/>
          <w:sz w:val="18"/>
          <w:szCs w:val="18"/>
          <w:color w:val="auto"/>
        </w:rPr>
        <w:t>This prospectus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involve risks and uncertainties, including statements as to:</w:t>
      </w:r>
    </w:p>
    <w:p>
      <w:pPr>
        <w:spacing w:after="0" w:line="49" w:lineRule="exact"/>
        <w:rPr>
          <w:sz w:val="20"/>
          <w:szCs w:val="20"/>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European sovereign debt, Brexit and other world economic and political issues.</w:t>
      </w:r>
    </w:p>
    <w:p>
      <w:pPr>
        <w:spacing w:after="0" w:line="171" w:lineRule="exact"/>
        <w:rPr>
          <w:sz w:val="20"/>
          <w:szCs w:val="20"/>
          <w:color w:val="auto"/>
        </w:rPr>
      </w:pPr>
    </w:p>
    <w:p>
      <w:pPr>
        <w:ind w:right="220" w:firstLine="571"/>
        <w:spacing w:after="0" w:line="306"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07" w:lineRule="exact"/>
        <w:rPr>
          <w:sz w:val="20"/>
          <w:szCs w:val="20"/>
          <w:color w:val="auto"/>
        </w:rPr>
      </w:pPr>
    </w:p>
    <w:p>
      <w:pPr>
        <w:jc w:val="both"/>
        <w:ind w:right="60" w:firstLine="571"/>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43"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a supplemental prospectus or through reports that we in the future may file with the SEC, including reports on Form 10-K/Q and current reports on Form 8-K.</w:t>
      </w:r>
    </w:p>
    <w:p>
      <w:pPr>
        <w:spacing w:after="0" w:line="143" w:lineRule="exact"/>
        <w:rPr>
          <w:sz w:val="20"/>
          <w:szCs w:val="20"/>
          <w:color w:val="auto"/>
        </w:rPr>
      </w:pPr>
    </w:p>
    <w:p>
      <w:pPr>
        <w:ind w:right="40" w:firstLine="571"/>
        <w:spacing w:after="0" w:line="306" w:lineRule="auto"/>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40" w:firstLine="571"/>
        <w:spacing w:after="0" w:line="306" w:lineRule="auto"/>
        <w:rPr>
          <w:sz w:val="20"/>
          <w:szCs w:val="20"/>
          <w:color w:val="auto"/>
        </w:rPr>
      </w:pPr>
      <w:r>
        <w:rPr>
          <w:rFonts w:ascii="Arial" w:cs="Arial" w:eastAsia="Arial" w:hAnsi="Arial"/>
          <w:sz w:val="16"/>
          <w:szCs w:val="16"/>
          <w:color w:val="auto"/>
        </w:rPr>
        <w:t>We may use the net proceeds from selling securities pursuant to this prospectus to reduce our then-outstanding obligations under our Credit Facility, 2019 Notes, 2025 Notes and/or the SBA debentures, to invest in new or existing portfolio companies or for other general corporate or strategic purposes. Any supplements to this prospectus relating to an offering may more fully identify the use of the proceeds from such offering.</w:t>
      </w:r>
    </w:p>
    <w:p>
      <w:pPr>
        <w:spacing w:after="0" w:line="107"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As of December 31, 2016, we had $396.9 million of unused borrowing capacity, subject to maintenance of the applicable total assets to debt ratio, as set forth in the 1940 Act, and $148.1 million in borrowings outstanding under our $545.0 million Credit Facility. Borrowings under our Credit Facility bear interest at an annual rate equal to the London Interbank Offered Rate, or LIBOR or “L,” plus 225 basis points per annum. At December 31, 2016, the weighted average interest rate on the Credit Facility was 2.63%. The Credit Facility is a revolving facility with a stated maturity date of June 25, 2019 and is secured by substantially all of the assets in our investment portfolio, excluding assets of our SBIC Funds. Amounts repaid under our Credit Facility remain available for future borrowings.</w:t>
      </w:r>
    </w:p>
    <w:p>
      <w:pPr>
        <w:spacing w:after="0" w:line="144" w:lineRule="exact"/>
        <w:rPr>
          <w:sz w:val="20"/>
          <w:szCs w:val="20"/>
          <w:color w:val="auto"/>
        </w:rPr>
      </w:pPr>
    </w:p>
    <w:p>
      <w:pPr>
        <w:ind w:right="280" w:firstLine="571"/>
        <w:spacing w:after="0" w:line="298" w:lineRule="auto"/>
        <w:rPr>
          <w:sz w:val="20"/>
          <w:szCs w:val="20"/>
          <w:color w:val="auto"/>
        </w:rPr>
      </w:pPr>
      <w:r>
        <w:rPr>
          <w:rFonts w:ascii="Arial" w:cs="Arial" w:eastAsia="Arial" w:hAnsi="Arial"/>
          <w:sz w:val="16"/>
          <w:szCs w:val="16"/>
          <w:color w:val="auto"/>
        </w:rPr>
        <w:t>As of December 31, 2016, we had $250.0 million in aggregate principal amount of 2019 Notes outstanding.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w:t>
      </w:r>
    </w:p>
    <w:p>
      <w:pPr>
        <w:spacing w:after="0" w:line="113"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As of December 31, 2016, we had $71.3 million in aggregate principal amount of 2025 Notes outstanding. Interest on the 2025 Notes is paid quarterly on 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w:t>
      </w:r>
    </w:p>
    <w:p>
      <w:pPr>
        <w:spacing w:after="0" w:line="113"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As of December 31, 2016, our SBIC Funds had $225.0 million in debt commitments, of which $197.5 million was drawn. The interest rate of SBA debentures is fixed at the time of issuance, often referred to as pooling, at a market-driven spread over 10-year U.S. Treasury Notes. At December 31, 2016, the SBA debentures’ had a weighted average interest rate of 3.44%. The SBA debentures mature between September 2020 and September 2026. The SBA debentures are secured by all the investment portfolio assets of our SBIC Funds and have a priority claim over such assets relative to all other creditors.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“Management’s Discussion and Analysis of Financial Condition and Results of Operations” for more information.</w:t>
      </w:r>
    </w:p>
    <w:p>
      <w:pPr>
        <w:spacing w:after="0" w:line="171" w:lineRule="exact"/>
        <w:rPr>
          <w:sz w:val="20"/>
          <w:szCs w:val="20"/>
          <w:color w:val="auto"/>
        </w:rPr>
      </w:pPr>
    </w:p>
    <w:p>
      <w:pPr>
        <w:ind w:right="240" w:firstLine="571"/>
        <w:spacing w:after="0" w:line="289"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2019 Notes, 2025 Notes and/or the SBA debentures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“Regulation—Temporary Investments” for more information.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96"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We have derived the data below from our audited and unaudited financial data. The Consolidated Statement of Operations data, Per share data, Consolidated Statement of Assets and Liabilities data and Total returns data presented are derived from our audited and unaudited Consolidated Financial Statements. These selected financial data should be read in conjunction with our Consolidated Financial Statements and related notes thereto and “Management’s Discussion and Analysis of Financial Condition and Results of Operations” in the accompanying prospectus.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7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For the three months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5080" w:type="dxa"/>
            <w:vAlign w:val="bottom"/>
          </w:tcPr>
          <w:p>
            <w:pPr>
              <w:spacing w:after="0"/>
              <w:rPr>
                <w:sz w:val="14"/>
                <w:szCs w:val="14"/>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ended December 31,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w w:val="93"/>
              </w:rPr>
              <w:t>For the years ended September 30,</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5080" w:type="dxa"/>
            <w:vAlign w:val="bottom"/>
          </w:tcPr>
          <w:p>
            <w:pPr>
              <w:spacing w:after="0"/>
              <w:rPr>
                <w:sz w:val="12"/>
                <w:szCs w:val="12"/>
                <w:color w:val="auto"/>
              </w:rPr>
            </w:pPr>
          </w:p>
        </w:tc>
        <w:tc>
          <w:tcPr>
            <w:tcW w:w="820" w:type="dxa"/>
            <w:vAlign w:val="bottom"/>
            <w:tcBorders>
              <w:top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2016</w:t>
            </w:r>
          </w:p>
        </w:tc>
        <w:tc>
          <w:tcPr>
            <w:tcW w:w="72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r>
      <w:tr>
        <w:trPr>
          <w:trHeight w:val="142"/>
        </w:trPr>
        <w:tc>
          <w:tcPr>
            <w:tcW w:w="5080" w:type="dxa"/>
            <w:vAlign w:val="bottom"/>
          </w:tcPr>
          <w:p>
            <w:pPr>
              <w:spacing w:after="0"/>
              <w:rPr>
                <w:sz w:val="12"/>
                <w:szCs w:val="12"/>
                <w:color w:val="auto"/>
              </w:rPr>
            </w:pPr>
          </w:p>
        </w:tc>
        <w:tc>
          <w:tcPr>
            <w:tcW w:w="15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(Dollar amounts in thousands, except per share data)</w:t>
            </w:r>
          </w:p>
        </w:tc>
        <w:tc>
          <w:tcPr>
            <w:tcW w:w="8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5080" w:type="dxa"/>
            <w:vAlign w:val="bottom"/>
          </w:tcPr>
          <w:p>
            <w:pPr>
              <w:spacing w:after="0" w:line="149" w:lineRule="exact"/>
              <w:rPr>
                <w:sz w:val="20"/>
                <w:szCs w:val="20"/>
                <w:color w:val="auto"/>
              </w:rPr>
            </w:pPr>
            <w:r>
              <w:rPr>
                <w:rFonts w:ascii="Arial" w:cs="Arial" w:eastAsia="Arial" w:hAnsi="Arial"/>
                <w:sz w:val="14"/>
                <w:szCs w:val="14"/>
                <w:b w:val="1"/>
                <w:bCs w:val="1"/>
                <w:color w:val="auto"/>
              </w:rPr>
              <w:t>Consolidated Statement of Operations data:</w:t>
            </w: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 income</w:t>
            </w:r>
          </w:p>
        </w:tc>
        <w:tc>
          <w:tcPr>
            <w:tcW w:w="82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w w:val="93"/>
              </w:rPr>
              <w:t>$   31,869</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35,263</w:t>
            </w:r>
          </w:p>
        </w:tc>
        <w:tc>
          <w:tcPr>
            <w:tcW w:w="2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  142,071</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  161,629</w:t>
            </w: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7"/>
              </w:rPr>
              <w:t>$  147,936</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  129,187</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  113,392</w:t>
            </w:r>
          </w:p>
        </w:tc>
      </w:tr>
      <w:tr>
        <w:trPr>
          <w:trHeight w:val="149"/>
        </w:trPr>
        <w:tc>
          <w:tcPr>
            <w:tcW w:w="5080" w:type="dxa"/>
            <w:vAlign w:val="bottom"/>
          </w:tcPr>
          <w:p>
            <w:pPr>
              <w:spacing w:after="0" w:line="149" w:lineRule="exact"/>
              <w:rPr>
                <w:sz w:val="20"/>
                <w:szCs w:val="20"/>
                <w:color w:val="auto"/>
              </w:rPr>
            </w:pPr>
            <w:r>
              <w:rPr>
                <w:rFonts w:ascii="Arial" w:cs="Arial" w:eastAsia="Arial" w:hAnsi="Arial"/>
                <w:sz w:val="14"/>
                <w:szCs w:val="14"/>
                <w:color w:val="auto"/>
              </w:rPr>
              <w:t>Total expenses</w:t>
            </w:r>
          </w:p>
        </w:tc>
        <w:tc>
          <w:tcPr>
            <w:tcW w:w="820" w:type="dxa"/>
            <w:vAlign w:val="bottom"/>
          </w:tcPr>
          <w:p>
            <w:pPr>
              <w:jc w:val="right"/>
              <w:ind w:right="13"/>
              <w:spacing w:after="0" w:line="149" w:lineRule="exact"/>
              <w:rPr>
                <w:sz w:val="20"/>
                <w:szCs w:val="20"/>
                <w:color w:val="auto"/>
              </w:rPr>
            </w:pPr>
            <w:r>
              <w:rPr>
                <w:rFonts w:ascii="Arial" w:cs="Arial" w:eastAsia="Arial" w:hAnsi="Arial"/>
                <w:sz w:val="11"/>
                <w:szCs w:val="11"/>
                <w:color w:val="auto"/>
              </w:rPr>
              <w:t>18,372</w:t>
            </w:r>
            <w:r>
              <w:rPr>
                <w:rFonts w:ascii="Arial" w:cs="Arial" w:eastAsia="Arial" w:hAnsi="Arial"/>
                <w:sz w:val="17"/>
                <w:szCs w:val="17"/>
                <w:color w:val="auto"/>
                <w:vertAlign w:val="superscript"/>
              </w:rPr>
              <w:t>(1)</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1"/>
                <w:szCs w:val="11"/>
                <w:color w:val="auto"/>
              </w:rPr>
              <w:t>20,080</w:t>
            </w:r>
            <w:r>
              <w:rPr>
                <w:rFonts w:ascii="Arial" w:cs="Arial" w:eastAsia="Arial" w:hAnsi="Arial"/>
                <w:sz w:val="17"/>
                <w:szCs w:val="17"/>
                <w:color w:val="auto"/>
                <w:vertAlign w:val="superscript"/>
              </w:rPr>
              <w:t>(1)</w:t>
            </w: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1"/>
                <w:szCs w:val="11"/>
                <w:color w:val="auto"/>
              </w:rPr>
              <w:t>77,997</w:t>
            </w:r>
            <w:r>
              <w:rPr>
                <w:rFonts w:ascii="Arial" w:cs="Arial" w:eastAsia="Arial" w:hAnsi="Arial"/>
                <w:sz w:val="17"/>
                <w:szCs w:val="17"/>
                <w:color w:val="auto"/>
                <w:vertAlign w:val="superscript"/>
              </w:rPr>
              <w:t>(1)</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79,371</w:t>
            </w:r>
          </w:p>
        </w:tc>
        <w:tc>
          <w:tcPr>
            <w:tcW w:w="3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76,608</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62,189</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56,323</w:t>
            </w:r>
          </w:p>
        </w:tc>
      </w:tr>
      <w:tr>
        <w:trPr>
          <w:trHeight w:val="149"/>
        </w:trPr>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investment income</w:t>
            </w:r>
          </w:p>
        </w:tc>
        <w:tc>
          <w:tcPr>
            <w:tcW w:w="82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15,041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16,832</w:t>
            </w:r>
          </w:p>
        </w:tc>
        <w:tc>
          <w:tcPr>
            <w:tcW w:w="2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70,615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82,258</w:t>
            </w: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71,329</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66,998</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57,069</w:t>
            </w:r>
          </w:p>
        </w:tc>
      </w:tr>
      <w:tr>
        <w:trPr>
          <w:trHeight w:val="149"/>
        </w:trPr>
        <w:tc>
          <w:tcPr>
            <w:tcW w:w="5080" w:type="dxa"/>
            <w:vAlign w:val="bottom"/>
          </w:tcPr>
          <w:p>
            <w:pPr>
              <w:spacing w:after="0" w:line="149" w:lineRule="exact"/>
              <w:rPr>
                <w:sz w:val="20"/>
                <w:szCs w:val="20"/>
                <w:color w:val="auto"/>
              </w:rPr>
            </w:pPr>
            <w:r>
              <w:rPr>
                <w:rFonts w:ascii="Arial" w:cs="Arial" w:eastAsia="Arial" w:hAnsi="Arial"/>
                <w:sz w:val="14"/>
                <w:szCs w:val="14"/>
                <w:color w:val="auto"/>
              </w:rPr>
              <w:t>Net realized and unrealized gain (loss)</w:t>
            </w:r>
          </w:p>
        </w:tc>
        <w:tc>
          <w:tcPr>
            <w:tcW w:w="8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9,008</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(57,587)</w:t>
            </w:r>
          </w:p>
        </w:tc>
        <w:tc>
          <w:tcPr>
            <w:tcW w:w="106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(51,878)</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(92,504)</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39,655</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24,780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6,284</w:t>
            </w:r>
          </w:p>
        </w:tc>
      </w:tr>
      <w:tr>
        <w:trPr>
          <w:trHeight w:val="149"/>
        </w:trPr>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82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24,049</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(40,755)</w:t>
            </w:r>
          </w:p>
        </w:tc>
        <w:tc>
          <w:tcPr>
            <w:tcW w:w="10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18,737</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(10,246)</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110,983</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91,778</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63,353</w:t>
            </w:r>
          </w:p>
        </w:tc>
      </w:tr>
      <w:tr>
        <w:trPr>
          <w:trHeight w:val="149"/>
        </w:trPr>
        <w:tc>
          <w:tcPr>
            <w:tcW w:w="5080" w:type="dxa"/>
            <w:vAlign w:val="bottom"/>
          </w:tcPr>
          <w:p>
            <w:pPr>
              <w:spacing w:after="0" w:line="149" w:lineRule="exact"/>
              <w:rPr>
                <w:sz w:val="20"/>
                <w:szCs w:val="20"/>
                <w:color w:val="auto"/>
              </w:rPr>
            </w:pPr>
            <w:r>
              <w:rPr>
                <w:rFonts w:ascii="Arial" w:cs="Arial" w:eastAsia="Arial" w:hAnsi="Arial"/>
                <w:sz w:val="14"/>
                <w:szCs w:val="14"/>
                <w:b w:val="1"/>
                <w:bCs w:val="1"/>
                <w:color w:val="auto"/>
              </w:rPr>
              <w:t>Per share data:</w:t>
            </w: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w:t>
            </w:r>
          </w:p>
        </w:tc>
        <w:tc>
          <w:tcPr>
            <w:tcW w:w="82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9.11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9.02</w:t>
            </w:r>
          </w:p>
        </w:tc>
        <w:tc>
          <w:tcPr>
            <w:tcW w:w="2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9.05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9.82</w:t>
            </w: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11.03</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10.49</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10.22</w:t>
            </w:r>
          </w:p>
        </w:tc>
      </w:tr>
      <w:tr>
        <w:trPr>
          <w:trHeight w:val="149"/>
        </w:trPr>
        <w:tc>
          <w:tcPr>
            <w:tcW w:w="5080" w:type="dxa"/>
            <w:vAlign w:val="bottom"/>
          </w:tcPr>
          <w:p>
            <w:pPr>
              <w:spacing w:after="0" w:line="149" w:lineRule="exact"/>
              <w:rPr>
                <w:sz w:val="20"/>
                <w:szCs w:val="20"/>
                <w:color w:val="auto"/>
              </w:rPr>
            </w:pPr>
            <w:r>
              <w:rPr>
                <w:rFonts w:ascii="Arial" w:cs="Arial" w:eastAsia="Arial" w:hAnsi="Arial"/>
                <w:sz w:val="11"/>
                <w:szCs w:val="11"/>
                <w:color w:val="auto"/>
              </w:rPr>
              <w:t xml:space="preserve">Net investment income </w:t>
            </w:r>
            <w:r>
              <w:rPr>
                <w:rFonts w:ascii="Arial" w:cs="Arial" w:eastAsia="Arial" w:hAnsi="Arial"/>
                <w:sz w:val="17"/>
                <w:szCs w:val="17"/>
                <w:color w:val="auto"/>
                <w:vertAlign w:val="superscript"/>
              </w:rPr>
              <w:t>(2)</w:t>
            </w:r>
          </w:p>
        </w:tc>
        <w:tc>
          <w:tcPr>
            <w:tcW w:w="8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0.21</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0.23</w:t>
            </w:r>
          </w:p>
        </w:tc>
        <w:tc>
          <w:tcPr>
            <w:tcW w:w="240" w:type="dxa"/>
            <w:vAlign w:val="bottom"/>
          </w:tcPr>
          <w:p>
            <w:pPr>
              <w:spacing w:after="0"/>
              <w:rPr>
                <w:sz w:val="12"/>
                <w:szCs w:val="12"/>
                <w:color w:val="auto"/>
              </w:rPr>
            </w:pPr>
          </w:p>
        </w:tc>
        <w:tc>
          <w:tcPr>
            <w:tcW w:w="106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0.99</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c>
          <w:tcPr>
            <w:tcW w:w="3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1.06</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1.01</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1.08</w:t>
            </w:r>
          </w:p>
        </w:tc>
      </w:tr>
      <w:tr>
        <w:trPr>
          <w:trHeight w:val="149"/>
        </w:trPr>
        <w:tc>
          <w:tcPr>
            <w:tcW w:w="50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Net realized and unrealized gain (loss) </w:t>
            </w:r>
            <w:r>
              <w:rPr>
                <w:rFonts w:ascii="Arial" w:cs="Arial" w:eastAsia="Arial" w:hAnsi="Arial"/>
                <w:sz w:val="17"/>
                <w:szCs w:val="17"/>
                <w:color w:val="auto"/>
                <w:vertAlign w:val="superscript"/>
              </w:rPr>
              <w:t>(2)</w:t>
            </w:r>
          </w:p>
        </w:tc>
        <w:tc>
          <w:tcPr>
            <w:tcW w:w="82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0.13</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(0.79)</w:t>
            </w:r>
          </w:p>
        </w:tc>
        <w:tc>
          <w:tcPr>
            <w:tcW w:w="106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(0.73)</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(1.24)</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0.60</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0.38</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0.12</w:t>
            </w:r>
          </w:p>
        </w:tc>
      </w:tr>
      <w:tr>
        <w:trPr>
          <w:trHeight w:val="149"/>
        </w:trPr>
        <w:tc>
          <w:tcPr>
            <w:tcW w:w="5080" w:type="dxa"/>
            <w:vAlign w:val="bottom"/>
          </w:tcPr>
          <w:p>
            <w:pPr>
              <w:spacing w:after="0" w:line="149" w:lineRule="exact"/>
              <w:rPr>
                <w:sz w:val="20"/>
                <w:szCs w:val="20"/>
                <w:color w:val="auto"/>
              </w:rPr>
            </w:pPr>
            <w:r>
              <w:rPr>
                <w:rFonts w:ascii="Arial" w:cs="Arial" w:eastAsia="Arial" w:hAnsi="Arial"/>
                <w:sz w:val="11"/>
                <w:szCs w:val="11"/>
                <w:color w:val="auto"/>
              </w:rPr>
              <w:t xml:space="preserve">Net increase (decrease) in net assets resulting from operations </w:t>
            </w:r>
            <w:r>
              <w:rPr>
                <w:rFonts w:ascii="Arial" w:cs="Arial" w:eastAsia="Arial" w:hAnsi="Arial"/>
                <w:sz w:val="17"/>
                <w:szCs w:val="17"/>
                <w:color w:val="auto"/>
                <w:vertAlign w:val="superscript"/>
              </w:rPr>
              <w:t>(2)</w:t>
            </w:r>
          </w:p>
        </w:tc>
        <w:tc>
          <w:tcPr>
            <w:tcW w:w="8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0.34</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(0.56)</w:t>
            </w:r>
          </w:p>
        </w:tc>
        <w:tc>
          <w:tcPr>
            <w:tcW w:w="106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0.26</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(0.14)</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1.66</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1.39</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1.20</w:t>
            </w:r>
          </w:p>
        </w:tc>
      </w:tr>
      <w:tr>
        <w:trPr>
          <w:trHeight w:val="149"/>
        </w:trPr>
        <w:tc>
          <w:tcPr>
            <w:tcW w:w="50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Distributions declared </w:t>
            </w:r>
            <w:r>
              <w:rPr>
                <w:rFonts w:ascii="Arial" w:cs="Arial" w:eastAsia="Arial" w:hAnsi="Arial"/>
                <w:sz w:val="17"/>
                <w:szCs w:val="17"/>
                <w:color w:val="auto"/>
                <w:vertAlign w:val="superscript"/>
              </w:rPr>
              <w:t>(2), (3)</w:t>
            </w:r>
          </w:p>
        </w:tc>
        <w:tc>
          <w:tcPr>
            <w:tcW w:w="82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0.28</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0.28</w:t>
            </w:r>
          </w:p>
        </w:tc>
        <w:tc>
          <w:tcPr>
            <w:tcW w:w="2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1.11</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1.12</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1.13</w:t>
            </w:r>
          </w:p>
        </w:tc>
      </w:tr>
      <w:tr>
        <w:trPr>
          <w:trHeight w:val="149"/>
        </w:trPr>
        <w:tc>
          <w:tcPr>
            <w:tcW w:w="5080" w:type="dxa"/>
            <w:vAlign w:val="bottom"/>
          </w:tcPr>
          <w:p>
            <w:pPr>
              <w:spacing w:after="0" w:line="149" w:lineRule="exact"/>
              <w:rPr>
                <w:sz w:val="20"/>
                <w:szCs w:val="20"/>
                <w:color w:val="auto"/>
              </w:rPr>
            </w:pPr>
            <w:r>
              <w:rPr>
                <w:rFonts w:ascii="Arial" w:cs="Arial" w:eastAsia="Arial" w:hAnsi="Arial"/>
                <w:sz w:val="14"/>
                <w:szCs w:val="14"/>
                <w:b w:val="1"/>
                <w:bCs w:val="1"/>
                <w:color w:val="auto"/>
              </w:rPr>
              <w:t>Consolidated Statement of Assets and Liabilities data:</w:t>
            </w: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82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w w:val="93"/>
              </w:rPr>
              <w:t>1,385,612</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1,299,520</w:t>
            </w:r>
          </w:p>
        </w:tc>
        <w:tc>
          <w:tcPr>
            <w:tcW w:w="2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1,238,936</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1,368,778</w:t>
            </w: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1,411,827</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1,153,327</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1,018,968</w:t>
            </w:r>
          </w:p>
        </w:tc>
      </w:tr>
      <w:tr>
        <w:trPr>
          <w:trHeight w:val="149"/>
        </w:trPr>
        <w:tc>
          <w:tcPr>
            <w:tcW w:w="5080" w:type="dxa"/>
            <w:vAlign w:val="bottom"/>
          </w:tcPr>
          <w:p>
            <w:pPr>
              <w:spacing w:after="0" w:line="149" w:lineRule="exact"/>
              <w:rPr>
                <w:sz w:val="20"/>
                <w:szCs w:val="20"/>
                <w:color w:val="auto"/>
              </w:rPr>
            </w:pPr>
            <w:r>
              <w:rPr>
                <w:rFonts w:ascii="Arial" w:cs="Arial" w:eastAsia="Arial" w:hAnsi="Arial"/>
                <w:sz w:val="14"/>
                <w:szCs w:val="14"/>
                <w:color w:val="auto"/>
              </w:rPr>
              <w:t>Total investment portfolio</w:t>
            </w:r>
          </w:p>
        </w:tc>
        <w:tc>
          <w:tcPr>
            <w:tcW w:w="820" w:type="dxa"/>
            <w:vAlign w:val="bottom"/>
          </w:tcPr>
          <w:p>
            <w:pPr>
              <w:jc w:val="right"/>
              <w:ind w:right="153"/>
              <w:spacing w:after="0" w:line="149" w:lineRule="exact"/>
              <w:rPr>
                <w:sz w:val="20"/>
                <w:szCs w:val="20"/>
                <w:color w:val="auto"/>
              </w:rPr>
            </w:pPr>
            <w:r>
              <w:rPr>
                <w:rFonts w:ascii="Arial" w:cs="Arial" w:eastAsia="Arial" w:hAnsi="Arial"/>
                <w:sz w:val="14"/>
                <w:szCs w:val="14"/>
                <w:color w:val="auto"/>
                <w:w w:val="93"/>
              </w:rPr>
              <w:t>1,325,544</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1,261,884</w:t>
            </w:r>
          </w:p>
        </w:tc>
        <w:tc>
          <w:tcPr>
            <w:tcW w:w="240" w:type="dxa"/>
            <w:vAlign w:val="bottom"/>
          </w:tcPr>
          <w:p>
            <w:pPr>
              <w:spacing w:after="0"/>
              <w:rPr>
                <w:sz w:val="12"/>
                <w:szCs w:val="12"/>
                <w:color w:val="auto"/>
              </w:rPr>
            </w:pPr>
          </w:p>
        </w:tc>
        <w:tc>
          <w:tcPr>
            <w:tcW w:w="106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1,153,680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1,299,048</w:t>
            </w:r>
          </w:p>
        </w:tc>
        <w:tc>
          <w:tcPr>
            <w:tcW w:w="3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3"/>
              </w:rPr>
              <w:t>1,318,055</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1,078,176</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990,480</w:t>
            </w:r>
          </w:p>
        </w:tc>
      </w:tr>
      <w:tr>
        <w:trPr>
          <w:trHeight w:val="149"/>
        </w:trPr>
        <w:tc>
          <w:tcPr>
            <w:tcW w:w="50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Borrowings outstanding </w:t>
            </w:r>
            <w:r>
              <w:rPr>
                <w:rFonts w:ascii="Arial" w:cs="Arial" w:eastAsia="Arial" w:hAnsi="Arial"/>
                <w:sz w:val="17"/>
                <w:szCs w:val="17"/>
                <w:color w:val="auto"/>
                <w:vertAlign w:val="superscript"/>
              </w:rPr>
              <w:t>(4)</w:t>
            </w:r>
          </w:p>
        </w:tc>
        <w:tc>
          <w:tcPr>
            <w:tcW w:w="82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651,706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601,479</w:t>
            </w:r>
          </w:p>
        </w:tc>
        <w:tc>
          <w:tcPr>
            <w:tcW w:w="2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559,589</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602,865</w:t>
            </w: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526,668</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363,900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294,452</w:t>
            </w:r>
          </w:p>
        </w:tc>
      </w:tr>
      <w:tr>
        <w:trPr>
          <w:trHeight w:val="149"/>
        </w:trPr>
        <w:tc>
          <w:tcPr>
            <w:tcW w:w="5080" w:type="dxa"/>
            <w:vAlign w:val="bottom"/>
          </w:tcPr>
          <w:p>
            <w:pPr>
              <w:spacing w:after="0" w:line="149" w:lineRule="exact"/>
              <w:rPr>
                <w:sz w:val="20"/>
                <w:szCs w:val="20"/>
                <w:color w:val="auto"/>
              </w:rPr>
            </w:pPr>
            <w:r>
              <w:rPr>
                <w:rFonts w:ascii="Arial" w:cs="Arial" w:eastAsia="Arial" w:hAnsi="Arial"/>
                <w:sz w:val="14"/>
                <w:szCs w:val="14"/>
                <w:color w:val="auto"/>
              </w:rPr>
              <w:t>Total net asset value</w:t>
            </w:r>
          </w:p>
        </w:tc>
        <w:tc>
          <w:tcPr>
            <w:tcW w:w="8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647,519</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647,309</w:t>
            </w:r>
          </w:p>
        </w:tc>
        <w:tc>
          <w:tcPr>
            <w:tcW w:w="240" w:type="dxa"/>
            <w:vAlign w:val="bottom"/>
          </w:tcPr>
          <w:p>
            <w:pPr>
              <w:spacing w:after="0"/>
              <w:rPr>
                <w:sz w:val="12"/>
                <w:szCs w:val="12"/>
                <w:color w:val="auto"/>
              </w:rPr>
            </w:pPr>
          </w:p>
        </w:tc>
        <w:tc>
          <w:tcPr>
            <w:tcW w:w="106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643,367</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716,591</w:t>
            </w:r>
          </w:p>
        </w:tc>
        <w:tc>
          <w:tcPr>
            <w:tcW w:w="3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828,010</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697,506</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669,717</w:t>
            </w:r>
          </w:p>
        </w:tc>
      </w:tr>
      <w:tr>
        <w:trPr>
          <w:trHeight w:val="149"/>
        </w:trPr>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data:</w:t>
            </w:r>
          </w:p>
        </w:tc>
        <w:tc>
          <w:tcPr>
            <w:tcW w:w="8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5080" w:type="dxa"/>
            <w:vAlign w:val="bottom"/>
          </w:tcPr>
          <w:p>
            <w:pPr>
              <w:spacing w:after="0" w:line="149" w:lineRule="exact"/>
              <w:rPr>
                <w:sz w:val="20"/>
                <w:szCs w:val="20"/>
                <w:color w:val="auto"/>
              </w:rPr>
            </w:pPr>
            <w:r>
              <w:rPr>
                <w:rFonts w:ascii="Arial" w:cs="Arial" w:eastAsia="Arial" w:hAnsi="Arial"/>
                <w:sz w:val="11"/>
                <w:szCs w:val="11"/>
                <w:color w:val="auto"/>
              </w:rPr>
              <w:t xml:space="preserve">Total return </w:t>
            </w:r>
            <w:r>
              <w:rPr>
                <w:rFonts w:ascii="Arial" w:cs="Arial" w:eastAsia="Arial" w:hAnsi="Arial"/>
                <w:sz w:val="17"/>
                <w:szCs w:val="17"/>
                <w:color w:val="auto"/>
                <w:vertAlign w:val="superscript"/>
              </w:rPr>
              <w:t>(5)</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5.51%</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(0.28)%</w:t>
            </w:r>
          </w:p>
        </w:tc>
        <w:tc>
          <w:tcPr>
            <w:tcW w:w="10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36.64%</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(32.51)%</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6.76%</w:t>
            </w: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17.37%</w:t>
            </w: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28.71%</w:t>
            </w:r>
          </w:p>
        </w:tc>
      </w:tr>
      <w:tr>
        <w:trPr>
          <w:trHeight w:val="149"/>
        </w:trPr>
        <w:tc>
          <w:tcPr>
            <w:tcW w:w="50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Number of portfolio companies </w:t>
            </w:r>
            <w:r>
              <w:rPr>
                <w:rFonts w:ascii="Arial" w:cs="Arial" w:eastAsia="Arial" w:hAnsi="Arial"/>
                <w:sz w:val="17"/>
                <w:szCs w:val="17"/>
                <w:color w:val="auto"/>
                <w:vertAlign w:val="superscript"/>
              </w:rPr>
              <w:t>(6)</w:t>
            </w:r>
          </w:p>
        </w:tc>
        <w:tc>
          <w:tcPr>
            <w:tcW w:w="82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60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2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56</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67</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54</w:t>
            </w:r>
          </w:p>
        </w:tc>
      </w:tr>
      <w:tr>
        <w:trPr>
          <w:trHeight w:val="293"/>
        </w:trPr>
        <w:tc>
          <w:tcPr>
            <w:tcW w:w="5080" w:type="dxa"/>
            <w:vAlign w:val="bottom"/>
          </w:tcPr>
          <w:p>
            <w:pPr>
              <w:spacing w:after="0"/>
              <w:rPr>
                <w:sz w:val="20"/>
                <w:szCs w:val="20"/>
                <w:color w:val="auto"/>
              </w:rPr>
            </w:pPr>
            <w:r>
              <w:rPr>
                <w:rFonts w:ascii="Arial" w:cs="Arial" w:eastAsia="Arial" w:hAnsi="Arial"/>
                <w:sz w:val="14"/>
                <w:szCs w:val="14"/>
                <w:color w:val="auto"/>
              </w:rPr>
              <w:t xml:space="preserve">Yield on debt portfolio </w:t>
            </w:r>
            <w:r>
              <w:rPr>
                <w:rFonts w:ascii="Arial" w:cs="Arial" w:eastAsia="Arial" w:hAnsi="Arial"/>
                <w:sz w:val="22"/>
                <w:szCs w:val="22"/>
                <w:color w:val="auto"/>
                <w:vertAlign w:val="superscript"/>
              </w:rPr>
              <w:t>(6)</w:t>
            </w:r>
          </w:p>
        </w:tc>
        <w:tc>
          <w:tcPr>
            <w:tcW w:w="820" w:type="dxa"/>
            <w:vAlign w:val="bottom"/>
          </w:tcPr>
          <w:p>
            <w:pPr>
              <w:jc w:val="right"/>
              <w:ind w:right="33"/>
              <w:spacing w:after="0"/>
              <w:rPr>
                <w:sz w:val="20"/>
                <w:szCs w:val="20"/>
                <w:color w:val="auto"/>
              </w:rPr>
            </w:pPr>
            <w:r>
              <w:rPr>
                <w:rFonts w:ascii="Arial" w:cs="Arial" w:eastAsia="Arial" w:hAnsi="Arial"/>
                <w:sz w:val="14"/>
                <w:szCs w:val="14"/>
                <w:color w:val="auto"/>
              </w:rPr>
              <w:t>11.9%</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12.2%</w:t>
            </w:r>
          </w:p>
        </w:tc>
        <w:tc>
          <w:tcPr>
            <w:tcW w:w="1060" w:type="dxa"/>
            <w:vAlign w:val="bottom"/>
            <w:gridSpan w:val="3"/>
          </w:tcPr>
          <w:p>
            <w:pPr>
              <w:jc w:val="right"/>
              <w:ind w:right="240"/>
              <w:spacing w:after="0"/>
              <w:rPr>
                <w:sz w:val="20"/>
                <w:szCs w:val="20"/>
                <w:color w:val="auto"/>
              </w:rPr>
            </w:pPr>
            <w:r>
              <w:rPr>
                <w:rFonts w:ascii="Arial" w:cs="Arial" w:eastAsia="Arial" w:hAnsi="Arial"/>
                <w:sz w:val="14"/>
                <w:szCs w:val="14"/>
                <w:color w:val="auto"/>
              </w:rPr>
              <w:t>11.9%</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12.1%</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12.5%</w:t>
            </w: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13.0%</w:t>
            </w: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13.2%</w:t>
            </w:r>
          </w:p>
        </w:tc>
      </w:tr>
    </w:tbl>
    <w:p>
      <w:pPr>
        <w:spacing w:after="0" w:line="142" w:lineRule="exact"/>
        <w:rPr>
          <w:sz w:val="20"/>
          <w:szCs w:val="20"/>
          <w:color w:val="auto"/>
        </w:rPr>
      </w:pPr>
    </w:p>
    <w:p>
      <w:pPr>
        <w:ind w:left="580" w:right="180" w:hanging="572"/>
        <w:spacing w:after="0" w:line="189" w:lineRule="auto"/>
        <w:tabs>
          <w:tab w:leader="none" w:pos="580" w:val="left"/>
        </w:tabs>
        <w:numPr>
          <w:ilvl w:val="0"/>
          <w:numId w:val="19"/>
        </w:numPr>
        <w:rPr>
          <w:rFonts w:ascii="Arial" w:cs="Arial" w:eastAsia="Arial" w:hAnsi="Arial"/>
          <w:sz w:val="21"/>
          <w:szCs w:val="21"/>
          <w:color w:val="auto"/>
          <w:vertAlign w:val="superscript"/>
        </w:rPr>
      </w:pPr>
      <w:r>
        <w:rPr>
          <w:rFonts w:ascii="Arial" w:cs="Arial" w:eastAsia="Arial" w:hAnsi="Arial"/>
          <w:sz w:val="13"/>
          <w:szCs w:val="13"/>
          <w:color w:val="auto"/>
        </w:rPr>
        <w:t>Expenses net of base management fee and incentive fee waivers were for the three months ended December 31, 2016 and 2015, $16,828 and $18,432, respectively, and for the year ended September 30, 2016, $71,456.</w:t>
      </w:r>
    </w:p>
    <w:p>
      <w:pPr>
        <w:spacing w:after="0" w:line="1" w:lineRule="exact"/>
        <w:rPr>
          <w:rFonts w:ascii="Arial" w:cs="Arial" w:eastAsia="Arial" w:hAnsi="Arial"/>
          <w:sz w:val="21"/>
          <w:szCs w:val="21"/>
          <w:color w:val="auto"/>
          <w:vertAlign w:val="superscript"/>
        </w:rPr>
      </w:pPr>
    </w:p>
    <w:p>
      <w:pPr>
        <w:ind w:left="580" w:hanging="572"/>
        <w:spacing w:after="0" w:line="182" w:lineRule="auto"/>
        <w:tabs>
          <w:tab w:leader="none" w:pos="580" w:val="left"/>
        </w:tabs>
        <w:numPr>
          <w:ilvl w:val="0"/>
          <w:numId w:val="19"/>
        </w:numPr>
        <w:rPr>
          <w:rFonts w:ascii="Arial" w:cs="Arial" w:eastAsia="Arial" w:hAnsi="Arial"/>
          <w:sz w:val="17"/>
          <w:szCs w:val="17"/>
          <w:color w:val="auto"/>
          <w:vertAlign w:val="superscript"/>
        </w:rPr>
      </w:pPr>
      <w:r>
        <w:rPr>
          <w:rFonts w:ascii="Arial" w:cs="Arial" w:eastAsia="Arial" w:hAnsi="Arial"/>
          <w:sz w:val="11"/>
          <w:szCs w:val="11"/>
          <w:color w:val="auto"/>
        </w:rPr>
        <w:t>Based on the weighted average shares outstanding for the respective periods.</w:t>
      </w:r>
    </w:p>
    <w:p>
      <w:pPr>
        <w:ind w:left="580" w:right="140" w:hanging="572"/>
        <w:spacing w:after="0" w:line="182" w:lineRule="auto"/>
        <w:tabs>
          <w:tab w:leader="none" w:pos="580" w:val="left"/>
        </w:tabs>
        <w:numPr>
          <w:ilvl w:val="0"/>
          <w:numId w:val="19"/>
        </w:numPr>
        <w:rPr>
          <w:rFonts w:ascii="Arial" w:cs="Arial" w:eastAsia="Arial" w:hAnsi="Arial"/>
          <w:sz w:val="21"/>
          <w:szCs w:val="21"/>
          <w:color w:val="auto"/>
          <w:vertAlign w:val="superscript"/>
        </w:rPr>
      </w:pPr>
      <w:r>
        <w:rPr>
          <w:rFonts w:ascii="Arial" w:cs="Arial" w:eastAsia="Arial" w:hAnsi="Arial"/>
          <w:sz w:val="13"/>
          <w:szCs w:val="13"/>
          <w:color w:val="auto"/>
        </w:rPr>
        <w:t>The tax status of our distributions is calculated in accordance with income tax regulations, which may differ from amounts determined under GAAP and is reported on Form 1099-DIV each calendar year.</w:t>
      </w:r>
    </w:p>
    <w:p>
      <w:pPr>
        <w:ind w:left="580" w:hanging="572"/>
        <w:spacing w:after="0" w:line="182" w:lineRule="auto"/>
        <w:tabs>
          <w:tab w:leader="none" w:pos="580" w:val="left"/>
        </w:tabs>
        <w:numPr>
          <w:ilvl w:val="0"/>
          <w:numId w:val="19"/>
        </w:numPr>
        <w:rPr>
          <w:rFonts w:ascii="Arial" w:cs="Arial" w:eastAsia="Arial" w:hAnsi="Arial"/>
          <w:sz w:val="17"/>
          <w:szCs w:val="17"/>
          <w:color w:val="auto"/>
          <w:vertAlign w:val="superscript"/>
        </w:rPr>
      </w:pPr>
      <w:r>
        <w:rPr>
          <w:rFonts w:ascii="Arial" w:cs="Arial" w:eastAsia="Arial" w:hAnsi="Arial"/>
          <w:sz w:val="11"/>
          <w:szCs w:val="11"/>
          <w:color w:val="auto"/>
        </w:rPr>
        <w:t>At fair value, excluding our SBA debentures.</w:t>
      </w:r>
    </w:p>
    <w:p>
      <w:pPr>
        <w:ind w:left="580" w:hanging="572"/>
        <w:spacing w:after="0" w:line="182" w:lineRule="auto"/>
        <w:tabs>
          <w:tab w:leader="none" w:pos="580" w:val="left"/>
        </w:tabs>
        <w:numPr>
          <w:ilvl w:val="0"/>
          <w:numId w:val="19"/>
        </w:numPr>
        <w:rPr>
          <w:rFonts w:ascii="Arial" w:cs="Arial" w:eastAsia="Arial" w:hAnsi="Arial"/>
          <w:sz w:val="17"/>
          <w:szCs w:val="17"/>
          <w:color w:val="auto"/>
          <w:vertAlign w:val="superscript"/>
        </w:rPr>
      </w:pPr>
      <w:r>
        <w:rPr>
          <w:rFonts w:ascii="Arial" w:cs="Arial" w:eastAsia="Arial" w:hAnsi="Arial"/>
          <w:sz w:val="11"/>
          <w:szCs w:val="11"/>
          <w:color w:val="auto"/>
        </w:rPr>
        <w:t>Based on the change in market price per share during the periods and takes into account distributions, if any, reinvested in accordance with our dividend reinvestment plan.</w:t>
      </w:r>
    </w:p>
    <w:p>
      <w:pPr>
        <w:ind w:left="580" w:hanging="572"/>
        <w:spacing w:after="0" w:line="185" w:lineRule="auto"/>
        <w:tabs>
          <w:tab w:leader="none" w:pos="580" w:val="left"/>
        </w:tabs>
        <w:numPr>
          <w:ilvl w:val="0"/>
          <w:numId w:val="19"/>
        </w:numPr>
        <w:rPr>
          <w:rFonts w:ascii="Arial" w:cs="Arial" w:eastAsia="Arial" w:hAnsi="Arial"/>
          <w:sz w:val="18"/>
          <w:szCs w:val="18"/>
          <w:color w:val="auto"/>
          <w:vertAlign w:val="superscript"/>
        </w:rPr>
      </w:pPr>
      <w:r>
        <w:rPr>
          <w:rFonts w:ascii="Arial" w:cs="Arial" w:eastAsia="Arial" w:hAnsi="Arial"/>
          <w:sz w:val="12"/>
          <w:szCs w:val="12"/>
          <w:color w:val="auto"/>
        </w:rPr>
        <w:t>Unaudited, at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-787400</wp:posOffset>
            </wp:positionV>
            <wp:extent cx="18865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4"/>
                <w:szCs w:val="14"/>
                <w:color w:val="auto"/>
              </w:rPr>
            </w:pPr>
          </w:p>
        </w:tc>
      </w:tr>
      <w:tr>
        <w:trPr>
          <w:trHeight w:val="142"/>
        </w:trPr>
        <w:tc>
          <w:tcPr>
            <w:tcW w:w="108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96"/>
              </w:rPr>
              <w:t>Q1</w:t>
            </w:r>
          </w:p>
        </w:tc>
        <w:tc>
          <w:tcPr>
            <w:tcW w:w="40" w:type="dxa"/>
            <w:vAlign w:val="bottom"/>
            <w:tcBorders>
              <w:bottom w:val="single" w:sz="8" w:color="CCEEFF"/>
            </w:tcBorders>
          </w:tcPr>
          <w:p>
            <w:pPr>
              <w:spacing w:after="0"/>
              <w:rPr>
                <w:sz w:val="12"/>
                <w:szCs w:val="12"/>
                <w:color w:val="auto"/>
              </w:rPr>
            </w:pPr>
          </w:p>
        </w:tc>
      </w:tr>
      <w:tr>
        <w:trPr>
          <w:trHeight w:val="210"/>
        </w:trPr>
        <w:tc>
          <w:tcPr>
            <w:tcW w:w="10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31,869</w:t>
            </w:r>
          </w:p>
        </w:tc>
        <w:tc>
          <w:tcPr>
            <w:tcW w:w="40" w:type="dxa"/>
            <w:vAlign w:val="bottom"/>
            <w:shd w:val="clear" w:color="auto" w:fill="CCEEFF"/>
          </w:tcPr>
          <w:p>
            <w:pPr>
              <w:spacing w:after="0"/>
              <w:rPr>
                <w:sz w:val="18"/>
                <w:szCs w:val="18"/>
                <w:color w:val="auto"/>
              </w:rPr>
            </w:pPr>
          </w:p>
        </w:tc>
      </w:tr>
      <w:tr>
        <w:trPr>
          <w:trHeight w:val="216"/>
        </w:trPr>
        <w:tc>
          <w:tcPr>
            <w:tcW w:w="108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15,041</w:t>
            </w:r>
          </w:p>
        </w:tc>
        <w:tc>
          <w:tcPr>
            <w:tcW w:w="40" w:type="dxa"/>
            <w:vAlign w:val="bottom"/>
          </w:tcPr>
          <w:p>
            <w:pPr>
              <w:spacing w:after="0"/>
              <w:rPr>
                <w:sz w:val="18"/>
                <w:szCs w:val="18"/>
                <w:color w:val="auto"/>
              </w:rPr>
            </w:pPr>
          </w:p>
        </w:tc>
      </w:tr>
      <w:tr>
        <w:trPr>
          <w:trHeight w:val="216"/>
        </w:trPr>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9,008</w:t>
            </w:r>
          </w:p>
        </w:tc>
        <w:tc>
          <w:tcPr>
            <w:tcW w:w="40" w:type="dxa"/>
            <w:vAlign w:val="bottom"/>
            <w:shd w:val="clear" w:color="auto" w:fill="CCEEFF"/>
          </w:tcPr>
          <w:p>
            <w:pPr>
              <w:spacing w:after="0"/>
              <w:rPr>
                <w:sz w:val="18"/>
                <w:szCs w:val="18"/>
                <w:color w:val="auto"/>
              </w:rPr>
            </w:pPr>
          </w:p>
        </w:tc>
      </w:tr>
      <w:tr>
        <w:trPr>
          <w:trHeight w:val="216"/>
        </w:trPr>
        <w:tc>
          <w:tcPr>
            <w:tcW w:w="108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24,049</w:t>
            </w:r>
          </w:p>
        </w:tc>
        <w:tc>
          <w:tcPr>
            <w:tcW w:w="40" w:type="dxa"/>
            <w:vAlign w:val="bottom"/>
          </w:tcPr>
          <w:p>
            <w:pPr>
              <w:spacing w:after="0"/>
              <w:rPr>
                <w:sz w:val="18"/>
                <w:szCs w:val="18"/>
                <w:color w:val="auto"/>
              </w:rPr>
            </w:pPr>
          </w:p>
        </w:tc>
      </w:tr>
      <w:tr>
        <w:trPr>
          <w:trHeight w:val="216"/>
        </w:trPr>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40" w:type="dxa"/>
            <w:vAlign w:val="bottom"/>
            <w:shd w:val="clear" w:color="auto" w:fill="CCEEFF"/>
          </w:tcPr>
          <w:p>
            <w:pPr>
              <w:spacing w:after="0"/>
              <w:rPr>
                <w:sz w:val="18"/>
                <w:szCs w:val="18"/>
                <w:color w:val="auto"/>
              </w:rPr>
            </w:pPr>
          </w:p>
        </w:tc>
      </w:tr>
      <w:tr>
        <w:trPr>
          <w:trHeight w:val="216"/>
        </w:trPr>
        <w:tc>
          <w:tcPr>
            <w:tcW w:w="108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9.11</w:t>
            </w:r>
          </w:p>
        </w:tc>
        <w:tc>
          <w:tcPr>
            <w:tcW w:w="40" w:type="dxa"/>
            <w:vAlign w:val="bottom"/>
          </w:tcPr>
          <w:p>
            <w:pPr>
              <w:spacing w:after="0"/>
              <w:rPr>
                <w:sz w:val="18"/>
                <w:szCs w:val="18"/>
                <w:color w:val="auto"/>
              </w:rPr>
            </w:pPr>
          </w:p>
        </w:tc>
      </w:tr>
      <w:tr>
        <w:trPr>
          <w:trHeight w:val="216"/>
        </w:trPr>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40" w:type="dxa"/>
            <w:vAlign w:val="bottom"/>
            <w:shd w:val="clear" w:color="auto" w:fill="CCEEFF"/>
          </w:tcPr>
          <w:p>
            <w:pPr>
              <w:spacing w:after="0"/>
              <w:rPr>
                <w:sz w:val="18"/>
                <w:szCs w:val="18"/>
                <w:color w:val="auto"/>
              </w:rPr>
            </w:pP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8"/>
                <w:szCs w:val="18"/>
                <w:b w:val="1"/>
                <w:bCs w:val="1"/>
                <w:color w:val="auto"/>
              </w:rPr>
              <w:t>2016</w:t>
            </w: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6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b w:val="1"/>
                <w:bCs w:val="1"/>
                <w:color w:val="auto"/>
              </w:rPr>
              <w:t>Q4</w:t>
            </w:r>
          </w:p>
        </w:tc>
        <w:tc>
          <w:tcPr>
            <w:tcW w:w="18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b w:val="1"/>
                <w:bCs w:val="1"/>
                <w:color w:val="auto"/>
              </w:rPr>
              <w:t>Q3</w:t>
            </w:r>
          </w:p>
        </w:tc>
        <w:tc>
          <w:tcPr>
            <w:tcW w:w="16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Q2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b w:val="1"/>
                <w:bCs w:val="1"/>
                <w:color w:val="auto"/>
              </w:rPr>
              <w:t>Q1</w:t>
            </w:r>
          </w:p>
        </w:tc>
        <w:tc>
          <w:tcPr>
            <w:tcW w:w="100" w:type="dxa"/>
            <w:vAlign w:val="bottom"/>
          </w:tcPr>
          <w:p>
            <w:pPr>
              <w:spacing w:after="0"/>
              <w:rPr>
                <w:sz w:val="18"/>
                <w:szCs w:val="18"/>
                <w:color w:val="auto"/>
              </w:rPr>
            </w:pPr>
          </w:p>
        </w:tc>
      </w:tr>
      <w:tr>
        <w:trPr>
          <w:trHeight w:val="210"/>
        </w:trPr>
        <w:tc>
          <w:tcPr>
            <w:tcW w:w="6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35,540</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39,108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investment income</w:t>
            </w:r>
          </w:p>
        </w:tc>
        <w:tc>
          <w:tcPr>
            <w:tcW w:w="9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15,157</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17,794</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20,832</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16,832</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9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12,552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(16,882)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(57,587)</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9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27,709</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27,833</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3,950</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(40,755)</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increase (decrease) in net assets resulting from operations per common share *</w:t>
            </w:r>
          </w:p>
        </w:tc>
        <w:tc>
          <w:tcPr>
            <w:tcW w:w="9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0.37</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(0.56)</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9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9.05</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8.94</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8.83</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9.02</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9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8"/>
                <w:szCs w:val="18"/>
                <w:b w:val="1"/>
                <w:bCs w:val="1"/>
                <w:color w:val="auto"/>
              </w:rPr>
              <w:t>2015</w:t>
            </w: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6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Q4</w:t>
            </w:r>
          </w:p>
        </w:tc>
        <w:tc>
          <w:tcPr>
            <w:tcW w:w="160" w:type="dxa"/>
            <w:vAlign w:val="bottom"/>
          </w:tcPr>
          <w:p>
            <w:pPr>
              <w:spacing w:after="0"/>
              <w:rPr>
                <w:sz w:val="18"/>
                <w:szCs w:val="18"/>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Q3</w:t>
            </w:r>
          </w:p>
        </w:tc>
        <w:tc>
          <w:tcPr>
            <w:tcW w:w="16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Q2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b w:val="1"/>
                <w:bCs w:val="1"/>
                <w:color w:val="auto"/>
              </w:rPr>
              <w:t>Q1</w:t>
            </w:r>
          </w:p>
        </w:tc>
        <w:tc>
          <w:tcPr>
            <w:tcW w:w="100" w:type="dxa"/>
            <w:vAlign w:val="bottom"/>
          </w:tcPr>
          <w:p>
            <w:pPr>
              <w:spacing w:after="0"/>
              <w:rPr>
                <w:sz w:val="18"/>
                <w:szCs w:val="18"/>
                <w:color w:val="auto"/>
              </w:rPr>
            </w:pPr>
          </w:p>
        </w:tc>
      </w:tr>
      <w:tr>
        <w:trPr>
          <w:trHeight w:val="210"/>
        </w:trPr>
        <w:tc>
          <w:tcPr>
            <w:tcW w:w="6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39,122</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40,641</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investment income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20,031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20,654</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22,096</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19,477</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(18,646)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(15,718)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(14,717)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(43,423)</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1,385</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4,936</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7,379</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(23,946)</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increase (decrease) in net assets resulting from operations per common share *</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(0.32)</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9.82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10.04</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10.25</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10.43</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6.47</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663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85"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tab/>
        <w:t>Based on the weighted average shares outstanding for the respective periods.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57"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69"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senior secured debt, mezzanine debt and equity investments.</w:t>
      </w:r>
    </w:p>
    <w:p>
      <w:pPr>
        <w:spacing w:after="0" w:line="32"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We believe middle-market companies offer attractive risk-reward to investors due to the limited amount of capital available for such companies. We seek to create a diversified portfolio that includes senior secured debt,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S&amp;P’s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 regions.</w:t>
      </w:r>
    </w:p>
    <w:p>
      <w:pPr>
        <w:spacing w:after="0" w:line="12"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69"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32"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2010 and 2012, respectively. SBIC LP and SBIC II received licenses from the SBA to operate as SBICs under Section 301(c) of the 1958 Act. Our SBIC Funds’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35"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supervises our activities, and the Investment Adviser manages our day-to-day activities.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69" w:lineRule="exact"/>
        <w:rPr>
          <w:sz w:val="20"/>
          <w:szCs w:val="20"/>
          <w:color w:val="auto"/>
        </w:rPr>
      </w:pPr>
    </w:p>
    <w:p>
      <w:pPr>
        <w:ind w:right="80" w:firstLine="571"/>
        <w:spacing w:after="0" w:line="288"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debt or mezzanine debt, typically have terms of three to ten years and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market discount or premium and deferred financing costs on liabilities, which we do not fair value, are capitalized and accreted or amortized using the effective interest method as interest income or, in the case of deferred financing cost, as interest expenses. We record prepayment penalties on loans and debt securities as income. Dividend income, if any, is recognized on an accrual basis on the ex-dividend date to the extent that we expect to collect such amounts.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62" w:lineRule="exact"/>
        <w:rPr>
          <w:sz w:val="20"/>
          <w:szCs w:val="20"/>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660" w:right="200" w:hanging="314"/>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and state registration fees and any exchange listing fees;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state, local and foreign taxes;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the 1958 Act and applicable federal and state securities laws; and</w:t>
      </w:r>
    </w:p>
    <w:p>
      <w:pPr>
        <w:spacing w:after="0" w:line="113" w:lineRule="exact"/>
        <w:rPr>
          <w:rFonts w:ascii="Arial" w:cs="Arial" w:eastAsia="Arial" w:hAnsi="Arial"/>
          <w:sz w:val="16"/>
          <w:szCs w:val="16"/>
          <w:color w:val="auto"/>
        </w:rPr>
      </w:pPr>
    </w:p>
    <w:p>
      <w:pPr>
        <w:ind w:left="660" w:right="20" w:hanging="314"/>
        <w:spacing w:after="0" w:line="25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16"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13"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SEC requires that estimated “Total Annual Expenses” be calculated as a percentage of net assets in the chart on page [6] of this prospectus rather than as a percentage of total assets. Total assets include assets that have been funded with borrowed money (leverage). For reference, the chart below illustrates our “Total Estimated Annual Expenses” as a percentage of average total assets:</w:t>
      </w:r>
    </w:p>
    <w:p>
      <w:pPr>
        <w:spacing w:after="0" w:line="107"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880" w:type="dxa"/>
            <w:vAlign w:val="bottom"/>
          </w:tcPr>
          <w:p>
            <w:pPr>
              <w:ind w:left="1180"/>
              <w:spacing w:after="0"/>
              <w:rPr>
                <w:sz w:val="20"/>
                <w:szCs w:val="20"/>
                <w:color w:val="auto"/>
              </w:rPr>
            </w:pPr>
            <w:r>
              <w:rPr>
                <w:rFonts w:ascii="Arial" w:cs="Arial" w:eastAsia="Arial" w:hAnsi="Arial"/>
                <w:sz w:val="18"/>
                <w:szCs w:val="18"/>
                <w:b w:val="1"/>
                <w:bCs w:val="1"/>
                <w:color w:val="auto"/>
                <w:w w:val="91"/>
              </w:rPr>
              <w:t>Estimated Annual Expenses (as a Percentage of Average Total Assets)</w:t>
            </w:r>
            <w:r>
              <w:rPr>
                <w:rFonts w:ascii="Arial" w:cs="Arial" w:eastAsia="Arial" w:hAnsi="Arial"/>
                <w:sz w:val="11"/>
                <w:szCs w:val="11"/>
                <w:b w:val="1"/>
                <w:bCs w:val="1"/>
                <w:color w:val="auto"/>
                <w:w w:val="91"/>
              </w:rPr>
              <w:t>(1)</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6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1.68%</w:t>
            </w:r>
            <w:r>
              <w:rPr>
                <w:rFonts w:ascii="Arial" w:cs="Arial" w:eastAsia="Arial" w:hAnsi="Arial"/>
                <w:sz w:val="11"/>
                <w:szCs w:val="11"/>
                <w:color w:val="auto"/>
                <w:w w:val="96"/>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6900" w:type="dxa"/>
            <w:vAlign w:val="bottom"/>
            <w:gridSpan w:val="2"/>
          </w:tcPr>
          <w:p>
            <w:pPr>
              <w:spacing w:after="0"/>
              <w:rPr>
                <w:sz w:val="20"/>
                <w:szCs w:val="20"/>
                <w:color w:val="auto"/>
              </w:rPr>
            </w:pPr>
            <w:r>
              <w:rPr>
                <w:rFonts w:ascii="Arial" w:cs="Arial" w:eastAsia="Arial" w:hAnsi="Arial"/>
                <w:sz w:val="18"/>
                <w:szCs w:val="18"/>
                <w:color w:val="auto"/>
              </w:rPr>
              <w:t>Incentive fees</w:t>
            </w:r>
          </w:p>
        </w:tc>
        <w:tc>
          <w:tcPr>
            <w:tcW w:w="660" w:type="dxa"/>
            <w:vAlign w:val="bottom"/>
          </w:tcPr>
          <w:p>
            <w:pPr>
              <w:jc w:val="right"/>
              <w:spacing w:after="0"/>
              <w:rPr>
                <w:sz w:val="20"/>
                <w:szCs w:val="20"/>
                <w:color w:val="auto"/>
              </w:rPr>
            </w:pPr>
            <w:r>
              <w:rPr>
                <w:rFonts w:ascii="Arial" w:cs="Arial" w:eastAsia="Arial" w:hAnsi="Arial"/>
                <w:sz w:val="18"/>
                <w:szCs w:val="18"/>
                <w:color w:val="auto"/>
                <w:w w:val="96"/>
              </w:rPr>
              <w:t>0.92%</w:t>
            </w:r>
            <w:r>
              <w:rPr>
                <w:rFonts w:ascii="Arial" w:cs="Arial" w:eastAsia="Arial" w:hAnsi="Arial"/>
                <w:sz w:val="11"/>
                <w:szCs w:val="11"/>
                <w:color w:val="auto"/>
                <w:w w:val="96"/>
              </w:rPr>
              <w:t>(3)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2.19%</w:t>
            </w:r>
            <w:r>
              <w:rPr>
                <w:rFonts w:ascii="Arial" w:cs="Arial" w:eastAsia="Arial" w:hAnsi="Arial"/>
                <w:sz w:val="11"/>
                <w:szCs w:val="11"/>
                <w:color w:val="auto"/>
                <w:w w:val="96"/>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Other expenses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0.65%</w:t>
            </w:r>
            <w:r>
              <w:rPr>
                <w:rFonts w:ascii="Arial" w:cs="Arial" w:eastAsia="Arial" w:hAnsi="Arial"/>
                <w:sz w:val="11"/>
                <w:szCs w:val="11"/>
                <w:color w:val="auto"/>
                <w:w w:val="96"/>
              </w:rPr>
              <w:t>(5)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estimated annual expenses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5.44%</w:t>
            </w:r>
            <w:r>
              <w:rPr>
                <w:rFonts w:ascii="Arial" w:cs="Arial" w:eastAsia="Arial" w:hAnsi="Arial"/>
                <w:sz w:val="11"/>
                <w:szCs w:val="11"/>
                <w:color w:val="auto"/>
                <w:w w:val="96"/>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Average Total Assets equals average adjusted gross assets as of December 31, 2016.</w:t>
      </w:r>
    </w:p>
    <w:p>
      <w:pPr>
        <w:spacing w:after="0" w:line="68" w:lineRule="exact"/>
        <w:rPr>
          <w:rFonts w:ascii="Arial" w:cs="Arial" w:eastAsia="Arial" w:hAnsi="Arial"/>
          <w:sz w:val="14"/>
          <w:szCs w:val="14"/>
          <w:color w:val="auto"/>
        </w:rPr>
      </w:pPr>
    </w:p>
    <w:p>
      <w:pPr>
        <w:ind w:left="340" w:right="100" w:hanging="332"/>
        <w:spacing w:after="0" w:line="288" w:lineRule="auto"/>
        <w:tabs>
          <w:tab w:leader="none" w:pos="3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contractual management fee is calculated at an annual rate of 2.00% of our average adjusted gross assets. Since December 31, 2015 and through December 31, 2017, the Investment Adviser has voluntarily agreed, in consultation with the board of directors, to irrevocably waive 16% of base management fees, correlated to our 16% energy cost exposure (oil &amp; gas and energy &amp; utilities industries) at cost as of December 31, 2015. See “Certain Relationships and Transactions—Investment Management Agreement” for more information.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40" w:hanging="332"/>
        <w:spacing w:after="0" w:line="263" w:lineRule="auto"/>
        <w:tabs>
          <w:tab w:leader="none" w:pos="3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and capital gains, if any, is based on actual amounts incurred during the three months ended December 31, 2016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years, if any, may be substantially different than the fee earned during the three months ended December 31, 2016. Since December 31, 2015 and through December 31, 2017, the Investment Adviser has voluntarily agreed, in consultation with the board of directors, to irrevocably waive 16% of base management fees, correlated to our 16% energy cost exposure (oil &amp; gas and energy &amp; utilities industries) at cost as of December 31, 2015. For the three months ended December 31, 2016, the incentive fee ratio before the waiver was 1.10%. For more detailed information about the incentive fee, please see “Certain Relationships and Transactions—Investment Management Agreement” for more information.</w:t>
      </w:r>
    </w:p>
    <w:p>
      <w:pPr>
        <w:ind w:left="340" w:right="80" w:hanging="332"/>
        <w:spacing w:after="0" w:line="266" w:lineRule="auto"/>
        <w:tabs>
          <w:tab w:leader="none" w:pos="3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As of December 31, 2016, we had $396.9 million of unused borrowing capacity, subject to maintenance of the applicable total assets to debt ratio, under the 1940 Act. As of such date, we had $148.1 million in borrowings outstanding under our $545.0 million Credit Facility, $71.3 million in aggregate principal of 2025 Notes at an annual interest rate of 6.25% and $250.0 million in aggregate principal of 2019 Notes at an annual interest rate of 4.50%. As of December 31, 2016, our SBIC Funds had debenture commitments from the SBA in the amount of $225.0 million had $197.5 million outstanding with a weighted average interest rate of 3.44%, exclusive of the 3.43% of upfront fees, and had $27.5 million remaining unused borrowing capacity subject to customary regulatory requirements. We may use proceeds of an offering of securities under this registration statement to repay outstanding obligations under our Credit Facility. After completing any such offering, we may continue to borrow under our Credit Facility to finance our investment objectives. Annual interest expense on borrowed funds represents actual interest expense incurred for the quarter ended December 31, 2016 annualized for a full year and amendment costs, if any, and we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140" w:lineRule="exact"/>
        <w:rPr>
          <w:rFonts w:ascii="Arial" w:cs="Arial" w:eastAsia="Arial" w:hAnsi="Arial"/>
          <w:sz w:val="12"/>
          <w:szCs w:val="12"/>
          <w:color w:val="auto"/>
        </w:rPr>
      </w:pPr>
    </w:p>
    <w:p>
      <w:pPr>
        <w:ind w:left="340" w:right="200" w:hanging="332"/>
        <w:spacing w:after="0" w:line="233"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3" w:lineRule="exact"/>
        <w:rPr>
          <w:rFonts w:ascii="Arial" w:cs="Arial" w:eastAsia="Arial" w:hAnsi="Arial"/>
          <w:sz w:val="14"/>
          <w:szCs w:val="14"/>
          <w:color w:val="auto"/>
        </w:rPr>
      </w:pPr>
    </w:p>
    <w:p>
      <w:pPr>
        <w:ind w:left="340" w:right="40" w:hanging="332"/>
        <w:spacing w:after="0" w:line="273" w:lineRule="auto"/>
        <w:tabs>
          <w:tab w:leader="none" w:pos="3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table above is intended to assist you in understanding the various costs and expenses that an investor in shares of our common stock will bear as a percentage of our average gross assets as of December 31, 2016.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44" w:lineRule="exact"/>
        <w:rPr>
          <w:sz w:val="20"/>
          <w:szCs w:val="20"/>
          <w:color w:val="auto"/>
        </w:rPr>
      </w:pPr>
    </w:p>
    <w:p>
      <w:pPr>
        <w:ind w:firstLine="456"/>
        <w:spacing w:after="0" w:line="272" w:lineRule="auto"/>
        <w:rPr>
          <w:sz w:val="20"/>
          <w:szCs w:val="20"/>
          <w:color w:val="auto"/>
        </w:rPr>
      </w:pPr>
      <w:r>
        <w:rPr>
          <w:rFonts w:ascii="Arial" w:cs="Arial" w:eastAsia="Arial" w:hAnsi="Arial"/>
          <w:sz w:val="12"/>
          <w:szCs w:val="12"/>
          <w:color w:val="auto"/>
        </w:rPr>
        <w:t>As of December 31, 2016, our portfolio totaled $1,325.5 million and consisted of $522.2 million of senior secured debt, $442.9 million of second lien secured debt, $206.7 million of subordinated debt and $153.7 million of preferred and common equity.Our debt portfolio consisted of 81% variable-rate investments (including 74% with a floor) and 19% fixed-rate investments. As of December 31, 2016, we had two companies on non-accrual, representing 1.1% and 0.3% of our overall portfolio on a cost and fair value basis, respectively. Overall, the portfolio had net unrealized depreciation of $74.9 million as of December 31, 2016. Our overall portfolio consisted of 60 companies with an average investment size of $22.1 million, had a weighted average yield on interest bearing debt investments of 11.9% and was invested 39% in senior secured debt, 33% in second lien secured debt, 16% in subordinated debt and 12% in preferred and common equity.</w:t>
      </w:r>
    </w:p>
    <w:p>
      <w:pPr>
        <w:spacing w:after="0" w:line="1" w:lineRule="exact"/>
        <w:rPr>
          <w:sz w:val="20"/>
          <w:szCs w:val="20"/>
          <w:color w:val="auto"/>
        </w:rPr>
      </w:pPr>
    </w:p>
    <w:p>
      <w:pPr>
        <w:ind w:right="120" w:firstLine="456"/>
        <w:spacing w:after="0" w:line="272" w:lineRule="auto"/>
        <w:rPr>
          <w:sz w:val="20"/>
          <w:szCs w:val="20"/>
          <w:color w:val="auto"/>
        </w:rPr>
      </w:pPr>
      <w:r>
        <w:rPr>
          <w:rFonts w:ascii="Arial" w:cs="Arial" w:eastAsia="Arial" w:hAnsi="Arial"/>
          <w:sz w:val="12"/>
          <w:szCs w:val="12"/>
          <w:color w:val="auto"/>
        </w:rPr>
        <w:t>As of September 30, 2016, our portfolio totaled $1,153.7 million and consisted of $397.1 million of senior secured debt, $425.4 million of second lien secured debt, $177.6 million of subordinated debt and $153.6 million of preferred and common equity. Our debt portfolio consisted of 78% variable-rate investments (including 72% with a floor) and 22% fixed-rate investments. As of September 30, 2016, we had four companies on non-accrual, representing 5.3% and 2.8% of our overall portfolio on a cost and fair value basis, respectively. Overall, the portfolio had net unrealized depreciation of $100.3 million as of September 30, 2016. Our overall portfolio consisted of 56 companies with an average investment size of $20.6 million, had a weighted average yield on interest bearing debt investments of 11.9% and was invested 35% in senior secured debt, 37% in second lien secured debt, 15% in subordinated debt and 13% in preferred and common equity.</w:t>
      </w:r>
    </w:p>
    <w:p>
      <w:pPr>
        <w:spacing w:after="0" w:line="1" w:lineRule="exact"/>
        <w:rPr>
          <w:sz w:val="20"/>
          <w:szCs w:val="20"/>
          <w:color w:val="auto"/>
        </w:rPr>
      </w:pPr>
    </w:p>
    <w:p>
      <w:pPr>
        <w:ind w:firstLine="456"/>
        <w:spacing w:after="0" w:line="272" w:lineRule="auto"/>
        <w:rPr>
          <w:sz w:val="20"/>
          <w:szCs w:val="20"/>
          <w:color w:val="auto"/>
        </w:rPr>
      </w:pPr>
      <w:r>
        <w:rPr>
          <w:rFonts w:ascii="Arial" w:cs="Arial" w:eastAsia="Arial" w:hAnsi="Arial"/>
          <w:sz w:val="12"/>
          <w:szCs w:val="12"/>
          <w:color w:val="auto"/>
        </w:rPr>
        <w:t>As of December 31, 2015, our portfolio totaled $1,261.9 million and consisted of $477.2 million of senior secured debt, $481.6 million of second lien secured debt, $173.1 million of subordinated debt and $130.0 million of preferred and common equity. Our debt portfolio consisted of 75% variable-rate investments (including 69% with a floor) and 25% fixed-rate investments. As of December 31, 2015, we had three companies on non-accrual, representing 5.4% and 1.2% of our overall portfolio on a cost and fair value basis, respectively. Overall, the portfolio had net unrealized depreciation of $165.1 million as of December 31, 2015. Our overall portfolio consisted of 62 companies with an average investment size of $20.4 million, had a weighted average yield on debt investments of 12.2% and was invested 38% in senior secured debt, 38% in second lien secured debt, 14% in subordinated debt and 10% in preferred and common equity.</w:t>
      </w:r>
    </w:p>
    <w:p>
      <w:pPr>
        <w:spacing w:after="0" w:line="1" w:lineRule="exact"/>
        <w:rPr>
          <w:sz w:val="20"/>
          <w:szCs w:val="20"/>
          <w:color w:val="auto"/>
        </w:rPr>
      </w:pPr>
    </w:p>
    <w:p>
      <w:pPr>
        <w:ind w:right="120" w:firstLine="456"/>
        <w:spacing w:after="0" w:line="272" w:lineRule="auto"/>
        <w:rPr>
          <w:sz w:val="20"/>
          <w:szCs w:val="20"/>
          <w:color w:val="auto"/>
        </w:rPr>
      </w:pPr>
      <w:r>
        <w:rPr>
          <w:rFonts w:ascii="Arial" w:cs="Arial" w:eastAsia="Arial" w:hAnsi="Arial"/>
          <w:sz w:val="12"/>
          <w:szCs w:val="12"/>
          <w:color w:val="auto"/>
        </w:rPr>
        <w:t>As of September 30, 2015, our portfolio totaled $1,299.0 million and consisted of $399.2 million of senior secured debt, $612.5 million of second lien secured debt, $182.5 million of subordinated debt and $104.8 million of preferred and common equity. Our debt portfolio consisted of 71% variable-rate investments (including 65% with a floor) and 29% fixed-rate investments. As of September 30, 2015, we had four companies on non-accrual, representing 9.4% and 5.5% of our overall portfolio on a cost and fair value basis, respectively. Overall, the portfolio had net unrealized depreciation of $125.2 million as of September 30, 2015. Our overall portfolio consisted of 61 companies with an average investment size of $21.3 million, had a weighted average yield on interest bearing debt investments of 12.1% and was invested 31% in senior secured debt, 47% in second lien secured debt, 14% in subordinated debt and 8% in preferred and common equity.</w:t>
      </w:r>
    </w:p>
    <w:p>
      <w:pPr>
        <w:spacing w:after="0" w:line="1" w:lineRule="exact"/>
        <w:rPr>
          <w:sz w:val="20"/>
          <w:szCs w:val="20"/>
          <w:color w:val="auto"/>
        </w:rPr>
      </w:pPr>
    </w:p>
    <w:p>
      <w:pPr>
        <w:ind w:right="160" w:firstLine="456"/>
        <w:spacing w:after="0" w:line="239" w:lineRule="auto"/>
        <w:rPr>
          <w:sz w:val="20"/>
          <w:szCs w:val="20"/>
          <w:color w:val="auto"/>
        </w:rPr>
      </w:pPr>
      <w:r>
        <w:rPr>
          <w:rFonts w:ascii="Arial" w:cs="Arial" w:eastAsia="Arial" w:hAnsi="Arial"/>
          <w:sz w:val="14"/>
          <w:szCs w:val="14"/>
          <w:color w:val="auto"/>
        </w:rPr>
        <w:t>For the three months ended December 31, 2016, we invested $229.2 million in nine new and seven existing portfolio companies with a weighted average yield on debt investments of 11.2%. Sales and repayments of investments for the three months ended December 31, 2016 totaled $64.2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571"/>
        <w:spacing w:after="0" w:line="332" w:lineRule="auto"/>
        <w:rPr>
          <w:sz w:val="20"/>
          <w:szCs w:val="20"/>
          <w:color w:val="auto"/>
        </w:rPr>
      </w:pPr>
      <w:r>
        <w:rPr>
          <w:rFonts w:ascii="Arial" w:cs="Arial" w:eastAsia="Arial" w:hAnsi="Arial"/>
          <w:sz w:val="16"/>
          <w:szCs w:val="16"/>
          <w:color w:val="auto"/>
        </w:rPr>
        <w:t>For the three months ended December 31, 2015, we invested $130.3 million in four new and six existing portfolio companies with a weighted average yield on debt investments of 11.9%. Sales and repayments of investments for the three months ended December 31, 2015 totaled $108.1 million.</w:t>
      </w:r>
    </w:p>
    <w:p>
      <w:pPr>
        <w:spacing w:after="0" w:line="4" w:lineRule="exact"/>
        <w:rPr>
          <w:sz w:val="20"/>
          <w:szCs w:val="20"/>
          <w:color w:val="auto"/>
        </w:rPr>
      </w:pPr>
    </w:p>
    <w:p>
      <w:pPr>
        <w:ind w:right="560" w:firstLine="571"/>
        <w:spacing w:after="0" w:line="357" w:lineRule="auto"/>
        <w:rPr>
          <w:sz w:val="20"/>
          <w:szCs w:val="20"/>
          <w:color w:val="auto"/>
        </w:rPr>
      </w:pPr>
      <w:r>
        <w:rPr>
          <w:rFonts w:ascii="Arial" w:cs="Arial" w:eastAsia="Arial" w:hAnsi="Arial"/>
          <w:sz w:val="15"/>
          <w:szCs w:val="15"/>
          <w:color w:val="auto"/>
        </w:rPr>
        <w:t>For the fiscal year ended September 30, 2016, we invested $330.6 million of investments in four new and 25 existing portfolio companies with a weighted average yield on debt investments of 11.9%. Sales and repayments of investments for the year ended September 30, 2016 totaled $439.7 million.</w:t>
      </w:r>
    </w:p>
    <w:p>
      <w:pPr>
        <w:ind w:right="120" w:firstLine="571"/>
        <w:spacing w:after="0" w:line="332" w:lineRule="auto"/>
        <w:rPr>
          <w:sz w:val="20"/>
          <w:szCs w:val="20"/>
          <w:color w:val="auto"/>
        </w:rPr>
      </w:pPr>
      <w:r>
        <w:rPr>
          <w:rFonts w:ascii="Arial" w:cs="Arial" w:eastAsia="Arial" w:hAnsi="Arial"/>
          <w:sz w:val="16"/>
          <w:szCs w:val="16"/>
          <w:color w:val="auto"/>
        </w:rPr>
        <w:t>For the fiscal year ended September 30, 2015, we invested $461.3 million of investments in 11 new and 30 existing portfolio companies with a weighted average yield on debt investments of 12.1%. Sales and repayments of investments for the year ended September 30, 2015 totaled $390.5 million.</w:t>
      </w:r>
    </w:p>
    <w:p>
      <w:pPr>
        <w:spacing w:after="0" w:line="4" w:lineRule="exact"/>
        <w:rPr>
          <w:sz w:val="20"/>
          <w:szCs w:val="20"/>
          <w:color w:val="auto"/>
        </w:rPr>
      </w:pPr>
    </w:p>
    <w:p>
      <w:pPr>
        <w:ind w:right="100" w:firstLine="571"/>
        <w:spacing w:after="0" w:line="332" w:lineRule="auto"/>
        <w:rPr>
          <w:sz w:val="20"/>
          <w:szCs w:val="20"/>
          <w:color w:val="auto"/>
        </w:rPr>
      </w:pPr>
      <w:r>
        <w:rPr>
          <w:rFonts w:ascii="Arial" w:cs="Arial" w:eastAsia="Arial" w:hAnsi="Arial"/>
          <w:sz w:val="16"/>
          <w:szCs w:val="16"/>
          <w:color w:val="auto"/>
        </w:rPr>
        <w:t>For the fiscal year ended September 30, 2014, we invested $795.1 million of investments in 21 new and 30 existing portfolio companies with a weighted average yield on debt investments of 12.4%. Sales and repayments of investments for the year ended September 30, 2014 totaled $625.6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80" w:firstLine="571"/>
        <w:spacing w:after="0" w:line="289" w:lineRule="auto"/>
        <w:rPr>
          <w:sz w:val="20"/>
          <w:szCs w:val="20"/>
          <w:color w:val="auto"/>
        </w:rPr>
      </w:pPr>
      <w:r>
        <w:rPr>
          <w:rFonts w:ascii="Arial" w:cs="Arial" w:eastAsia="Arial" w:hAnsi="Arial"/>
          <w:sz w:val="16"/>
          <w:szCs w:val="16"/>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Valuations</w:t>
      </w:r>
    </w:p>
    <w:p>
      <w:pPr>
        <w:spacing w:after="0" w:line="90" w:lineRule="exact"/>
        <w:rPr>
          <w:sz w:val="20"/>
          <w:szCs w:val="20"/>
          <w:color w:val="auto"/>
        </w:rPr>
      </w:pPr>
    </w:p>
    <w:p>
      <w:pPr>
        <w:ind w:firstLine="571"/>
        <w:spacing w:after="0" w:line="310" w:lineRule="auto"/>
        <w:rPr>
          <w:sz w:val="20"/>
          <w:szCs w:val="20"/>
          <w:color w:val="auto"/>
        </w:rPr>
      </w:pPr>
      <w:r>
        <w:rPr>
          <w:rFonts w:ascii="Arial" w:cs="Arial" w:eastAsia="Arial" w:hAnsi="Arial"/>
          <w:sz w:val="15"/>
          <w:szCs w:val="15"/>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prospectus.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08" w:lineRule="exact"/>
        <w:rPr>
          <w:sz w:val="20"/>
          <w:szCs w:val="20"/>
          <w:color w:val="auto"/>
        </w:rPr>
      </w:pPr>
    </w:p>
    <w:p>
      <w:pPr>
        <w:jc w:val="both"/>
        <w:ind w:right="80" w:firstLine="571"/>
        <w:spacing w:after="0" w:line="259" w:lineRule="auto"/>
        <w:rPr>
          <w:sz w:val="20"/>
          <w:szCs w:val="20"/>
          <w:color w:val="auto"/>
        </w:rPr>
      </w:pPr>
      <w:r>
        <w:rPr>
          <w:rFonts w:ascii="Arial" w:cs="Arial" w:eastAsia="Arial" w:hAnsi="Arial"/>
          <w:sz w:val="18"/>
          <w:szCs w:val="18"/>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9" w:lineRule="exact"/>
        <w:rPr>
          <w:sz w:val="20"/>
          <w:szCs w:val="20"/>
          <w:color w:val="auto"/>
        </w:rPr>
      </w:pPr>
    </w:p>
    <w:p>
      <w:pPr>
        <w:ind w:left="800" w:right="560" w:hanging="346"/>
        <w:spacing w:after="0" w:line="268"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800" w:right="40" w:hanging="346"/>
        <w:spacing w:after="0" w:line="256"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800" w:right="140" w:hanging="346"/>
        <w:spacing w:after="0" w:line="306" w:lineRule="auto"/>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25" w:lineRule="exact"/>
        <w:rPr>
          <w:rFonts w:ascii="Arial" w:cs="Arial" w:eastAsia="Arial" w:hAnsi="Arial"/>
          <w:sz w:val="16"/>
          <w:szCs w:val="16"/>
          <w:color w:val="auto"/>
        </w:rPr>
      </w:pPr>
    </w:p>
    <w:p>
      <w:pPr>
        <w:ind w:left="800" w:right="120" w:hanging="346"/>
        <w:spacing w:after="0" w:line="268"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by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16"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date.</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12"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that are quoted prices (unadjusted) in active markets for identical assets or liabilities, accessible by us at the measurement date.</w:t>
      </w:r>
    </w:p>
    <w:p>
      <w:pPr>
        <w:spacing w:after="0" w:line="117" w:lineRule="exact"/>
        <w:rPr>
          <w:sz w:val="20"/>
          <w:szCs w:val="20"/>
          <w:color w:val="auto"/>
        </w:rPr>
      </w:pPr>
    </w:p>
    <w:p>
      <w:pPr>
        <w:ind w:left="1220" w:right="480" w:hanging="742"/>
        <w:spacing w:after="0" w:line="259" w:lineRule="auto"/>
        <w:tabs>
          <w:tab w:leader="none" w:pos="1200" w:val="left"/>
        </w:tabs>
        <w:rPr>
          <w:sz w:val="20"/>
          <w:szCs w:val="20"/>
          <w:color w:val="auto"/>
        </w:rPr>
      </w:pPr>
      <w:r>
        <w:rPr>
          <w:rFonts w:ascii="Arial" w:cs="Arial" w:eastAsia="Arial" w:hAnsi="Arial"/>
          <w:sz w:val="18"/>
          <w:szCs w:val="18"/>
          <w:color w:val="auto"/>
        </w:rPr>
        <w:t>Level 2:</w:t>
        <w:tab/>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6" w:lineRule="exact"/>
        <w:rPr>
          <w:sz w:val="20"/>
          <w:szCs w:val="20"/>
          <w:color w:val="auto"/>
        </w:rPr>
      </w:pPr>
    </w:p>
    <w:p>
      <w:pPr>
        <w:ind w:left="1220" w:right="520" w:hanging="742"/>
        <w:spacing w:after="0" w:line="268" w:lineRule="auto"/>
        <w:tabs>
          <w:tab w:leader="none" w:pos="120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In addition to using the above inputs in cash equivalents, investments, our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40" w:lineRule="exact"/>
        <w:rPr>
          <w:sz w:val="20"/>
          <w:szCs w:val="20"/>
          <w:color w:val="auto"/>
        </w:rPr>
      </w:pPr>
    </w:p>
    <w:p>
      <w:pPr>
        <w:ind w:firstLine="571"/>
        <w:spacing w:after="0" w:line="285"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our Notes. We elected to use the fair value option for the Credit Facility and our Notes to align the measurement attributes of both our assets and liabilities while mitigating volatility in earnings from using different measurement attributes. Due to that election and in accordance with GAAP, we incurred $0 relating to debt issuance costs during each of the three months ended December 31, 2016 and 2015 and $0, $0 and $8.3 million relating to debt issuance costs for the years ended September 30, 2016, 2015 and 2014,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our Notes are reported in our Consolidated Statements of Operations. We elected not to apply ASC 825-10 to any other financial assets or liabilities, including the SBA debentures. For the three months ended December 31, 2016 and 2015, our Credit Facility and our Notes had a net change in unrealized depreciation of $5.8 million and $7.7 million, respectively. For the fiscal years ended September 30, 2016, 2015 and 2014, our Credit Facility and our Notes had a net change in unrealized depreciation (appreciation) of $3.7 million, $1.7 million and $(3.0) million, respectively. As of December 31, 2016, September 30, 2016 and 2015, net unrealized depreciation on our Credit Facility and our Notes totaled $11.1 million, $5.2 million and $1.5 million, respectively. We use a nationally recognized independent valuation service to fair value our Credit Facility and our 2019 Notes in a manner consistent with the valuation process that the board of directors uses to value investments. Our 2025 Notes trade on the NYSE under the ticker “PNTA” and we use the closing price on the exchange to determine their fair value.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our Credit Facility and our Notes during the reporting period, including any reversal of previously recorded unrealized appreciation or depreciation, when gains or losses are realized.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books and records are maintained in U.S. dollars. Any foreign currency amounts are translated into U.S. dollars on the following basis:</w:t>
      </w:r>
    </w:p>
    <w:p>
      <w:pPr>
        <w:spacing w:after="0" w:line="113" w:lineRule="exact"/>
        <w:rPr>
          <w:sz w:val="20"/>
          <w:szCs w:val="20"/>
          <w:color w:val="auto"/>
        </w:rPr>
      </w:pPr>
    </w:p>
    <w:p>
      <w:pPr>
        <w:ind w:left="800" w:hanging="225"/>
        <w:spacing w:after="0"/>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Fair value of investment securities, other assets and liabilities – at the exchange rates prevailing at the end of the applicable period; and</w:t>
      </w:r>
    </w:p>
    <w:p>
      <w:pPr>
        <w:spacing w:after="0" w:line="113" w:lineRule="exact"/>
        <w:rPr>
          <w:rFonts w:ascii="Arial" w:cs="Arial" w:eastAsia="Arial" w:hAnsi="Arial"/>
          <w:sz w:val="16"/>
          <w:szCs w:val="16"/>
          <w:color w:val="auto"/>
        </w:rPr>
      </w:pPr>
    </w:p>
    <w:p>
      <w:pPr>
        <w:ind w:left="800" w:hanging="225"/>
        <w:spacing w:after="0"/>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Purchases and sales of investment securities, income and expenses – at the exchange rates prevailing on the respective dates of such transactions.</w:t>
      </w:r>
    </w:p>
    <w:p>
      <w:pPr>
        <w:spacing w:after="0" w:line="113" w:lineRule="exact"/>
        <w:rPr>
          <w:sz w:val="20"/>
          <w:szCs w:val="20"/>
          <w:color w:val="auto"/>
        </w:rPr>
      </w:pPr>
    </w:p>
    <w:p>
      <w:pPr>
        <w:jc w:val="both"/>
        <w:ind w:right="260" w:firstLine="571"/>
        <w:spacing w:after="0" w:line="306"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90" w:lineRule="exact"/>
        <w:rPr>
          <w:sz w:val="20"/>
          <w:szCs w:val="20"/>
          <w:color w:val="auto"/>
        </w:rPr>
      </w:pPr>
    </w:p>
    <w:p>
      <w:pPr>
        <w:jc w:val="both"/>
        <w:ind w:right="440" w:firstLine="571"/>
        <w:spacing w:after="0" w:line="256"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ability to be treated as a RIC for federal income tax purposes, substantially all of this income must be paid out to stockholders in the form of dividends for U.S. federal income tax purposes, even though we may not have collected any cash with respect to interest on PIK securities.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jc w:val="both"/>
        <w:ind w:right="80" w:firstLine="436"/>
        <w:spacing w:after="0" w:line="294" w:lineRule="auto"/>
        <w:rPr>
          <w:sz w:val="20"/>
          <w:szCs w:val="20"/>
          <w:color w:val="auto"/>
        </w:rPr>
      </w:pPr>
      <w:r>
        <w:rPr>
          <w:rFonts w:ascii="Arial" w:cs="Arial" w:eastAsia="Arial" w:hAnsi="Arial"/>
          <w:sz w:val="16"/>
          <w:szCs w:val="16"/>
          <w:color w:val="auto"/>
        </w:rPr>
        <w:t>We have elected to be treated, and intend to qualify annually to maintain our election to be treated, as a RIC under Subchapter M of the Code. To maintain our RIC tax election, we must, among other requirements, meet certain source-of-income and quarterly asset diversification requirements. We also must annually distribute dividends for U.S. federal income tax purposes to our stockholders out of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16"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32" w:lineRule="exact"/>
        <w:rPr>
          <w:sz w:val="20"/>
          <w:szCs w:val="20"/>
          <w:color w:val="auto"/>
        </w:rPr>
      </w:pPr>
    </w:p>
    <w:p>
      <w:pPr>
        <w:jc w:val="both"/>
        <w:ind w:right="80" w:firstLine="571"/>
        <w:spacing w:after="0" w:line="259" w:lineRule="auto"/>
        <w:rPr>
          <w:sz w:val="20"/>
          <w:szCs w:val="20"/>
          <w:color w:val="auto"/>
        </w:rPr>
      </w:pPr>
      <w:r>
        <w:rPr>
          <w:rFonts w:ascii="Arial" w:cs="Arial" w:eastAsia="Arial" w:hAnsi="Arial"/>
          <w:sz w:val="18"/>
          <w:szCs w:val="18"/>
          <w:color w:val="auto"/>
        </w:rPr>
        <w:t>We have formed and expect to continue to form certain Taxable Subsidiaries, which are subject to tax as corporations. These Taxable Subsidiaries allow us to hold equity securities of certain portfolio companies treated as pass-through entities for U.S. federal income tax purposes while allowing us to maintain our ability to qualify as a RIC under the Code.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Set forth below are the results of operations for the three months ended December 31, 2016 and 2015.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Investment income for the three months ended December 31, 2016 was $31.9 million and was attributable to $13.2 million from senior secured debt,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$12.7 million from second lien secured debt, $4.9 million from subordinated debt and $1.1 million from preferred and common equity, respectively. Investment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for the three months ended December 31, 2015 was $35.3 million and was attributable to $12.9 million from senior secured debt, $17.4 million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lien secured debt and $5.0 million from subordinated debt, respectively. The decrease in investment income compared with the same period in the prior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 was primarily due to a lower yielding portfolio.</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Net expenses for the three months ended December 31, 2016 totaled $16.8 million. Base management fee for the same period totaled $5.3 million (after a base management fee waiver of $1.0 million), incentive fee totaled $2.9 million (after an incentive fee waiver of $0.5 million), debt related interest and expenses totaled $6.7 million, general and administrative expenses totaled $1.5 million and provision for taxes totaled $0.4 million. Net expenses for the three months ended December 31, 2015 totaled $18.4 million. Base management fee for the same period totaled $5.5 million (after a base management fee waiver of $1.0 million), incentive fee totaled $3.2 million (after an incentive fee waiver of $0.6 million), debt related interest and expenses totaled $6.7 million, general and administrative expenses totaled $1.7 million and provision for taxes totaled $1.3 million. The decrease in expenses compared with the same period in the prior year was primarily due to lower taxes.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jc w:val="both"/>
        <w:ind w:right="180" w:firstLine="571"/>
        <w:spacing w:after="0" w:line="259" w:lineRule="auto"/>
        <w:rPr>
          <w:sz w:val="20"/>
          <w:szCs w:val="20"/>
          <w:color w:val="auto"/>
        </w:rPr>
      </w:pPr>
      <w:r>
        <w:rPr>
          <w:rFonts w:ascii="Arial" w:cs="Arial" w:eastAsia="Arial" w:hAnsi="Arial"/>
          <w:sz w:val="18"/>
          <w:szCs w:val="18"/>
          <w:color w:val="auto"/>
        </w:rPr>
        <w:t>Net investment income totaled $15.0 million, or $0.21 per share, for the three months ended December 31, 2016, and $16.8 million, or $0.23 per share, for the three months ended December 31, 2015. The decrease in net investment income compared to the same period in the prior year was primarily due to the lower yielding portfolio.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90" w:lineRule="exact"/>
        <w:rPr>
          <w:sz w:val="20"/>
          <w:szCs w:val="20"/>
          <w:color w:val="auto"/>
        </w:rPr>
      </w:pPr>
    </w:p>
    <w:p>
      <w:pPr>
        <w:ind w:right="20" w:firstLine="571"/>
        <w:spacing w:after="0" w:line="306" w:lineRule="auto"/>
        <w:rPr>
          <w:sz w:val="20"/>
          <w:szCs w:val="20"/>
          <w:color w:val="auto"/>
        </w:rPr>
      </w:pPr>
      <w:r>
        <w:rPr>
          <w:rFonts w:ascii="Arial" w:cs="Arial" w:eastAsia="Arial" w:hAnsi="Arial"/>
          <w:sz w:val="16"/>
          <w:szCs w:val="16"/>
          <w:color w:val="auto"/>
        </w:rPr>
        <w:t>Sales and repayments of investments for the three months ended December 31, 2016 totaled $64.2 million and realized losses totaled $22.2 million. Sales and repayments of investments totaled $108.1 million and realized losses totaled $25.4 million for the three months ended December 31, 2015. The change in realized gains/losses was primarily due to changes in the market conditions of our investments and the values at which they were realized.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Credit Facility and our Notes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For the three months ended December 31, 2016 and 2015, we reported net unrealized appreciation (depreciation) on investments of $25.4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$(39.9) million, respectively. As of December 31, 2016 and September 30, 2016, our net unrealized depreciation on investments totaled $74.9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$100.3 million, respectively. The net change in unrealized appreciation (depreciation) on our investments was driven primarily by changes in the capital 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the financial performance of certain portfolio companies and the reversal of unrealized depreciation (appreciation) of investments that were realized.</w:t>
      </w:r>
    </w:p>
    <w:p>
      <w:pPr>
        <w:spacing w:after="0" w:line="107" w:lineRule="exact"/>
        <w:rPr>
          <w:sz w:val="20"/>
          <w:szCs w:val="20"/>
          <w:color w:val="auto"/>
        </w:rPr>
      </w:pPr>
    </w:p>
    <w:p>
      <w:pPr>
        <w:ind w:right="220" w:firstLine="571"/>
        <w:spacing w:after="0" w:line="332" w:lineRule="auto"/>
        <w:rPr>
          <w:sz w:val="20"/>
          <w:szCs w:val="20"/>
          <w:color w:val="auto"/>
        </w:rPr>
      </w:pPr>
      <w:r>
        <w:rPr>
          <w:rFonts w:ascii="Arial" w:cs="Arial" w:eastAsia="Arial" w:hAnsi="Arial"/>
          <w:sz w:val="16"/>
          <w:szCs w:val="16"/>
          <w:color w:val="auto"/>
        </w:rPr>
        <w:t>For the three months ended December 31, 2016 and 2015, we reported net unrealized depreciation on our Credit Facility and our Notes of $5.8 million and $7.7 million, respectively. The change compared with the same period in the prior year was primarily due to changes in the capital markets.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Net Assets Resulting from Operations</w:t>
      </w:r>
    </w:p>
    <w:p>
      <w:pPr>
        <w:spacing w:after="0" w:line="90" w:lineRule="exact"/>
        <w:rPr>
          <w:sz w:val="20"/>
          <w:szCs w:val="20"/>
          <w:color w:val="auto"/>
        </w:rPr>
      </w:pPr>
    </w:p>
    <w:p>
      <w:pPr>
        <w:ind w:right="360" w:firstLine="571"/>
        <w:spacing w:after="0" w:line="256" w:lineRule="auto"/>
        <w:rPr>
          <w:sz w:val="20"/>
          <w:szCs w:val="20"/>
          <w:color w:val="auto"/>
        </w:rPr>
      </w:pPr>
      <w:r>
        <w:rPr>
          <w:rFonts w:ascii="Arial" w:cs="Arial" w:eastAsia="Arial" w:hAnsi="Arial"/>
          <w:sz w:val="18"/>
          <w:szCs w:val="18"/>
          <w:color w:val="auto"/>
        </w:rPr>
        <w:t>Net change in net assets resulting from operations totaled $24.0 million, or $0.34 per share, for the three months ended December 31, 2016. This compares to a net change in net assets resulting from operations of $(40.8) million, or $(0.56) per share, for the three months ended December 31, 2015. The increase in the net change in net assets from operations compared with the same period in the prior year was primarily due to the continued growth of our portfolio and appreciation of our investments.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Set forth below are our results of operations for the fiscal years ended September 30, 2016, 2015 and 2014.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Investment income for the fiscal year ended September 30, 2016 was $142.1 million and was attributable to $59.9 million from senior secured debt, $60.5 million from second lien secured debt, $20.9 million from subordinated debt and $0.8 million from preferred and common equity. The decrease in investment income over the prior year was primarily due to a reduction of our portfolio at cost.</w:t>
      </w:r>
    </w:p>
    <w:p>
      <w:pPr>
        <w:spacing w:after="0" w:line="59"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Investment income for the fiscal year ended September 30, 2015 was $161.6 million and was attributable to $54.3 million from senior secured debt, $71.1 million from second lien secured debt, $29.8 million from subordinated debt and $6.4 million from preferred and common equity. The increase in investment income over the prior year was primarily due to the growth of our portfolio at cost.</w:t>
      </w:r>
    </w:p>
    <w:p>
      <w:pPr>
        <w:spacing w:after="0" w:line="59" w:lineRule="exact"/>
        <w:rPr>
          <w:sz w:val="20"/>
          <w:szCs w:val="20"/>
          <w:color w:val="auto"/>
        </w:rPr>
      </w:pPr>
    </w:p>
    <w:p>
      <w:pPr>
        <w:ind w:firstLine="571"/>
        <w:spacing w:after="0" w:line="332" w:lineRule="auto"/>
        <w:rPr>
          <w:sz w:val="20"/>
          <w:szCs w:val="20"/>
          <w:color w:val="auto"/>
        </w:rPr>
      </w:pPr>
      <w:r>
        <w:rPr>
          <w:rFonts w:ascii="Arial" w:cs="Arial" w:eastAsia="Arial" w:hAnsi="Arial"/>
          <w:sz w:val="16"/>
          <w:szCs w:val="16"/>
          <w:color w:val="auto"/>
        </w:rPr>
        <w:t>Investment income for the fiscal year ended September 30, 2014 was $147.9 million and was attributable to $43.0 million from senior secured debt, $55.2 million from second lien secured debt, $46.4 million from subordinated debt and $3.3 million from preferred and common equity.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Net expenses for the fiscal year ended September 30, 2016 totaled $71.5 million. Base management fee for the same period totaled $20.9 million (after a base management fee waiver of $4.0 million), incentive fee totaled $13.5 million (after an incentive fee waiver of $2.5 million), debt related interest and expenses totaled $27.6 million, general and administrative expenses totaled $7.1 million and provision for taxes totaled $2.4 million. The decrease in expenses over the prior year was primarily due to the Management Fees waiver and a smaller portfolio size partially offset by higher taxes.</w:t>
      </w:r>
    </w:p>
    <w:p>
      <w:pPr>
        <w:spacing w:after="0" w:line="32" w:lineRule="exact"/>
        <w:rPr>
          <w:sz w:val="20"/>
          <w:szCs w:val="20"/>
          <w:color w:val="auto"/>
        </w:rPr>
      </w:pPr>
    </w:p>
    <w:p>
      <w:pPr>
        <w:ind w:right="100" w:firstLine="571"/>
        <w:spacing w:after="0" w:line="335" w:lineRule="auto"/>
        <w:rPr>
          <w:sz w:val="20"/>
          <w:szCs w:val="20"/>
          <w:color w:val="auto"/>
        </w:rPr>
      </w:pPr>
      <w:r>
        <w:rPr>
          <w:rFonts w:ascii="Arial" w:cs="Arial" w:eastAsia="Arial" w:hAnsi="Arial"/>
          <w:sz w:val="15"/>
          <w:szCs w:val="15"/>
          <w:color w:val="auto"/>
        </w:rPr>
        <w:t>Expenses for the fiscal year ended September 30, 2015 totaled $79.4 million. Base management fee for the same period totaled $26.7 million, incentive fee totaled $20.6 million, debt related interest and expenses totaled $26.4 million and general and administrative expenses totaled $5.7 million. The increase in expenses over the prior year was primarily due to increased borrowing costs, base management fee and incentive fee as a result from the growth of our portfolio.</w:t>
      </w:r>
    </w:p>
    <w:p>
      <w:pPr>
        <w:spacing w:after="0" w:line="7"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Expenses for the fiscal year ended September 30, 2014 totaled $76.6 million. Base management fee for the same period totaled $24.3 million, incentive fee totaled $17.8 million, debt related interest and expenses totaled $28.6 million (including $8.3 million associated with the 2019 Notes and expansion of our Credit Facility), general and administrative expenses totaled $5.8 million and taxes of $0.1 million.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jc w:val="both"/>
        <w:ind w:right="80" w:firstLine="571"/>
        <w:spacing w:after="0" w:line="259" w:lineRule="auto"/>
        <w:rPr>
          <w:sz w:val="20"/>
          <w:szCs w:val="20"/>
          <w:color w:val="auto"/>
        </w:rPr>
      </w:pPr>
      <w:r>
        <w:rPr>
          <w:rFonts w:ascii="Arial" w:cs="Arial" w:eastAsia="Arial" w:hAnsi="Arial"/>
          <w:sz w:val="18"/>
          <w:szCs w:val="18"/>
          <w:color w:val="auto"/>
        </w:rPr>
        <w:t>Net investment income totaled $70.6 million or $0.99 per share, $82.3 million or $1.10 per share and $71.3 million or $1.06 per share for the fiscal years ended September 30, 2016, 2015 and 2014, respectively. The decrease in net investment income per share for fiscal year ended September 30, 2016 compared to the prior year was primarily due to the repayments of higher yielding investments.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90"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Sales and repayments of investments for the fiscal years ended September 30, 2016, 2015 and 2014 totaled $439.7 million, $390.5 million and $625.6 million, respectively, and net realized (losses) gains totaled $(80.5) million, $30.1 million and $30.2 million, respectively. The increase in realized losses for fiscal year ended September 30, 2016 compared to the prior year was primarily due to certain portfolio companies sales or restructurings.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Credit Facility and our Notes</w:t>
      </w:r>
    </w:p>
    <w:p>
      <w:pPr>
        <w:spacing w:after="0" w:line="90"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Net unrealized appreciation (depreciation) on investments totaled $24.9 million, $(124.3) million and $12.5 million for the fiscal years ended September 30, 2016, 2015 and 2014, respectively. Net unrealized depreciation (appreciation) on our Credit Facility and our Notes totaled $3.7 million, $1.7 million and $(3.0) million for the same periods, respectively. The net change in unrealized appreciation (depreciation) on our investments for fiscal year ended September 30, 2016 compared to the prior year was driven primarily by changes in the capital market conditions, financial performance of certain portfolio companies, and the reversal of unrealized depreciation (appreciation) of investments sold or restructured. The change in unrealized (appreciation) depreciation on the Credit Facility and our Notes for fiscal year ended September 30, 2016 compared to the prior year was due to the fluctuating interest rate environment.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Net Assets Resulting From Operations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Net change in net assets resulting from operations totaled $18.7 million or $0.26 per share, $(10.2) million or $(0.14) per share and $111.0 million or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$1.66 per share for the fiscal years ended September 30, 2016, 2015 and 2014, respectively. The increase in the net change in net assets from operations for fiscal</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year ended September 30, 2016 compared to the prior year was primarily due to the change in portfolio investment values offset by higher net investment income.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320" w:firstLine="571"/>
        <w:spacing w:after="0" w:line="298" w:lineRule="auto"/>
        <w:rPr>
          <w:sz w:val="20"/>
          <w:szCs w:val="20"/>
          <w:color w:val="auto"/>
        </w:rPr>
      </w:pPr>
      <w:r>
        <w:rPr>
          <w:rFonts w:ascii="Arial" w:cs="Arial" w:eastAsia="Arial" w:hAnsi="Arial"/>
          <w:sz w:val="16"/>
          <w:szCs w:val="16"/>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113"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As of December 31, 2016, we had a $545 million multi-currency Credit Facility with certain lenders and SunTrust Bank, acting as administrative agent, and JPMorgan Chase Bank, N.A., acting as syndication agent for the lenders. As of December 31, 2016, September 30, 2016 and 2015, there was $148.1 million, $50.3 million and $136.9 million (including a temporary draw of $30.0 million), respectively, in outstanding borrowings under the Credit Facility. The Credit Facility had a weighted average interest rate of 2.63%, 2.76% and 3.07% as of December 31, 2016, September 30, 2016 and 2015, respectively, exclusive of the fee on undrawn commitments. The annualized weighted average cost of debt for the three months ended December 31, 2016 and 2015, inclusive of the fee on the undrawn commitment on the Credit Facility and upfront fees on SBA debentures, was 4.51% and 4.50%, respectively. The annualized weighted average cost of debt for the years ended September 30, 2016, 2015 and 2014, inclusive of the fee on the undrawn commitment on the Credit Facility and upfront fees on SBA debentures was 4.35%, 4.54% and 3.85%, respectively. The Credit Facility is a five-year revolving facility with a stated maturity date of June 25, 2019, a one-year term-out period following its fourth year and pricing is set at 225 basis points over LIBOR. As of December 31, 2016, September 30, 2016 and 2015, we had $396.9 million, $494.7 million and $408.1 million of unused borrowing capacity under our Credit Facility, respectively, subject to the regulatory restrictions. The Credit Facility is secured by substantially all of our assets excluding assets held by our SBIC Funds.</w:t>
      </w:r>
    </w:p>
    <w:p>
      <w:pPr>
        <w:spacing w:after="0" w:line="127" w:lineRule="exact"/>
        <w:rPr>
          <w:sz w:val="20"/>
          <w:szCs w:val="20"/>
          <w:color w:val="auto"/>
        </w:rPr>
      </w:pPr>
    </w:p>
    <w:p>
      <w:pPr>
        <w:ind w:right="480" w:firstLine="571"/>
        <w:spacing w:after="0" w:line="332" w:lineRule="auto"/>
        <w:rPr>
          <w:sz w:val="20"/>
          <w:szCs w:val="20"/>
          <w:color w:val="auto"/>
        </w:rPr>
      </w:pPr>
      <w:r>
        <w:rPr>
          <w:rFonts w:ascii="Arial" w:cs="Arial" w:eastAsia="Arial" w:hAnsi="Arial"/>
          <w:sz w:val="16"/>
          <w:szCs w:val="16"/>
          <w:color w:val="auto"/>
        </w:rPr>
        <w:t>For a complete list of covenants contained in the Credit Facility, see our Form 8-K filed on June 30, 2014 and the Credit Facility agreement filed as Exhibit 99.2 thereto and incorporated by reference herein. As of December 31, 2016, we were in compliance with the terms of our Credit Facility.</w:t>
      </w:r>
    </w:p>
    <w:p>
      <w:pPr>
        <w:spacing w:after="0" w:line="85"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In September 2014, we issued $250.0 million in aggregate principal amount of 2019 Notes, for net proceeds of $245.5 million after underwriting discounts and offering costs.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Please see our base indenture filed as Exhibit (d)(8) to our post effective amendment filed on January 22, 2013, or the Base Indenture, and the supplemental indenture filed as Exhibit (d)(11) in our post-effective amendment filed on September 23, 2014, for more information.</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January 2013, we issued $71.3 million in aggregate principal amount of 2025 Notes. Interest on the 2025 Notes is paid quarterly on</w:t>
      </w:r>
    </w:p>
    <w:p>
      <w:pPr>
        <w:spacing w:after="0" w:line="15" w:lineRule="exact"/>
        <w:rPr>
          <w:sz w:val="20"/>
          <w:szCs w:val="20"/>
          <w:color w:val="auto"/>
        </w:rPr>
      </w:pPr>
    </w:p>
    <w:p>
      <w:pPr>
        <w:ind w:right="40"/>
        <w:spacing w:after="0" w:line="300" w:lineRule="auto"/>
        <w:rPr>
          <w:sz w:val="20"/>
          <w:szCs w:val="20"/>
          <w:color w:val="auto"/>
        </w:rPr>
      </w:pPr>
      <w:r>
        <w:rPr>
          <w:rFonts w:ascii="Arial" w:cs="Arial" w:eastAsia="Arial" w:hAnsi="Arial"/>
          <w:sz w:val="15"/>
          <w:szCs w:val="15"/>
          <w:color w:val="auto"/>
        </w:rPr>
        <w:t>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 Please see our Base Indenture and the supplemental indenture filed as Exhibit (d)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(9) to our post-effective amendment filed on January 22, 2013 for more information.</w:t>
      </w:r>
    </w:p>
    <w:p>
      <w:pPr>
        <w:spacing w:after="0" w:line="165" w:lineRule="exact"/>
        <w:rPr>
          <w:sz w:val="20"/>
          <w:szCs w:val="20"/>
          <w:color w:val="auto"/>
        </w:rPr>
      </w:pPr>
    </w:p>
    <w:p>
      <w:pPr>
        <w:ind w:right="120" w:firstLine="571"/>
        <w:spacing w:after="0" w:line="254" w:lineRule="auto"/>
        <w:rPr>
          <w:sz w:val="20"/>
          <w:szCs w:val="20"/>
          <w:color w:val="auto"/>
        </w:rPr>
      </w:pPr>
      <w:r>
        <w:rPr>
          <w:rFonts w:ascii="Arial" w:cs="Arial" w:eastAsia="Arial" w:hAnsi="Arial"/>
          <w:sz w:val="18"/>
          <w:szCs w:val="18"/>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SBA debentures or our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144"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On May 6, 2015, we announced a share repurchase plan which allowed us to repurchase up to $35.0 million of our outstanding common stock in the open market at prices below our net asset value as reported in our then most recently published consolidated financial statements. The program expired on May 6, 2016. For the three months ended December 31, 2016 and the fiscal years ended September 30, 2016 and 2015, we repurchased zero, 1.9 million and 2.1 million shares of common stock in open market transactions for an aggregate cost (including transaction costs) of zero, $12.2 and $17.9 million, respectively. For the fiscal year ended September 30, 2014, we did not have a repurchase plan in place.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For the three months ended December 31, 2016 and the fiscal years ended September 30, 2016 and 2015, we did not complete any equity offerings. This compares to the sale of 8.5 million shares of our common stock, resulting in net proceeds of $95.4 million for the fiscal year ended September 30, 2014. Any decision to sell shares below the then current NAV per share of our common stock is subject to stockholder approval and a determination by our board of directors that such issuance and sale is in our and our stockholders’ best interests. Any sale or other issuance of shares of our common stock at a price below NAV per share results in immediate dilution to our stockholders’ interests in our common stock and a reduction in our NAV per share.</w:t>
      </w:r>
    </w:p>
    <w:p>
      <w:pPr>
        <w:spacing w:after="0" w:line="116" w:lineRule="exact"/>
        <w:rPr>
          <w:sz w:val="20"/>
          <w:szCs w:val="20"/>
          <w:color w:val="auto"/>
        </w:rPr>
      </w:pPr>
    </w:p>
    <w:p>
      <w:pPr>
        <w:ind w:right="120" w:firstLine="571"/>
        <w:spacing w:after="0" w:line="289" w:lineRule="auto"/>
        <w:rPr>
          <w:sz w:val="20"/>
          <w:szCs w:val="20"/>
          <w:color w:val="auto"/>
        </w:rPr>
      </w:pPr>
      <w:r>
        <w:rPr>
          <w:rFonts w:ascii="Arial" w:cs="Arial" w:eastAsia="Arial" w:hAnsi="Arial"/>
          <w:sz w:val="16"/>
          <w:szCs w:val="16"/>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 million as of December 31, 2016. We have funded SBIC II with $52.5 million of equity capital and it had SBA debentures outstanding of $47.5 million and commitments from the SBA for another $27.5 million of debentures as of December 31, 2016. As of December 31, 2016, 5.4% and 3.8% of our assets were invested in SBIC LP and SBIC II, respectively.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a maximum of $150 million, which is up to twice its potential regulatory capital, and as part of a group of SBICs under common control may borrow a maximum of $350.0 million in the aggregate.</w:t>
      </w:r>
    </w:p>
    <w:p>
      <w:pPr>
        <w:spacing w:after="0" w:line="118"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As of December 31, 2016, September 30, 2016 and 2015, our SBIC Funds had $225.0 million in debt commitments, of which $197.5 million, $197.5 million and $150.0 million was drawn, respectively. As of December 31, 2016, September 30, 2016 and 2015, the unamortized fees on the SBA debentures was $4.1 million $4.3 million and $3.7 million, respectively. The SBA debentures’ upfront fees of 3.43% consist of a commitment fee of 1.00% and an issuance discount of 2.43%, which are being amortized.</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fixed-rate SBA debentures as of December 31, 2016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As of December 31, 2016</w:t>
            </w:r>
          </w:p>
        </w:tc>
        <w:tc>
          <w:tcPr>
            <w:tcW w:w="6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0"/>
              </w:rPr>
              <w:t>As of September 30,</w:t>
            </w:r>
          </w:p>
        </w:tc>
        <w:tc>
          <w:tcPr>
            <w:tcW w:w="0" w:type="dxa"/>
            <w:vAlign w:val="bottom"/>
          </w:tcPr>
          <w:p>
            <w:pPr>
              <w:spacing w:after="0"/>
              <w:rPr>
                <w:sz w:val="1"/>
                <w:szCs w:val="1"/>
                <w:color w:val="auto"/>
              </w:rPr>
            </w:pPr>
          </w:p>
        </w:tc>
      </w:tr>
      <w:tr>
        <w:trPr>
          <w:trHeight w:val="134"/>
        </w:trPr>
        <w:tc>
          <w:tcPr>
            <w:tcW w:w="9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Fixed All-in</w:t>
            </w:r>
          </w:p>
        </w:tc>
        <w:tc>
          <w:tcPr>
            <w:tcW w:w="14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86"/>
              </w:rPr>
              <w:t>and September 30, 2016</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ind w:right="375"/>
              <w:spacing w:after="0" w:line="135"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Issuance Dates</w:t>
            </w:r>
          </w:p>
        </w:tc>
        <w:tc>
          <w:tcPr>
            <w:tcW w:w="2520" w:type="dxa"/>
            <w:vAlign w:val="bottom"/>
          </w:tcPr>
          <w:p>
            <w:pPr>
              <w:spacing w:after="0"/>
              <w:rPr>
                <w:sz w:val="14"/>
                <w:szCs w:val="14"/>
                <w:color w:val="auto"/>
              </w:rPr>
            </w:pPr>
          </w:p>
        </w:tc>
        <w:tc>
          <w:tcPr>
            <w:tcW w:w="2000" w:type="dxa"/>
            <w:vAlign w:val="bottom"/>
            <w:gridSpan w:val="2"/>
          </w:tcPr>
          <w:p>
            <w:pPr>
              <w:ind w:left="420"/>
              <w:spacing w:after="0"/>
              <w:rPr>
                <w:sz w:val="20"/>
                <w:szCs w:val="20"/>
                <w:color w:val="auto"/>
              </w:rPr>
            </w:pPr>
            <w:r>
              <w:rPr>
                <w:rFonts w:ascii="Arial" w:cs="Arial" w:eastAsia="Arial" w:hAnsi="Arial"/>
                <w:sz w:val="14"/>
                <w:szCs w:val="14"/>
                <w:b w:val="1"/>
                <w:bCs w:val="1"/>
                <w:color w:val="auto"/>
              </w:rPr>
              <w:t>Maturity</w:t>
            </w:r>
          </w:p>
        </w:tc>
        <w:tc>
          <w:tcPr>
            <w:tcW w:w="1760" w:type="dxa"/>
            <w:vAlign w:val="bottom"/>
            <w:gridSpan w:val="2"/>
          </w:tcPr>
          <w:p>
            <w:pPr>
              <w:spacing w:after="0" w:line="162" w:lineRule="exact"/>
              <w:rPr>
                <w:sz w:val="20"/>
                <w:szCs w:val="20"/>
                <w:color w:val="auto"/>
              </w:rPr>
            </w:pPr>
            <w:r>
              <w:rPr>
                <w:rFonts w:ascii="Arial" w:cs="Arial" w:eastAsia="Arial" w:hAnsi="Arial"/>
                <w:sz w:val="12"/>
                <w:szCs w:val="12"/>
                <w:b w:val="1"/>
                <w:bCs w:val="1"/>
                <w:color w:val="auto"/>
              </w:rPr>
              <w:t>coupon rate</w:t>
            </w:r>
            <w:r>
              <w:rPr>
                <w:rFonts w:ascii="Arial" w:cs="Arial" w:eastAsia="Arial" w:hAnsi="Arial"/>
                <w:sz w:val="18"/>
                <w:szCs w:val="18"/>
                <w:b w:val="1"/>
                <w:bCs w:val="1"/>
                <w:color w:val="auto"/>
                <w:vertAlign w:val="superscript"/>
              </w:rPr>
              <w:t>(1), (2)</w:t>
            </w:r>
          </w:p>
        </w:tc>
        <w:tc>
          <w:tcPr>
            <w:tcW w:w="160" w:type="dxa"/>
            <w:vAlign w:val="bottom"/>
          </w:tcPr>
          <w:p>
            <w:pPr>
              <w:spacing w:after="0"/>
              <w:rPr>
                <w:sz w:val="14"/>
                <w:szCs w:val="14"/>
                <w:color w:val="auto"/>
              </w:rPr>
            </w:pPr>
          </w:p>
        </w:tc>
        <w:tc>
          <w:tcPr>
            <w:tcW w:w="1280" w:type="dxa"/>
            <w:vAlign w:val="bottom"/>
          </w:tcPr>
          <w:p>
            <w:pPr>
              <w:jc w:val="right"/>
              <w:ind w:right="115"/>
              <w:spacing w:after="0"/>
              <w:rPr>
                <w:sz w:val="20"/>
                <w:szCs w:val="20"/>
                <w:color w:val="auto"/>
              </w:rPr>
            </w:pPr>
            <w:r>
              <w:rPr>
                <w:rFonts w:ascii="Arial" w:cs="Arial" w:eastAsia="Arial" w:hAnsi="Arial"/>
                <w:sz w:val="14"/>
                <w:szCs w:val="14"/>
                <w:b w:val="1"/>
                <w:bCs w:val="1"/>
                <w:color w:val="auto"/>
                <w:w w:val="90"/>
              </w:rPr>
              <w:t>Principal Balance</w:t>
            </w:r>
          </w:p>
        </w:tc>
        <w:tc>
          <w:tcPr>
            <w:tcW w:w="620" w:type="dxa"/>
            <w:vAlign w:val="bottom"/>
          </w:tcPr>
          <w:p>
            <w:pPr>
              <w:spacing w:after="0"/>
              <w:rPr>
                <w:sz w:val="14"/>
                <w:szCs w:val="14"/>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Principal Balance</w:t>
            </w:r>
          </w:p>
        </w:tc>
        <w:tc>
          <w:tcPr>
            <w:tcW w:w="0" w:type="dxa"/>
            <w:vAlign w:val="bottom"/>
          </w:tcPr>
          <w:p>
            <w:pPr>
              <w:spacing w:after="0"/>
              <w:rPr>
                <w:sz w:val="1"/>
                <w:szCs w:val="1"/>
                <w:color w:val="auto"/>
              </w:rPr>
            </w:pPr>
          </w:p>
        </w:tc>
      </w:tr>
      <w:tr>
        <w:trPr>
          <w:trHeight w:val="20"/>
        </w:trPr>
        <w:tc>
          <w:tcPr>
            <w:tcW w:w="34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13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40" w:type="dxa"/>
            <w:vAlign w:val="bottom"/>
            <w:gridSpan w:val="2"/>
            <w:vMerge w:val="continue"/>
            <w:shd w:val="clear" w:color="auto" w:fill="CCEEFF"/>
          </w:tcPr>
          <w:p>
            <w:pPr>
              <w:spacing w:after="0"/>
              <w:rPr>
                <w:sz w:val="17"/>
                <w:szCs w:val="17"/>
                <w:color w:val="auto"/>
              </w:rPr>
            </w:pPr>
          </w:p>
        </w:tc>
        <w:tc>
          <w:tcPr>
            <w:tcW w:w="1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September 1, 2020</w:t>
            </w:r>
          </w:p>
        </w:tc>
        <w:tc>
          <w:tcPr>
            <w:tcW w:w="620" w:type="dxa"/>
            <w:vAlign w:val="bottom"/>
            <w:vMerge w:val="continue"/>
            <w:shd w:val="clear" w:color="auto" w:fill="CCEEFF"/>
          </w:tcPr>
          <w:p>
            <w:pPr>
              <w:spacing w:after="0"/>
              <w:rPr>
                <w:sz w:val="17"/>
                <w:szCs w:val="17"/>
                <w:color w:val="auto"/>
              </w:rPr>
            </w:pPr>
          </w:p>
        </w:tc>
        <w:tc>
          <w:tcPr>
            <w:tcW w:w="1760" w:type="dxa"/>
            <w:vAlign w:val="bottom"/>
            <w:gridSpan w:val="2"/>
            <w:shd w:val="clear" w:color="auto" w:fill="CCEEFF"/>
          </w:tcPr>
          <w:p>
            <w:pPr>
              <w:ind w:left="700"/>
              <w:spacing w:after="0" w:line="203" w:lineRule="exact"/>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w:t>
            </w:r>
          </w:p>
        </w:tc>
        <w:tc>
          <w:tcPr>
            <w:tcW w:w="6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w:t>
            </w:r>
          </w:p>
        </w:tc>
        <w:tc>
          <w:tcPr>
            <w:tcW w:w="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March 29, 2011</w:t>
            </w:r>
          </w:p>
        </w:tc>
        <w:tc>
          <w:tcPr>
            <w:tcW w:w="2000" w:type="dxa"/>
            <w:vAlign w:val="bottom"/>
            <w:gridSpan w:val="2"/>
          </w:tcPr>
          <w:p>
            <w:pPr>
              <w:jc w:val="right"/>
              <w:ind w:right="620"/>
              <w:spacing w:after="0"/>
              <w:rPr>
                <w:sz w:val="20"/>
                <w:szCs w:val="20"/>
                <w:color w:val="auto"/>
              </w:rPr>
            </w:pPr>
            <w:r>
              <w:rPr>
                <w:rFonts w:ascii="Arial" w:cs="Arial" w:eastAsia="Arial" w:hAnsi="Arial"/>
                <w:sz w:val="18"/>
                <w:szCs w:val="18"/>
                <w:color w:val="auto"/>
              </w:rPr>
              <w:t>March 1, 2021</w:t>
            </w:r>
          </w:p>
        </w:tc>
        <w:tc>
          <w:tcPr>
            <w:tcW w:w="1000" w:type="dxa"/>
            <w:vAlign w:val="bottom"/>
          </w:tcPr>
          <w:p>
            <w:pPr>
              <w:ind w:left="700"/>
              <w:spacing w:after="0"/>
              <w:rPr>
                <w:sz w:val="20"/>
                <w:szCs w:val="20"/>
                <w:color w:val="auto"/>
              </w:rPr>
            </w:pPr>
            <w:r>
              <w:rPr>
                <w:rFonts w:ascii="Arial" w:cs="Arial" w:eastAsia="Arial" w:hAnsi="Arial"/>
                <w:sz w:val="18"/>
                <w:szCs w:val="18"/>
                <w:color w:val="auto"/>
                <w:w w:val="79"/>
              </w:rPr>
              <w:t>4.46</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44,500,000</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44,500,000</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2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September 1, 2021</w:t>
            </w:r>
          </w:p>
        </w:tc>
        <w:tc>
          <w:tcPr>
            <w:tcW w:w="100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9"/>
              </w:rPr>
              <w:t>3.38</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105,000,000</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105,000,000</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March 23, 2016</w:t>
            </w:r>
          </w:p>
        </w:tc>
        <w:tc>
          <w:tcPr>
            <w:tcW w:w="2000" w:type="dxa"/>
            <w:vAlign w:val="bottom"/>
            <w:gridSpan w:val="2"/>
          </w:tcPr>
          <w:p>
            <w:pPr>
              <w:jc w:val="right"/>
              <w:ind w:right="620"/>
              <w:spacing w:after="0"/>
              <w:rPr>
                <w:sz w:val="20"/>
                <w:szCs w:val="20"/>
                <w:color w:val="auto"/>
              </w:rPr>
            </w:pPr>
            <w:r>
              <w:rPr>
                <w:rFonts w:ascii="Arial" w:cs="Arial" w:eastAsia="Arial" w:hAnsi="Arial"/>
                <w:sz w:val="18"/>
                <w:szCs w:val="18"/>
                <w:color w:val="auto"/>
              </w:rPr>
              <w:t>March 1, 2026</w:t>
            </w:r>
          </w:p>
        </w:tc>
        <w:tc>
          <w:tcPr>
            <w:tcW w:w="1000" w:type="dxa"/>
            <w:vAlign w:val="bottom"/>
          </w:tcPr>
          <w:p>
            <w:pPr>
              <w:ind w:left="700"/>
              <w:spacing w:after="0"/>
              <w:rPr>
                <w:sz w:val="20"/>
                <w:szCs w:val="20"/>
                <w:color w:val="auto"/>
              </w:rPr>
            </w:pPr>
            <w:r>
              <w:rPr>
                <w:rFonts w:ascii="Arial" w:cs="Arial" w:eastAsia="Arial" w:hAnsi="Arial"/>
                <w:sz w:val="18"/>
                <w:szCs w:val="18"/>
                <w:color w:val="auto"/>
                <w:w w:val="79"/>
              </w:rPr>
              <w:t>2.86</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22,500,000</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2016</w:t>
            </w:r>
          </w:p>
        </w:tc>
        <w:tc>
          <w:tcPr>
            <w:tcW w:w="2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September 1, 2026</w:t>
            </w:r>
          </w:p>
        </w:tc>
        <w:tc>
          <w:tcPr>
            <w:tcW w:w="100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9"/>
              </w:rPr>
              <w:t>2.41</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Rate / Total</w:t>
            </w: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440" w:type="dxa"/>
            <w:vAlign w:val="bottom"/>
            <w:gridSpan w:val="2"/>
            <w:vMerge w:val="continue"/>
          </w:tcPr>
          <w:p>
            <w:pPr>
              <w:spacing w:after="0"/>
              <w:rPr>
                <w:sz w:val="19"/>
                <w:szCs w:val="19"/>
                <w:color w:val="auto"/>
              </w:rPr>
            </w:pPr>
          </w:p>
        </w:tc>
        <w:tc>
          <w:tcPr>
            <w:tcW w:w="1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60" w:type="dxa"/>
            <w:vAlign w:val="bottom"/>
            <w:gridSpan w:val="2"/>
          </w:tcPr>
          <w:p>
            <w:pPr>
              <w:ind w:left="700"/>
              <w:spacing w:after="0"/>
              <w:rPr>
                <w:sz w:val="20"/>
                <w:szCs w:val="20"/>
                <w:color w:val="auto"/>
              </w:rPr>
            </w:pPr>
            <w:r>
              <w:rPr>
                <w:rFonts w:ascii="Arial" w:cs="Arial" w:eastAsia="Arial" w:hAnsi="Arial"/>
                <w:sz w:val="18"/>
                <w:szCs w:val="18"/>
                <w:color w:val="auto"/>
              </w:rPr>
              <w:t>3.44%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197,500,000</w:t>
            </w:r>
          </w:p>
        </w:tc>
        <w:tc>
          <w:tcPr>
            <w:tcW w:w="8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150,000,000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8865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03" w:lineRule="exact"/>
        <w:rPr>
          <w:sz w:val="20"/>
          <w:szCs w:val="20"/>
          <w:color w:val="auto"/>
        </w:rPr>
      </w:pPr>
    </w:p>
    <w:p>
      <w:pPr>
        <w:ind w:left="680" w:hanging="672"/>
        <w:spacing w:after="0"/>
        <w:tabs>
          <w:tab w:leader="none" w:pos="68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Excluding 3.43% of upfront fees.</w:t>
      </w:r>
    </w:p>
    <w:p>
      <w:pPr>
        <w:spacing w:after="0" w:line="7" w:lineRule="exact"/>
        <w:rPr>
          <w:rFonts w:ascii="Arial" w:cs="Arial" w:eastAsia="Arial" w:hAnsi="Arial"/>
          <w:sz w:val="22"/>
          <w:szCs w:val="22"/>
          <w:color w:val="auto"/>
          <w:vertAlign w:val="superscript"/>
        </w:rPr>
      </w:pPr>
    </w:p>
    <w:p>
      <w:pPr>
        <w:ind w:left="680" w:hanging="672"/>
        <w:spacing w:after="0" w:line="197" w:lineRule="auto"/>
        <w:tabs>
          <w:tab w:leader="none" w:pos="68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As of September 30, 2015, the fixed all-in coupon rate was 3.70%.</w:t>
      </w:r>
    </w:p>
    <w:p>
      <w:pPr>
        <w:spacing w:after="0" w:line="157"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December 31, 2016, our SBIC Funds were in compliance with their regulatory requirements.</w:t>
      </w:r>
    </w:p>
    <w:p>
      <w:pPr>
        <w:spacing w:after="0" w:line="120" w:lineRule="exact"/>
        <w:rPr>
          <w:sz w:val="20"/>
          <w:szCs w:val="20"/>
          <w:color w:val="auto"/>
        </w:rPr>
      </w:pPr>
    </w:p>
    <w:p>
      <w:pPr>
        <w:ind w:right="100" w:firstLine="571"/>
        <w:spacing w:after="0" w:line="318" w:lineRule="auto"/>
        <w:rPr>
          <w:sz w:val="20"/>
          <w:szCs w:val="20"/>
          <w:color w:val="auto"/>
        </w:rPr>
      </w:pPr>
      <w:r>
        <w:rPr>
          <w:rFonts w:ascii="Arial" w:cs="Arial" w:eastAsia="Arial" w:hAnsi="Arial"/>
          <w:sz w:val="15"/>
          <w:szCs w:val="15"/>
          <w:color w:val="auto"/>
        </w:rPr>
        <w:t>In accordance with the 1940 Act, with certain limited exceptions, PennantPark Investment is only allowed to borrow amounts such that our asset coverage ratio is met after such borrowing. As of December 31, 2016, September 30, 2016 and September 30, 2015,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10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At December 31, 2016, September 30, 2016 and September 30, 2015, we had cash and cash equivalents of $45.3 million, $75.6 million and $49.6 million, respectively, available for investing and general corporate purposes. We believe our liquidity and capital resources are sufficient to take advantage of market opportunities.</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operating activities used cash of $108.3 million for the three months ended December 31, 2016, and our financing activities provided cash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$77.9 million for the same period. Our operating activities used cash primarily for our investment activities and our financing activities provided cash primarily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net borrowings under our Credit Facility.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Our operating activities used cash of $0.9 million for the three months ended December 31, 2015, and our financing activities used cash of $22.7 million for the same period. Our operating activities used cash primarily for our investment activities and our financing activities used cash primarily for our stock repurchase plan.</w:t>
      </w:r>
    </w:p>
    <w:p>
      <w:pPr>
        <w:spacing w:after="0" w:line="140"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Our operating activities provided cash of $157.7 million for the fiscal year ended September 30, 2016, and our financing activities used cash proceeds of $132.7 million for the same period. Our operating activities provided cash primarily from sales and repayments on our investments and our financing activities used cash primarily for net repayments on our Credit Facility and our stock repurchase program.</w:t>
      </w:r>
    </w:p>
    <w:p>
      <w:pPr>
        <w:spacing w:after="0" w:line="140" w:lineRule="exact"/>
        <w:rPr>
          <w:sz w:val="20"/>
          <w:szCs w:val="20"/>
          <w:color w:val="auto"/>
        </w:rPr>
      </w:pPr>
    </w:p>
    <w:p>
      <w:pPr>
        <w:jc w:val="both"/>
        <w:ind w:right="280" w:firstLine="571"/>
        <w:spacing w:after="0" w:line="306" w:lineRule="auto"/>
        <w:rPr>
          <w:sz w:val="20"/>
          <w:szCs w:val="20"/>
          <w:color w:val="auto"/>
        </w:rPr>
      </w:pPr>
      <w:r>
        <w:rPr>
          <w:rFonts w:ascii="Arial" w:cs="Arial" w:eastAsia="Arial" w:hAnsi="Arial"/>
          <w:sz w:val="16"/>
          <w:szCs w:val="16"/>
          <w:color w:val="auto"/>
        </w:rPr>
        <w:t>Our operating activities provided cash of $3.0 million for the fiscal year ended September 30, 2015, and our financing activities used cash proceeds of $20.1 million for the same period. Our operating activities provided cash primarily from sales and repayments on our investments and our financing activities used cash primarily for our stock repurchase program and to repay certain amounts under our Credit Facility.</w:t>
      </w:r>
    </w:p>
    <w:p>
      <w:pPr>
        <w:spacing w:after="0" w:line="107" w:lineRule="exact"/>
        <w:rPr>
          <w:sz w:val="20"/>
          <w:szCs w:val="20"/>
          <w:color w:val="auto"/>
        </w:rPr>
      </w:pPr>
    </w:p>
    <w:p>
      <w:pPr>
        <w:jc w:val="both"/>
        <w:ind w:right="100" w:firstLine="571"/>
        <w:spacing w:after="0" w:line="259" w:lineRule="auto"/>
        <w:rPr>
          <w:sz w:val="20"/>
          <w:szCs w:val="20"/>
          <w:color w:val="auto"/>
        </w:rPr>
      </w:pPr>
      <w:r>
        <w:rPr>
          <w:rFonts w:ascii="Arial" w:cs="Arial" w:eastAsia="Arial" w:hAnsi="Arial"/>
          <w:sz w:val="18"/>
          <w:szCs w:val="18"/>
          <w:color w:val="auto"/>
        </w:rPr>
        <w:t>Our operating activities used cash of $172.5 million for the fiscal year ended September 30, 2014, and our financing activities provided cash proceeds of $180.9 million for the same period. Our operating activities used cash primarily for our investment activities and our financing activities provided cash primarily from the issuance of the 2019 Notes, our equity offering and net draws under the Credit Facility.</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jc w:val="both"/>
        <w:ind w:right="80" w:firstLine="571"/>
        <w:spacing w:after="0" w:line="268" w:lineRule="auto"/>
        <w:rPr>
          <w:sz w:val="20"/>
          <w:szCs w:val="20"/>
          <w:color w:val="auto"/>
        </w:rPr>
      </w:pPr>
      <w:r>
        <w:rPr>
          <w:rFonts w:ascii="Arial" w:cs="Arial" w:eastAsia="Arial" w:hAnsi="Arial"/>
          <w:sz w:val="18"/>
          <w:szCs w:val="18"/>
          <w:color w:val="auto"/>
        </w:rPr>
        <w:t>A summary of our significant contractual payment obligations as of December 31, 2016, including borrowings under our various debt facilities and other contractual obligations,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ind w:right="37"/>
              <w:spacing w:after="0"/>
              <w:rPr>
                <w:sz w:val="20"/>
                <w:szCs w:val="20"/>
                <w:color w:val="auto"/>
              </w:rPr>
            </w:pPr>
            <w:r>
              <w:rPr>
                <w:rFonts w:ascii="Arial" w:cs="Arial" w:eastAsia="Arial" w:hAnsi="Arial"/>
                <w:sz w:val="14"/>
                <w:szCs w:val="14"/>
                <w:b w:val="1"/>
                <w:bCs w:val="1"/>
                <w:color w:val="auto"/>
                <w:w w:val="89"/>
              </w:rPr>
              <w:t>Payments due by period (in millions)</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Less than</w:t>
            </w:r>
          </w:p>
        </w:tc>
        <w:tc>
          <w:tcPr>
            <w:tcW w:w="960" w:type="dxa"/>
            <w:vAlign w:val="bottom"/>
            <w:gridSpan w:val="2"/>
          </w:tcPr>
          <w:p>
            <w:pPr>
              <w:jc w:val="right"/>
              <w:ind w:right="76"/>
              <w:spacing w:after="0" w:line="129" w:lineRule="exact"/>
              <w:rPr>
                <w:sz w:val="20"/>
                <w:szCs w:val="20"/>
                <w:color w:val="auto"/>
              </w:rPr>
            </w:pPr>
            <w:r>
              <w:rPr>
                <w:rFonts w:ascii="Arial" w:cs="Arial" w:eastAsia="Arial" w:hAnsi="Arial"/>
                <w:sz w:val="14"/>
                <w:szCs w:val="14"/>
                <w:b w:val="1"/>
                <w:bCs w:val="1"/>
                <w:color w:val="auto"/>
              </w:rPr>
              <w:t>1-3</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rPr>
              <w:t>3-5</w:t>
            </w:r>
          </w:p>
        </w:tc>
        <w:tc>
          <w:tcPr>
            <w:tcW w:w="46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1 year</w:t>
            </w:r>
          </w:p>
        </w:tc>
        <w:tc>
          <w:tcPr>
            <w:tcW w:w="4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80" w:type="dxa"/>
            <w:vAlign w:val="bottom"/>
          </w:tcPr>
          <w:p>
            <w:pPr>
              <w:spacing w:after="0"/>
              <w:rPr>
                <w:sz w:val="14"/>
                <w:szCs w:val="14"/>
                <w:color w:val="auto"/>
              </w:rPr>
            </w:pPr>
          </w:p>
        </w:tc>
        <w:tc>
          <w:tcPr>
            <w:tcW w:w="420" w:type="dxa"/>
            <w:vAlign w:val="bottom"/>
          </w:tcPr>
          <w:p>
            <w:pPr>
              <w:jc w:val="right"/>
              <w:ind w:right="17"/>
              <w:spacing w:after="0"/>
              <w:rPr>
                <w:sz w:val="20"/>
                <w:szCs w:val="20"/>
                <w:color w:val="auto"/>
              </w:rPr>
            </w:pPr>
            <w:r>
              <w:rPr>
                <w:rFonts w:ascii="Arial" w:cs="Arial" w:eastAsia="Arial" w:hAnsi="Arial"/>
                <w:sz w:val="14"/>
                <w:szCs w:val="14"/>
                <w:b w:val="1"/>
                <w:bCs w:val="1"/>
                <w:color w:val="auto"/>
                <w:w w:val="81"/>
              </w:rPr>
              <w:t>years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Credit Facility</w:t>
            </w:r>
          </w:p>
        </w:tc>
        <w:tc>
          <w:tcPr>
            <w:tcW w:w="2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$148.1</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$148.1</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SBA debentures</w:t>
            </w:r>
          </w:p>
        </w:tc>
        <w:tc>
          <w:tcPr>
            <w:tcW w:w="3380" w:type="dxa"/>
            <w:vAlign w:val="bottom"/>
            <w:gridSpan w:val="3"/>
          </w:tcPr>
          <w:p>
            <w:pPr>
              <w:jc w:val="right"/>
              <w:ind w:right="460"/>
              <w:spacing w:after="0"/>
              <w:rPr>
                <w:sz w:val="20"/>
                <w:szCs w:val="20"/>
                <w:color w:val="auto"/>
              </w:rPr>
            </w:pPr>
            <w:r>
              <w:rPr>
                <w:rFonts w:ascii="Arial" w:cs="Arial" w:eastAsia="Arial" w:hAnsi="Arial"/>
                <w:sz w:val="18"/>
                <w:szCs w:val="18"/>
                <w:color w:val="auto"/>
              </w:rPr>
              <w:t>197.5</w:t>
            </w:r>
          </w:p>
        </w:tc>
        <w:tc>
          <w:tcPr>
            <w:tcW w:w="160" w:type="dxa"/>
            <w:vAlign w:val="bottom"/>
          </w:tcPr>
          <w:p>
            <w:pPr>
              <w:spacing w:after="0"/>
              <w:rPr>
                <w:sz w:val="18"/>
                <w:szCs w:val="18"/>
                <w:color w:val="auto"/>
              </w:rPr>
            </w:pPr>
          </w:p>
        </w:tc>
        <w:tc>
          <w:tcPr>
            <w:tcW w:w="4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2019 Notes</w:t>
            </w:r>
          </w:p>
        </w:tc>
        <w:tc>
          <w:tcPr>
            <w:tcW w:w="3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250.0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2025 Notes</w:t>
            </w:r>
          </w:p>
        </w:tc>
        <w:tc>
          <w:tcPr>
            <w:tcW w:w="24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71.3</w:t>
            </w:r>
          </w:p>
        </w:tc>
        <w:tc>
          <w:tcPr>
            <w:tcW w:w="160" w:type="dxa"/>
            <w:vAlign w:val="bottom"/>
          </w:tcPr>
          <w:p>
            <w:pPr>
              <w:spacing w:after="0"/>
              <w:rPr>
                <w:sz w:val="18"/>
                <w:szCs w:val="18"/>
                <w:color w:val="auto"/>
              </w:rPr>
            </w:pPr>
          </w:p>
        </w:tc>
        <w:tc>
          <w:tcPr>
            <w:tcW w:w="4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debt outstanding</w:t>
            </w:r>
            <w:r>
              <w:rPr>
                <w:rFonts w:ascii="Arial" w:cs="Arial" w:eastAsia="Arial" w:hAnsi="Arial"/>
                <w:sz w:val="11"/>
                <w:szCs w:val="11"/>
                <w:color w:val="auto"/>
              </w:rPr>
              <w:t>(1)</w:t>
            </w:r>
          </w:p>
        </w:tc>
        <w:tc>
          <w:tcPr>
            <w:tcW w:w="2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666.9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398.1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11"/>
                <w:szCs w:val="11"/>
                <w:color w:val="auto"/>
              </w:rPr>
              <w:t>(2)</w:t>
            </w:r>
          </w:p>
        </w:tc>
        <w:tc>
          <w:tcPr>
            <w:tcW w:w="24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4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674.5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156.5</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663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31" w:lineRule="exact"/>
        <w:rPr>
          <w:sz w:val="20"/>
          <w:szCs w:val="20"/>
          <w:color w:val="auto"/>
        </w:rPr>
      </w:pPr>
    </w:p>
    <w:p>
      <w:pPr>
        <w:ind w:left="220" w:right="380" w:hanging="212"/>
        <w:spacing w:after="0" w:line="189" w:lineRule="auto"/>
        <w:tabs>
          <w:tab w:leader="none" w:pos="220" w:val="left"/>
        </w:tabs>
        <w:numPr>
          <w:ilvl w:val="0"/>
          <w:numId w:val="26"/>
        </w:numPr>
        <w:rPr>
          <w:rFonts w:ascii="Arial" w:cs="Arial" w:eastAsia="Arial" w:hAnsi="Arial"/>
          <w:sz w:val="21"/>
          <w:szCs w:val="21"/>
          <w:color w:val="auto"/>
          <w:vertAlign w:val="superscript"/>
        </w:rPr>
      </w:pPr>
      <w:r>
        <w:rPr>
          <w:rFonts w:ascii="Arial" w:cs="Arial" w:eastAsia="Arial" w:hAnsi="Arial"/>
          <w:sz w:val="13"/>
          <w:szCs w:val="13"/>
          <w:color w:val="auto"/>
        </w:rPr>
        <w:t>The annualized weighted average cost of debt as of December 31, 2016, excluding debt issuance costs, was 3.96% exclusive of the fee on the undrawn commitment on the Credit Facility and 3.43% of upfront fees on SBA debentures.</w:t>
      </w:r>
    </w:p>
    <w:p>
      <w:pPr>
        <w:spacing w:after="0" w:line="1" w:lineRule="exact"/>
        <w:rPr>
          <w:rFonts w:ascii="Arial" w:cs="Arial" w:eastAsia="Arial" w:hAnsi="Arial"/>
          <w:sz w:val="21"/>
          <w:szCs w:val="21"/>
          <w:color w:val="auto"/>
          <w:vertAlign w:val="superscript"/>
        </w:rPr>
      </w:pPr>
    </w:p>
    <w:p>
      <w:pPr>
        <w:ind w:left="220" w:hanging="212"/>
        <w:spacing w:after="0" w:line="185" w:lineRule="auto"/>
        <w:tabs>
          <w:tab w:leader="none" w:pos="220" w:val="left"/>
        </w:tabs>
        <w:numPr>
          <w:ilvl w:val="0"/>
          <w:numId w:val="26"/>
        </w:numPr>
        <w:rPr>
          <w:rFonts w:ascii="Arial" w:cs="Arial" w:eastAsia="Arial" w:hAnsi="Arial"/>
          <w:sz w:val="18"/>
          <w:szCs w:val="18"/>
          <w:color w:val="auto"/>
          <w:vertAlign w:val="superscript"/>
        </w:rPr>
      </w:pPr>
      <w:r>
        <w:rPr>
          <w:rFonts w:ascii="Arial" w:cs="Arial" w:eastAsia="Arial" w:hAnsi="Arial"/>
          <w:sz w:val="12"/>
          <w:szCs w:val="12"/>
          <w:color w:val="auto"/>
        </w:rPr>
        <w:t>Unfunded debt and equity investments are disclosed in the Consolidated Schedule of Investments and Note 11 of our Consolidated Financial Statements.</w:t>
      </w:r>
    </w:p>
    <w:p>
      <w:pPr>
        <w:spacing w:after="0" w:line="141" w:lineRule="exact"/>
        <w:rPr>
          <w:sz w:val="20"/>
          <w:szCs w:val="20"/>
          <w:color w:val="auto"/>
        </w:rPr>
      </w:pPr>
    </w:p>
    <w:p>
      <w:pPr>
        <w:ind w:right="220" w:firstLine="571"/>
        <w:spacing w:after="0" w:line="290"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2017, PennantPark Investment Advisers serves as our Investment Adviser.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18"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Under our Administration Agreement, which was most recently reapproved by our board of directors, including a majority of our directors who are not interested persons of us, in February 2017,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currently engage in no off-balance sheet arrangements other than our funding requirements for the unfunded investments described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43" w:lineRule="exact"/>
        <w:rPr>
          <w:sz w:val="20"/>
          <w:szCs w:val="20"/>
          <w:color w:val="auto"/>
        </w:rPr>
      </w:pPr>
    </w:p>
    <w:p>
      <w:pPr>
        <w:ind w:right="40" w:firstLine="571"/>
        <w:spacing w:after="0" w:line="254"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an amount at least equal to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44" w:lineRule="exact"/>
        <w:rPr>
          <w:sz w:val="20"/>
          <w:szCs w:val="20"/>
          <w:color w:val="auto"/>
        </w:rPr>
      </w:pPr>
    </w:p>
    <w:p>
      <w:pPr>
        <w:ind w:right="80" w:firstLine="571"/>
        <w:spacing w:after="0" w:line="314" w:lineRule="auto"/>
        <w:rPr>
          <w:sz w:val="20"/>
          <w:szCs w:val="20"/>
          <w:color w:val="auto"/>
        </w:rPr>
      </w:pPr>
      <w:r>
        <w:rPr>
          <w:rFonts w:ascii="Arial" w:cs="Arial" w:eastAsia="Arial" w:hAnsi="Arial"/>
          <w:sz w:val="15"/>
          <w:szCs w:val="15"/>
          <w:color w:val="auto"/>
        </w:rPr>
        <w:t>During the three months ended December 31, 2016 and 2015, we declared distributions of $0.28 per share for each period for total distributions of $19.9 million and $20.1 million, respectively. During the fiscal years ended September 30, 2016, 2015 and 2014, we declared distributions of $1.12 per share each year for total distributions of $79.8 million, $83.3 million and $76.9 million, respectively. We monitor available net investment income to determine if a return of capital for taxation purposes may occur for the fiscal year. To the extent our taxable earnings fall below the total amount of our distributions for any given fiscal year, common stockholders will be notified of the portion of those distributions deemed to be a return of capital. Tax characteristics of all distributions will be reported to stockholders subject to information reporting on Form 1099-DIV after the end of the calendar year and in our periodic reports filed with the SEC.</w:t>
      </w:r>
    </w:p>
    <w:p>
      <w:pPr>
        <w:spacing w:after="0" w:line="10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intend to continue to make quarterly distributions to our stockholders. Our quarterly distributions, if any, are determined by the board of directors.</w:t>
      </w:r>
    </w:p>
    <w:p>
      <w:pPr>
        <w:spacing w:after="0" w:line="194"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40"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our ability to be subject to tax as a RIC. We cannot assure stockholders that they will receive any distributions at a particular level.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7"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We are subject to financial market risks, including changes in interest rates. As of December 31, 2016, our debt portfolio consisted of 81% variable-rate investments (including 74% with a floor) and 19%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156" w:lineRule="exact"/>
        <w:rPr>
          <w:sz w:val="20"/>
          <w:szCs w:val="20"/>
          <w:color w:val="auto"/>
        </w:rPr>
      </w:pPr>
    </w:p>
    <w:tbl>
      <w:tblPr>
        <w:tblLayout w:type="fixed"/>
        <w:tblInd w:w="334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41"/>
              <w:spacing w:after="0"/>
              <w:rPr>
                <w:sz w:val="20"/>
                <w:szCs w:val="20"/>
                <w:color w:val="auto"/>
              </w:rPr>
            </w:pPr>
            <w:r>
              <w:rPr>
                <w:rFonts w:ascii="Arial" w:cs="Arial" w:eastAsia="Arial" w:hAnsi="Arial"/>
                <w:sz w:val="14"/>
                <w:szCs w:val="14"/>
                <w:b w:val="1"/>
                <w:bCs w:val="1"/>
                <w:color w:val="auto"/>
                <w:w w:val="88"/>
              </w:rPr>
              <w:t>Change In Interest</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58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w w:val="87"/>
              </w:rPr>
              <w:t>Income, Net Of Interest</w:t>
            </w:r>
          </w:p>
        </w:tc>
        <w:tc>
          <w:tcPr>
            <w:tcW w:w="300" w:type="dxa"/>
            <w:vAlign w:val="bottom"/>
          </w:tcPr>
          <w:p>
            <w:pPr>
              <w:spacing w:after="0"/>
              <w:rPr>
                <w:sz w:val="12"/>
                <w:szCs w:val="12"/>
                <w:color w:val="auto"/>
              </w:rPr>
            </w:pPr>
          </w:p>
        </w:tc>
        <w:tc>
          <w:tcPr>
            <w:tcW w:w="142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Change In Interest</w:t>
            </w:r>
          </w:p>
        </w:tc>
        <w:tc>
          <w:tcPr>
            <w:tcW w:w="0" w:type="dxa"/>
            <w:vAlign w:val="bottom"/>
          </w:tcPr>
          <w:p>
            <w:pPr>
              <w:spacing w:after="0"/>
              <w:rPr>
                <w:sz w:val="1"/>
                <w:szCs w:val="1"/>
                <w:color w:val="auto"/>
              </w:rPr>
            </w:pPr>
          </w:p>
        </w:tc>
      </w:tr>
      <w:tr>
        <w:trPr>
          <w:trHeight w:val="149"/>
        </w:trPr>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Change In Interest Rates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86"/>
              </w:rPr>
              <w:t>Expense (in</w:t>
            </w:r>
          </w:p>
        </w:tc>
        <w:tc>
          <w:tcPr>
            <w:tcW w:w="172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rPr>
              <w:t>Income, Net Of Interest</w:t>
            </w:r>
          </w:p>
        </w:tc>
        <w:tc>
          <w:tcPr>
            <w:tcW w:w="0" w:type="dxa"/>
            <w:vAlign w:val="bottom"/>
          </w:tcPr>
          <w:p>
            <w:pPr>
              <w:spacing w:after="0"/>
              <w:rPr>
                <w:sz w:val="1"/>
                <w:szCs w:val="1"/>
                <w:color w:val="auto"/>
              </w:rPr>
            </w:pPr>
          </w:p>
        </w:tc>
      </w:tr>
      <w:tr>
        <w:trPr>
          <w:trHeight w:val="161"/>
        </w:trPr>
        <w:tc>
          <w:tcPr>
            <w:tcW w:w="14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41"/>
              <w:spacing w:after="0"/>
              <w:rPr>
                <w:sz w:val="20"/>
                <w:szCs w:val="20"/>
                <w:color w:val="auto"/>
              </w:rPr>
            </w:pPr>
            <w:r>
              <w:rPr>
                <w:rFonts w:ascii="Arial" w:cs="Arial" w:eastAsia="Arial" w:hAnsi="Arial"/>
                <w:sz w:val="14"/>
                <w:szCs w:val="14"/>
                <w:b w:val="1"/>
                <w:bCs w:val="1"/>
                <w:color w:val="auto"/>
                <w:w w:val="84"/>
              </w:rPr>
              <w:t>thousands)</w:t>
            </w:r>
          </w:p>
        </w:tc>
        <w:tc>
          <w:tcPr>
            <w:tcW w:w="300" w:type="dxa"/>
            <w:vAlign w:val="bottom"/>
          </w:tcPr>
          <w:p>
            <w:pPr>
              <w:spacing w:after="0"/>
              <w:rPr>
                <w:sz w:val="14"/>
                <w:szCs w:val="14"/>
                <w:color w:val="auto"/>
              </w:rPr>
            </w:pPr>
          </w:p>
        </w:tc>
        <w:tc>
          <w:tcPr>
            <w:tcW w:w="1420" w:type="dxa"/>
            <w:vAlign w:val="bottom"/>
            <w:gridSpan w:val="3"/>
          </w:tcPr>
          <w:p>
            <w:pPr>
              <w:ind w:left="120"/>
              <w:spacing w:after="0"/>
              <w:rPr>
                <w:sz w:val="20"/>
                <w:szCs w:val="20"/>
                <w:color w:val="auto"/>
              </w:rPr>
            </w:pPr>
            <w:r>
              <w:rPr>
                <w:rFonts w:ascii="Arial" w:cs="Arial" w:eastAsia="Arial" w:hAnsi="Arial"/>
                <w:sz w:val="14"/>
                <w:szCs w:val="14"/>
                <w:b w:val="1"/>
                <w:bCs w:val="1"/>
                <w:color w:val="auto"/>
              </w:rPr>
              <w:t>Expense Per Share</w:t>
            </w:r>
          </w:p>
        </w:tc>
        <w:tc>
          <w:tcPr>
            <w:tcW w:w="0" w:type="dxa"/>
            <w:vAlign w:val="bottom"/>
          </w:tcPr>
          <w:p>
            <w:pPr>
              <w:spacing w:after="0"/>
              <w:rPr>
                <w:sz w:val="1"/>
                <w:szCs w:val="1"/>
                <w:color w:val="auto"/>
              </w:rPr>
            </w:pPr>
          </w:p>
        </w:tc>
      </w:tr>
      <w:tr>
        <w:trPr>
          <w:trHeight w:val="210"/>
        </w:trPr>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Up 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366"/>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92"/>
              </w:rPr>
              <w:t>Up 2%</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12,093</w:t>
            </w:r>
          </w:p>
        </w:tc>
        <w:tc>
          <w:tcPr>
            <w:tcW w:w="900" w:type="dxa"/>
            <w:vAlign w:val="bottom"/>
            <w:gridSpan w:val="2"/>
          </w:tcPr>
          <w:p>
            <w:pPr>
              <w:jc w:val="right"/>
              <w:ind w:right="366"/>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Up 3%</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20,187</w:t>
            </w:r>
          </w:p>
        </w:tc>
        <w:tc>
          <w:tcPr>
            <w:tcW w:w="900" w:type="dxa"/>
            <w:vAlign w:val="bottom"/>
            <w:gridSpan w:val="2"/>
            <w:shd w:val="clear" w:color="auto" w:fill="CCEEFF"/>
          </w:tcPr>
          <w:p>
            <w:pPr>
              <w:jc w:val="right"/>
              <w:ind w:right="36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92"/>
              </w:rPr>
              <w:t>Up 4%</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28,281</w:t>
            </w:r>
          </w:p>
        </w:tc>
        <w:tc>
          <w:tcPr>
            <w:tcW w:w="900" w:type="dxa"/>
            <w:vAlign w:val="bottom"/>
            <w:gridSpan w:val="2"/>
          </w:tcPr>
          <w:p>
            <w:pPr>
              <w:jc w:val="right"/>
              <w:ind w:right="366"/>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43"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40" w:lineRule="exact"/>
        <w:rPr>
          <w:sz w:val="20"/>
          <w:szCs w:val="20"/>
          <w:color w:val="auto"/>
        </w:rPr>
      </w:pPr>
    </w:p>
    <w:p>
      <w:pPr>
        <w:ind w:right="180" w:firstLine="571"/>
        <w:spacing w:after="0" w:line="255" w:lineRule="auto"/>
        <w:rPr>
          <w:sz w:val="20"/>
          <w:szCs w:val="20"/>
          <w:color w:val="auto"/>
        </w:rPr>
      </w:pPr>
      <w:r>
        <w:rPr>
          <w:rFonts w:ascii="Arial" w:cs="Arial" w:eastAsia="Arial" w:hAnsi="Arial"/>
          <w:sz w:val="18"/>
          <w:szCs w:val="18"/>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During the periods covered by this prospectus, we did not engage in interest rate hedging activities.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jc w:val="both"/>
        <w:ind w:firstLine="571"/>
        <w:spacing w:after="0" w:line="298" w:lineRule="auto"/>
        <w:rPr>
          <w:sz w:val="20"/>
          <w:szCs w:val="20"/>
          <w:color w:val="auto"/>
        </w:rPr>
      </w:pPr>
      <w:r>
        <w:rPr>
          <w:rFonts w:ascii="Arial" w:cs="Arial" w:eastAsia="Arial" w:hAnsi="Arial"/>
          <w:sz w:val="16"/>
          <w:szCs w:val="16"/>
          <w:color w:val="auto"/>
        </w:rPr>
        <w:t>Information about our senior securities is shown in the following table as of December 31, 2016 (unaudited) and September 30, 2016, 2015, 2014, 2013, 2012, 2011, 2010, 2009 and 2008 is from our Consolidated Financial Statements, which has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for more information.</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9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78"/>
              </w:rPr>
              <w:t>Asset</w:t>
            </w:r>
          </w:p>
        </w:tc>
        <w:tc>
          <w:tcPr>
            <w:tcW w:w="6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Market</w:t>
            </w:r>
          </w:p>
        </w:tc>
      </w:tr>
      <w:tr>
        <w:trPr>
          <w:trHeight w:val="134"/>
        </w:trPr>
        <w:tc>
          <w:tcPr>
            <w:tcW w:w="94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4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Total Amount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720"/>
              <w:spacing w:after="0" w:line="135" w:lineRule="exact"/>
              <w:rPr>
                <w:sz w:val="20"/>
                <w:szCs w:val="20"/>
                <w:color w:val="auto"/>
              </w:rPr>
            </w:pPr>
            <w:r>
              <w:rPr>
                <w:rFonts w:ascii="Arial" w:cs="Arial" w:eastAsia="Arial" w:hAnsi="Arial"/>
                <w:sz w:val="14"/>
                <w:szCs w:val="14"/>
                <w:b w:val="1"/>
                <w:bCs w:val="1"/>
                <w:color w:val="auto"/>
                <w:w w:val="84"/>
              </w:rPr>
              <w:t>Coverage</w:t>
            </w:r>
          </w:p>
        </w:tc>
        <w:tc>
          <w:tcPr>
            <w:tcW w:w="6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93"/>
              </w:rPr>
              <w:t>Value Per</w:t>
            </w:r>
          </w:p>
        </w:tc>
      </w:tr>
      <w:tr>
        <w:trPr>
          <w:trHeight w:val="182"/>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Class and Year</w:t>
            </w:r>
          </w:p>
        </w:tc>
        <w:tc>
          <w:tcPr>
            <w:tcW w:w="4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40" w:type="dxa"/>
            <w:vAlign w:val="bottom"/>
            <w:gridSpan w:val="3"/>
          </w:tcPr>
          <w:p>
            <w:pPr>
              <w:jc w:val="center"/>
              <w:ind w:right="300"/>
              <w:spacing w:after="0" w:line="162" w:lineRule="exact"/>
              <w:rPr>
                <w:sz w:val="20"/>
                <w:szCs w:val="20"/>
                <w:color w:val="auto"/>
              </w:rPr>
            </w:pPr>
            <w:r>
              <w:rPr>
                <w:rFonts w:ascii="Arial" w:cs="Arial" w:eastAsia="Arial" w:hAnsi="Arial"/>
                <w:sz w:val="12"/>
                <w:szCs w:val="12"/>
                <w:b w:val="1"/>
                <w:bCs w:val="1"/>
                <w:color w:val="auto"/>
              </w:rPr>
              <w:t>Outstanding</w:t>
            </w:r>
            <w:r>
              <w:rPr>
                <w:rFonts w:ascii="Arial" w:cs="Arial" w:eastAsia="Arial" w:hAnsi="Arial"/>
                <w:sz w:val="18"/>
                <w:szCs w:val="18"/>
                <w:b w:val="1"/>
                <w:bCs w:val="1"/>
                <w:color w:val="auto"/>
                <w:vertAlign w:val="superscript"/>
              </w:rPr>
              <w:t>(1)</w:t>
            </w:r>
          </w:p>
        </w:tc>
        <w:tc>
          <w:tcPr>
            <w:tcW w:w="300" w:type="dxa"/>
            <w:vAlign w:val="bottom"/>
          </w:tcPr>
          <w:p>
            <w:pPr>
              <w:spacing w:after="0"/>
              <w:rPr>
                <w:sz w:val="15"/>
                <w:szCs w:val="15"/>
                <w:color w:val="auto"/>
              </w:rPr>
            </w:pPr>
          </w:p>
        </w:tc>
        <w:tc>
          <w:tcPr>
            <w:tcW w:w="1420" w:type="dxa"/>
            <w:vAlign w:val="bottom"/>
            <w:gridSpan w:val="3"/>
          </w:tcPr>
          <w:p>
            <w:pPr>
              <w:spacing w:after="0" w:line="162" w:lineRule="exact"/>
              <w:rPr>
                <w:sz w:val="20"/>
                <w:szCs w:val="20"/>
                <w:color w:val="auto"/>
              </w:rPr>
            </w:pPr>
            <w:r>
              <w:rPr>
                <w:rFonts w:ascii="Arial" w:cs="Arial" w:eastAsia="Arial" w:hAnsi="Arial"/>
                <w:sz w:val="12"/>
                <w:szCs w:val="12"/>
                <w:b w:val="1"/>
                <w:bCs w:val="1"/>
                <w:color w:val="auto"/>
              </w:rPr>
              <w:t>per Unit</w:t>
            </w:r>
            <w:r>
              <w:rPr>
                <w:rFonts w:ascii="Arial" w:cs="Arial" w:eastAsia="Arial" w:hAnsi="Arial"/>
                <w:sz w:val="18"/>
                <w:szCs w:val="18"/>
                <w:b w:val="1"/>
                <w:bCs w:val="1"/>
                <w:color w:val="auto"/>
                <w:vertAlign w:val="superscript"/>
              </w:rPr>
              <w:t>(2),(3)</w:t>
            </w:r>
          </w:p>
        </w:tc>
        <w:tc>
          <w:tcPr>
            <w:tcW w:w="80" w:type="dxa"/>
            <w:vAlign w:val="bottom"/>
          </w:tcPr>
          <w:p>
            <w:pPr>
              <w:spacing w:after="0"/>
              <w:rPr>
                <w:sz w:val="15"/>
                <w:szCs w:val="15"/>
                <w:color w:val="auto"/>
              </w:rPr>
            </w:pPr>
          </w:p>
        </w:tc>
        <w:tc>
          <w:tcPr>
            <w:tcW w:w="540" w:type="dxa"/>
            <w:vAlign w:val="bottom"/>
            <w:gridSpan w:val="2"/>
          </w:tcPr>
          <w:p>
            <w:pPr>
              <w:jc w:val="center"/>
              <w:ind w:right="120"/>
              <w:spacing w:after="0" w:line="162" w:lineRule="exact"/>
              <w:rPr>
                <w:sz w:val="20"/>
                <w:szCs w:val="20"/>
                <w:color w:val="auto"/>
              </w:rPr>
            </w:pPr>
            <w:r>
              <w:rPr>
                <w:rFonts w:ascii="Arial" w:cs="Arial" w:eastAsia="Arial" w:hAnsi="Arial"/>
                <w:sz w:val="12"/>
                <w:szCs w:val="12"/>
                <w:b w:val="1"/>
                <w:bCs w:val="1"/>
                <w:color w:val="auto"/>
                <w:w w:val="99"/>
              </w:rPr>
              <w:t>Unit</w:t>
            </w:r>
            <w:r>
              <w:rPr>
                <w:rFonts w:ascii="Arial" w:cs="Arial" w:eastAsia="Arial" w:hAnsi="Arial"/>
                <w:sz w:val="18"/>
                <w:szCs w:val="18"/>
                <w:b w:val="1"/>
                <w:bCs w:val="1"/>
                <w:color w:val="auto"/>
                <w:w w:val="99"/>
                <w:vertAlign w:val="superscript"/>
              </w:rPr>
              <w:t>(4)</w:t>
            </w:r>
          </w:p>
        </w:tc>
      </w:tr>
      <w:tr>
        <w:trPr>
          <w:trHeight w:val="190"/>
        </w:trPr>
        <w:tc>
          <w:tcPr>
            <w:tcW w:w="52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Facility, 2019 Notes and 2025 Notes</w:t>
            </w:r>
          </w:p>
        </w:tc>
        <w:tc>
          <w:tcPr>
            <w:tcW w:w="16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Fiscal 2017 (As of December 31, 2016; unaudited)</w:t>
            </w:r>
          </w:p>
        </w:tc>
        <w:tc>
          <w:tcPr>
            <w:tcW w:w="190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469,369</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2,412</w:t>
            </w:r>
          </w:p>
        </w:tc>
        <w:tc>
          <w:tcPr>
            <w:tcW w:w="6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25.09</w:t>
            </w: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190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371,590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24.68</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190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458,114</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2,569</w:t>
            </w:r>
          </w:p>
        </w:tc>
        <w:tc>
          <w:tcPr>
            <w:tcW w:w="6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25.13</w:t>
            </w: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190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376,476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24.51</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190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216,750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4,261</w:t>
            </w:r>
          </w:p>
        </w:tc>
        <w:tc>
          <w:tcPr>
            <w:tcW w:w="6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24.79</w:t>
            </w: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p>
        </w:tc>
        <w:tc>
          <w:tcPr>
            <w:tcW w:w="190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145,000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190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240,900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2,937</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2010</w:t>
            </w:r>
            <w:r>
              <w:rPr>
                <w:rFonts w:ascii="Arial" w:cs="Arial" w:eastAsia="Arial" w:hAnsi="Arial"/>
                <w:sz w:val="11"/>
                <w:szCs w:val="11"/>
                <w:color w:val="auto"/>
              </w:rPr>
              <w:t>(5)</w:t>
            </w:r>
          </w:p>
        </w:tc>
        <w:tc>
          <w:tcPr>
            <w:tcW w:w="190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247,600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Fiscal 2009</w:t>
            </w:r>
          </w:p>
        </w:tc>
        <w:tc>
          <w:tcPr>
            <w:tcW w:w="190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225,100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2,713</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2008</w:t>
            </w:r>
          </w:p>
        </w:tc>
        <w:tc>
          <w:tcPr>
            <w:tcW w:w="190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202,000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7"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Total cost of each class of senior securities outstanding at the end of the period presented in thousands (000s).</w:t>
      </w:r>
    </w:p>
    <w:p>
      <w:pPr>
        <w:ind w:left="220" w:right="40" w:hanging="212"/>
        <w:spacing w:after="0" w:line="258" w:lineRule="auto"/>
        <w:tabs>
          <w:tab w:leader="none" w:pos="2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ind w:left="220" w:hanging="212"/>
        <w:spacing w:after="0"/>
        <w:tabs>
          <w:tab w:leader="none" w:pos="2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These amounts exclude SBIC LP’s SBA debentures from our total amount outstanding and asset coverage per unit computation pursuant to an exemptive relief letter provided by the SEC in June 2011.</w:t>
      </w:r>
    </w:p>
    <w:p>
      <w:pPr>
        <w:spacing w:after="0" w:line="10" w:lineRule="exact"/>
        <w:rPr>
          <w:rFonts w:ascii="Arial" w:cs="Arial" w:eastAsia="Arial" w:hAnsi="Arial"/>
          <w:sz w:val="12"/>
          <w:szCs w:val="12"/>
          <w:color w:val="auto"/>
        </w:rPr>
      </w:pPr>
    </w:p>
    <w:p>
      <w:pPr>
        <w:ind w:left="220" w:right="180" w:hanging="212"/>
        <w:spacing w:after="0" w:line="221" w:lineRule="auto"/>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average market value per unit is derived based on the monthly average closing price of the 2025 Notes trading on NYSE under the symbol “PNTA” since issuance, which were issued in increments of $25 per unit.</w:t>
      </w: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amount includes SBIC LP’s SBA debentures in the total amount outstanding and our asset coverage per unit computation.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For the three months ended December 31, 2016 and for the years ended September 30, 2016, 2015, 2014, 2013 and 2012, the ratios of earnings to fixed charges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For the Three Months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4"/>
                <w:szCs w:val="14"/>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Ended December 31,</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2"/>
              </w:rPr>
              <w:t>For the Years Ended September 30,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2014</w:t>
            </w:r>
          </w:p>
        </w:tc>
        <w:tc>
          <w:tcPr>
            <w:tcW w:w="88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w:t>
            </w:r>
            <w:r>
              <w:rPr>
                <w:rFonts w:ascii="Arial" w:cs="Arial" w:eastAsia="Arial" w:hAnsi="Arial"/>
                <w:sz w:val="11"/>
                <w:szCs w:val="11"/>
                <w:b w:val="1"/>
                <w:bCs w:val="1"/>
                <w:color w:val="auto"/>
              </w:rPr>
              <w:t>(1)</w:t>
            </w: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Net investment income (after taxes)</w:t>
            </w: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15,041</w:t>
            </w:r>
          </w:p>
        </w:tc>
        <w:tc>
          <w:tcPr>
            <w:tcW w:w="18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$ 70,615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82,258</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71,329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$ 66,998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57,069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Net realized gain (losses) gains on investments</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(22,195)</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(80,531)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30,111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30,235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w w:val="96"/>
              </w:rPr>
              <w:t>Add: Net change in unrealized appreciation (depreciation)</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31,203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28,653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(122,615)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9,420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7,092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19,082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Earnings</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24,049</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$ 18,737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110,983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$ 91,778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63,353</w:t>
            </w:r>
          </w:p>
        </w:tc>
        <w:tc>
          <w:tcPr>
            <w:tcW w:w="0" w:type="dxa"/>
            <w:vAlign w:val="bottom"/>
          </w:tcPr>
          <w:p>
            <w:pPr>
              <w:spacing w:after="0"/>
              <w:rPr>
                <w:sz w:val="1"/>
                <w:szCs w:val="1"/>
                <w:color w:val="auto"/>
              </w:rPr>
            </w:pPr>
          </w:p>
        </w:tc>
      </w:tr>
      <w:tr>
        <w:trPr>
          <w:trHeight w:val="222"/>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Fixed Charges</w:t>
            </w:r>
          </w:p>
        </w:tc>
        <w:tc>
          <w:tcPr>
            <w:tcW w:w="3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expenses on debt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6,736</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$ 27,601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20,261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$ 15,384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11,681</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Ratio of Total Earnings to Fixed Charges</w:t>
            </w: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0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Net Investment Income to Fixed Charges</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(1) Earnings include net realized and unrealized gains or losses. Net realized and unrealized gains or losses can vary substantially from period to period.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50"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prices for our common stock, the closing sale prices as a premium or (discount) to our NAV and quarterly distributions per share since October 1, 2014. On April 20, 2017, the last reported closing price of our common stock was $7.81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Premium</w:t>
            </w: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Premium</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(Discount)</w:t>
            </w: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(Discount)</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87"/>
              </w:rPr>
              <w:t>Closing Sales Price</w:t>
            </w:r>
          </w:p>
        </w:tc>
        <w:tc>
          <w:tcPr>
            <w:tcW w:w="34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of High Sales</w:t>
            </w: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of Low Sales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Borders>
              <w:bottom w:val="single" w:sz="8" w:color="auto"/>
            </w:tcBorders>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gridSpan w:val="2"/>
          </w:tcPr>
          <w:p>
            <w:pPr>
              <w:jc w:val="center"/>
              <w:ind w:right="480"/>
              <w:spacing w:after="0" w:line="114" w:lineRule="exact"/>
              <w:rPr>
                <w:sz w:val="20"/>
                <w:szCs w:val="20"/>
                <w:color w:val="auto"/>
              </w:rPr>
            </w:pPr>
            <w:r>
              <w:rPr>
                <w:rFonts w:ascii="Arial" w:cs="Arial" w:eastAsia="Arial" w:hAnsi="Arial"/>
                <w:sz w:val="12"/>
                <w:szCs w:val="12"/>
                <w:b w:val="1"/>
                <w:bCs w:val="1"/>
                <w:color w:val="auto"/>
                <w:w w:val="99"/>
              </w:rPr>
              <w:t>Price to</w:t>
            </w:r>
          </w:p>
        </w:tc>
        <w:tc>
          <w:tcPr>
            <w:tcW w:w="1200" w:type="dxa"/>
            <w:vAlign w:val="bottom"/>
            <w:gridSpan w:val="2"/>
          </w:tcPr>
          <w:p>
            <w:pPr>
              <w:jc w:val="center"/>
              <w:ind w:right="480"/>
              <w:spacing w:after="0" w:line="114" w:lineRule="exact"/>
              <w:rPr>
                <w:sz w:val="20"/>
                <w:szCs w:val="20"/>
                <w:color w:val="auto"/>
              </w:rPr>
            </w:pPr>
            <w:r>
              <w:rPr>
                <w:rFonts w:ascii="Arial" w:cs="Arial" w:eastAsia="Arial" w:hAnsi="Arial"/>
                <w:sz w:val="12"/>
                <w:szCs w:val="12"/>
                <w:b w:val="1"/>
                <w:bCs w:val="1"/>
                <w:color w:val="auto"/>
                <w:w w:val="99"/>
              </w:rPr>
              <w:t>Price to</w:t>
            </w:r>
          </w:p>
        </w:tc>
        <w:tc>
          <w:tcPr>
            <w:tcW w:w="820" w:type="dxa"/>
            <w:vAlign w:val="bottom"/>
            <w:gridSpan w:val="3"/>
          </w:tcPr>
          <w:p>
            <w:pPr>
              <w:jc w:val="right"/>
              <w:ind w:right="60"/>
              <w:spacing w:after="0" w:line="114" w:lineRule="exact"/>
              <w:rPr>
                <w:sz w:val="20"/>
                <w:szCs w:val="20"/>
                <w:color w:val="auto"/>
              </w:rPr>
            </w:pPr>
            <w:r>
              <w:rPr>
                <w:rFonts w:ascii="Arial" w:cs="Arial" w:eastAsia="Arial" w:hAnsi="Arial"/>
                <w:sz w:val="12"/>
                <w:szCs w:val="12"/>
                <w:b w:val="1"/>
                <w:bCs w:val="1"/>
                <w:color w:val="auto"/>
                <w:w w:val="99"/>
              </w:rPr>
              <w:t>Distributions</w:t>
            </w:r>
          </w:p>
        </w:tc>
        <w:tc>
          <w:tcPr>
            <w:tcW w:w="0" w:type="dxa"/>
            <w:vAlign w:val="bottom"/>
          </w:tcPr>
          <w:p>
            <w:pPr>
              <w:spacing w:after="0"/>
              <w:rPr>
                <w:sz w:val="1"/>
                <w:szCs w:val="1"/>
                <w:color w:val="auto"/>
              </w:rPr>
            </w:pPr>
          </w:p>
        </w:tc>
      </w:tr>
      <w:tr>
        <w:trPr>
          <w:trHeight w:val="156"/>
        </w:trPr>
        <w:tc>
          <w:tcPr>
            <w:tcW w:w="5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Period</w:t>
            </w:r>
          </w:p>
        </w:tc>
        <w:tc>
          <w:tcPr>
            <w:tcW w:w="680" w:type="dxa"/>
            <w:vAlign w:val="bottom"/>
            <w:gridSpan w:val="2"/>
          </w:tcPr>
          <w:p>
            <w:pPr>
              <w:jc w:val="center"/>
              <w:ind w:right="160"/>
              <w:spacing w:after="0" w:line="156" w:lineRule="exact"/>
              <w:rPr>
                <w:sz w:val="20"/>
                <w:szCs w:val="20"/>
                <w:color w:val="auto"/>
              </w:rPr>
            </w:pPr>
            <w:r>
              <w:rPr>
                <w:rFonts w:ascii="Arial" w:cs="Arial" w:eastAsia="Arial" w:hAnsi="Arial"/>
                <w:sz w:val="12"/>
                <w:szCs w:val="12"/>
                <w:b w:val="1"/>
                <w:bCs w:val="1"/>
                <w:color w:val="auto"/>
                <w:w w:val="99"/>
              </w:rPr>
              <w:t>NAV</w:t>
            </w:r>
            <w:r>
              <w:rPr>
                <w:rFonts w:ascii="Arial" w:cs="Arial" w:eastAsia="Arial" w:hAnsi="Arial"/>
                <w:sz w:val="18"/>
                <w:szCs w:val="18"/>
                <w:b w:val="1"/>
                <w:bCs w:val="1"/>
                <w:color w:val="auto"/>
                <w:w w:val="99"/>
                <w:vertAlign w:val="superscript"/>
              </w:rPr>
              <w:t>(1)</w:t>
            </w:r>
          </w:p>
        </w:tc>
        <w:tc>
          <w:tcPr>
            <w:tcW w:w="160" w:type="dxa"/>
            <w:vAlign w:val="bottom"/>
          </w:tcPr>
          <w:p>
            <w:pPr>
              <w:spacing w:after="0"/>
              <w:rPr>
                <w:sz w:val="13"/>
                <w:szCs w:val="13"/>
                <w:color w:val="auto"/>
              </w:rPr>
            </w:pPr>
          </w:p>
        </w:tc>
        <w:tc>
          <w:tcPr>
            <w:tcW w:w="82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High</w:t>
            </w: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Low</w:t>
            </w:r>
          </w:p>
        </w:tc>
        <w:tc>
          <w:tcPr>
            <w:tcW w:w="340" w:type="dxa"/>
            <w:vAlign w:val="bottom"/>
          </w:tcPr>
          <w:p>
            <w:pPr>
              <w:spacing w:after="0"/>
              <w:rPr>
                <w:sz w:val="13"/>
                <w:szCs w:val="13"/>
                <w:color w:val="auto"/>
              </w:rPr>
            </w:pPr>
          </w:p>
        </w:tc>
        <w:tc>
          <w:tcPr>
            <w:tcW w:w="1240" w:type="dxa"/>
            <w:vAlign w:val="bottom"/>
            <w:gridSpan w:val="2"/>
          </w:tcPr>
          <w:p>
            <w:pPr>
              <w:jc w:val="center"/>
              <w:ind w:right="480"/>
              <w:spacing w:after="0" w:line="156" w:lineRule="exact"/>
              <w:rPr>
                <w:sz w:val="20"/>
                <w:szCs w:val="20"/>
                <w:color w:val="auto"/>
              </w:rPr>
            </w:pPr>
            <w:r>
              <w:rPr>
                <w:rFonts w:ascii="Arial" w:cs="Arial" w:eastAsia="Arial" w:hAnsi="Arial"/>
                <w:sz w:val="12"/>
                <w:szCs w:val="12"/>
                <w:b w:val="1"/>
                <w:bCs w:val="1"/>
                <w:color w:val="auto"/>
                <w:w w:val="99"/>
              </w:rPr>
              <w:t>NAV</w:t>
            </w:r>
            <w:r>
              <w:rPr>
                <w:rFonts w:ascii="Arial" w:cs="Arial" w:eastAsia="Arial" w:hAnsi="Arial"/>
                <w:sz w:val="18"/>
                <w:szCs w:val="18"/>
                <w:b w:val="1"/>
                <w:bCs w:val="1"/>
                <w:color w:val="auto"/>
                <w:w w:val="99"/>
                <w:vertAlign w:val="superscript"/>
              </w:rPr>
              <w:t>(2)</w:t>
            </w:r>
          </w:p>
        </w:tc>
        <w:tc>
          <w:tcPr>
            <w:tcW w:w="1200" w:type="dxa"/>
            <w:vAlign w:val="bottom"/>
            <w:gridSpan w:val="2"/>
          </w:tcPr>
          <w:p>
            <w:pPr>
              <w:jc w:val="center"/>
              <w:ind w:right="480"/>
              <w:spacing w:after="0" w:line="156" w:lineRule="exact"/>
              <w:rPr>
                <w:sz w:val="20"/>
                <w:szCs w:val="20"/>
                <w:color w:val="auto"/>
              </w:rPr>
            </w:pPr>
            <w:r>
              <w:rPr>
                <w:rFonts w:ascii="Arial" w:cs="Arial" w:eastAsia="Arial" w:hAnsi="Arial"/>
                <w:sz w:val="12"/>
                <w:szCs w:val="12"/>
                <w:b w:val="1"/>
                <w:bCs w:val="1"/>
                <w:color w:val="auto"/>
                <w:w w:val="99"/>
              </w:rPr>
              <w:t>NAV</w:t>
            </w:r>
            <w:r>
              <w:rPr>
                <w:rFonts w:ascii="Arial" w:cs="Arial" w:eastAsia="Arial" w:hAnsi="Arial"/>
                <w:sz w:val="18"/>
                <w:szCs w:val="18"/>
                <w:b w:val="1"/>
                <w:bCs w:val="1"/>
                <w:color w:val="auto"/>
                <w:w w:val="99"/>
                <w:vertAlign w:val="superscript"/>
              </w:rPr>
              <w:t>(2)</w:t>
            </w:r>
          </w:p>
        </w:tc>
        <w:tc>
          <w:tcPr>
            <w:tcW w:w="100" w:type="dxa"/>
            <w:vAlign w:val="bottom"/>
          </w:tcPr>
          <w:p>
            <w:pPr>
              <w:spacing w:after="0"/>
              <w:rPr>
                <w:sz w:val="13"/>
                <w:szCs w:val="13"/>
                <w:color w:val="auto"/>
              </w:rPr>
            </w:pP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4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2017</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Second quarter (As of April 20, 2017)</w:t>
            </w:r>
          </w:p>
        </w:tc>
        <w:tc>
          <w:tcPr>
            <w:tcW w:w="680" w:type="dxa"/>
            <w:vAlign w:val="bottom"/>
            <w:gridSpan w:val="2"/>
          </w:tcPr>
          <w:p>
            <w:pPr>
              <w:jc w:val="center"/>
              <w:ind w:right="180"/>
              <w:spacing w:after="0"/>
              <w:rPr>
                <w:sz w:val="20"/>
                <w:szCs w:val="20"/>
                <w:color w:val="auto"/>
              </w:rPr>
            </w:pPr>
            <w:r>
              <w:rPr>
                <w:rFonts w:ascii="Arial" w:cs="Arial" w:eastAsia="Arial" w:hAnsi="Arial"/>
                <w:sz w:val="18"/>
                <w:szCs w:val="18"/>
                <w:color w:val="auto"/>
              </w:rPr>
              <w:t>$ N/A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$ 8.58</w:t>
            </w: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$7.71</w:t>
            </w:r>
          </w:p>
        </w:tc>
        <w:tc>
          <w:tcPr>
            <w:tcW w:w="3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5"/>
              </w:rPr>
              <w:t>N/A%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(22)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2016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(24)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8.94</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6.83</w:t>
            </w: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6.10</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(24)</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3"/>
              </w:rPr>
              <w:t>(32)</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(27)</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(44)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9.02</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7.31</w:t>
            </w: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6.00</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(19)</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3"/>
              </w:rPr>
              <w:t>(33)</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2015</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9.82</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8.69</w:t>
            </w: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6.37</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(12)</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3"/>
              </w:rPr>
              <w:t>(35)</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(13)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10.25</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9.77</w:t>
            </w: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8.17</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(5)</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3"/>
              </w:rPr>
              <w:t>(20)</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11.09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(14)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2" w:lineRule="exact"/>
        <w:rPr>
          <w:sz w:val="20"/>
          <w:szCs w:val="20"/>
          <w:color w:val="auto"/>
        </w:rPr>
      </w:pPr>
    </w:p>
    <w:p>
      <w:pPr>
        <w:ind w:left="220" w:right="80" w:hanging="212"/>
        <w:spacing w:after="0" w:line="230" w:lineRule="auto"/>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Calculated as of the respective high or low closing sales price less NAV per share, divided by the quarter-end NAV per share.</w:t>
      </w:r>
    </w:p>
    <w:p>
      <w:pPr>
        <w:spacing w:after="0" w:line="113"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Shares of BDCs may trade at a market price both above and below the NAV that is attributable to those shares. Our shares have traded above and below our NAV. Our shares closed on the NASDAQ Global Select Market at $7.66 and $7.52 as of December 31, 2016 and September 30, 2016, respectively. Our NAV per share was $9.11 and $9.05 as of December 31, 2016 and September 30, 2016,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March 31, 2017, we had 12 stockholders of record.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Our stockholders have in the past and may again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62" w:lineRule="exact"/>
        <w:rPr>
          <w:sz w:val="20"/>
          <w:szCs w:val="20"/>
          <w:color w:val="auto"/>
        </w:rPr>
      </w:pPr>
    </w:p>
    <w:p>
      <w:pPr>
        <w:ind w:left="660" w:right="220" w:hanging="314"/>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amount per share by which the offering price per share and the net proceeds per share are less than the most recently determined NAV per share;</w:t>
      </w:r>
    </w:p>
    <w:p>
      <w:pPr>
        <w:spacing w:after="0" w:line="113" w:lineRule="exact"/>
        <w:rPr>
          <w:rFonts w:ascii="Arial" w:cs="Arial" w:eastAsia="Arial" w:hAnsi="Arial"/>
          <w:sz w:val="16"/>
          <w:szCs w:val="16"/>
          <w:color w:val="auto"/>
        </w:rPr>
      </w:pPr>
    </w:p>
    <w:p>
      <w:pPr>
        <w:ind w:left="660" w:right="60" w:hanging="314"/>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660" w:right="160" w:hanging="314"/>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leverage available to us and our SBIC Funds, both before and after the offering and other borrowing terms; and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171" w:lineRule="exact"/>
        <w:rPr>
          <w:sz w:val="20"/>
          <w:szCs w:val="20"/>
          <w:color w:val="auto"/>
        </w:rPr>
      </w:pPr>
    </w:p>
    <w:p>
      <w:pPr>
        <w:ind w:right="240" w:firstLine="571"/>
        <w:spacing w:after="0" w:line="259"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40"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will not seek to sell shares under a prospectus supplement to the registration statement, or a post-effective amendment to the registration statement,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which this prospectus forms a part (the “current registration statement”) if the cumulative dilution to our NAV per share arising from offerings from the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current registration statement through and including any follow-on offering would exceed 15% based on the anticipated pricing of such follow-on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offering. This limit would be measured separately for each offering pursuant to the current registration statement by calculating the percentage dilution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accretion to aggregate NAV from that offering and then summing the anticipated percentage dilution from each subsequent offering. For example, if our most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recently determined NAV per share at the time of the first offering is $10.00, and we have 100 million shares outstanding, the sale of an additional 25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at net proceeds to us of $5.00 per share (a 50% discount) would produce dilution of 10.0%. If we subsequently determined that our NAV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to $11.00 on the then outstanding 125 million shares and contemplated an additional offering, we could, for example, propose to sell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31.25 million additional shares at a price that would be expected to yield net proceeds to us of $8.25 per share, resulting in incremental dilution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 before we would reach the aggregate 15% limit. If we file a new post-effective amendment, the threshold would reset.</w:t>
      </w:r>
    </w:p>
    <w:p>
      <w:pPr>
        <w:spacing w:after="0" w:line="16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1" w:lineRule="exact"/>
        <w:rPr>
          <w:sz w:val="20"/>
          <w:szCs w:val="20"/>
          <w:color w:val="auto"/>
        </w:rPr>
      </w:pPr>
    </w:p>
    <w:p>
      <w:pPr>
        <w:ind w:left="660" w:hanging="31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right="100" w:firstLine="571"/>
        <w:spacing w:after="0" w:line="290" w:lineRule="auto"/>
        <w:rPr>
          <w:sz w:val="20"/>
          <w:szCs w:val="20"/>
          <w:color w:val="auto"/>
        </w:rPr>
      </w:pPr>
      <w:r>
        <w:rPr>
          <w:rFonts w:ascii="Arial" w:cs="Arial" w:eastAsia="Arial" w:hAnsi="Arial"/>
          <w:sz w:val="16"/>
          <w:szCs w:val="16"/>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18" w:lineRule="exact"/>
        <w:rPr>
          <w:sz w:val="20"/>
          <w:szCs w:val="20"/>
          <w:color w:val="auto"/>
        </w:rPr>
      </w:pPr>
    </w:p>
    <w:p>
      <w:pPr>
        <w:jc w:val="both"/>
        <w:ind w:right="160" w:firstLine="571"/>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40" w:firstLine="571"/>
        <w:spacing w:after="0" w:line="254"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Price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Price per share to public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Net offering proceeds per share to issuer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Decrease to NAV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Total shares outstanding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NAV per share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Dilution to Stockholder 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Shares held by stockholder 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Percentage held by stockholder A</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 Values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NAV held by stockholder A</w:t>
      </w:r>
    </w:p>
    <w:p>
      <w:pPr>
        <w:spacing w:after="0" w:line="77" w:lineRule="exact"/>
        <w:rPr>
          <w:sz w:val="20"/>
          <w:szCs w:val="20"/>
          <w:color w:val="auto"/>
        </w:rPr>
      </w:pPr>
    </w:p>
    <w:p>
      <w:pPr>
        <w:ind w:left="440"/>
        <w:spacing w:after="0" w:line="268" w:lineRule="auto"/>
        <w:rPr>
          <w:sz w:val="20"/>
          <w:szCs w:val="20"/>
          <w:color w:val="auto"/>
        </w:rPr>
      </w:pPr>
      <w:r>
        <w:rPr>
          <w:rFonts w:ascii="Arial" w:cs="Arial" w:eastAsia="Arial" w:hAnsi="Arial"/>
          <w:sz w:val="18"/>
          <w:szCs w:val="18"/>
          <w:color w:val="auto"/>
        </w:rPr>
        <w:t>Total investment by stockholder A (assumed to be $10.00 per share)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Example 1</w:t>
            </w:r>
          </w:p>
        </w:tc>
        <w:tc>
          <w:tcPr>
            <w:tcW w:w="80" w:type="dxa"/>
            <w:vAlign w:val="bottom"/>
          </w:tcPr>
          <w:p>
            <w:pPr>
              <w:spacing w:after="0"/>
              <w:rPr>
                <w:sz w:val="14"/>
                <w:szCs w:val="14"/>
                <w:color w:val="auto"/>
              </w:rPr>
            </w:pPr>
          </w:p>
        </w:tc>
        <w:tc>
          <w:tcPr>
            <w:tcW w:w="17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6"/>
              </w:rPr>
              <w:t>Example 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Example 3</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5% Offering</w:t>
            </w:r>
          </w:p>
        </w:tc>
        <w:tc>
          <w:tcPr>
            <w:tcW w:w="80" w:type="dxa"/>
            <w:vAlign w:val="bottom"/>
          </w:tcPr>
          <w:p>
            <w:pPr>
              <w:spacing w:after="0"/>
              <w:rPr>
                <w:sz w:val="12"/>
                <w:szCs w:val="12"/>
                <w:color w:val="auto"/>
              </w:rPr>
            </w:pPr>
          </w:p>
        </w:tc>
        <w:tc>
          <w:tcPr>
            <w:tcW w:w="17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7"/>
              </w:rPr>
              <w:t>Prior to Sale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at 5% Discount</w:t>
            </w:r>
          </w:p>
        </w:tc>
        <w:tc>
          <w:tcPr>
            <w:tcW w:w="80" w:type="dxa"/>
            <w:vAlign w:val="bottom"/>
          </w:tcPr>
          <w:p>
            <w:pPr>
              <w:spacing w:after="0"/>
              <w:rPr>
                <w:sz w:val="14"/>
                <w:szCs w:val="14"/>
                <w:color w:val="auto"/>
              </w:rPr>
            </w:pPr>
          </w:p>
        </w:tc>
        <w:tc>
          <w:tcPr>
            <w:tcW w:w="17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at 10% Discount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97"/>
              </w:rPr>
              <w:t>Following</w:t>
            </w:r>
          </w:p>
        </w:tc>
        <w:tc>
          <w:tcPr>
            <w:tcW w:w="640" w:type="dxa"/>
            <w:vAlign w:val="bottom"/>
            <w:tcBorders>
              <w:top w:val="single" w:sz="8" w:color="auto"/>
            </w:tcBorders>
          </w:tcPr>
          <w:p>
            <w:pPr>
              <w:jc w:val="right"/>
              <w:ind w:right="156"/>
              <w:spacing w:after="0" w:line="12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rPr>
              <w:t>Following</w:t>
            </w:r>
          </w:p>
        </w:tc>
        <w:tc>
          <w:tcPr>
            <w:tcW w:w="660" w:type="dxa"/>
            <w:vAlign w:val="bottom"/>
            <w:tcBorders>
              <w:top w:val="single" w:sz="8" w:color="auto"/>
            </w:tcBorders>
          </w:tcPr>
          <w:p>
            <w:pPr>
              <w:jc w:val="right"/>
              <w:ind w:right="176"/>
              <w:spacing w:after="0" w:line="12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7"/>
              </w:rPr>
              <w:t>Following</w:t>
            </w:r>
          </w:p>
        </w:tc>
        <w:tc>
          <w:tcPr>
            <w:tcW w:w="70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Below NAV</w:t>
            </w:r>
          </w:p>
        </w:tc>
        <w:tc>
          <w:tcPr>
            <w:tcW w:w="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Sale</w:t>
            </w:r>
          </w:p>
        </w:tc>
        <w:tc>
          <w:tcPr>
            <w:tcW w:w="1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Sale</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Sale</w:t>
            </w:r>
          </w:p>
        </w:tc>
        <w:tc>
          <w:tcPr>
            <w:tcW w:w="180" w:type="dxa"/>
            <w:vAlign w:val="bottom"/>
          </w:tcPr>
          <w:p>
            <w:pPr>
              <w:spacing w:after="0"/>
              <w:rPr>
                <w:sz w:val="14"/>
                <w:szCs w:val="14"/>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545"/>
        </w:trPr>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4"/>
                <w:szCs w:val="24"/>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9.47</w:t>
            </w:r>
          </w:p>
        </w:tc>
        <w:tc>
          <w:tcPr>
            <w:tcW w:w="160" w:type="dxa"/>
            <w:vAlign w:val="bottom"/>
          </w:tcPr>
          <w:p>
            <w:pPr>
              <w:spacing w:after="0"/>
              <w:rPr>
                <w:sz w:val="24"/>
                <w:szCs w:val="24"/>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7.89</w:t>
            </w:r>
          </w:p>
        </w:tc>
        <w:tc>
          <w:tcPr>
            <w:tcW w:w="180" w:type="dxa"/>
            <w:vAlign w:val="bottom"/>
          </w:tcPr>
          <w:p>
            <w:pPr>
              <w:spacing w:after="0"/>
              <w:rPr>
                <w:sz w:val="24"/>
                <w:szCs w:val="24"/>
                <w:color w:val="auto"/>
              </w:rPr>
            </w:pPr>
          </w:p>
        </w:tc>
        <w:tc>
          <w:tcPr>
            <w:tcW w:w="70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9.50</w:t>
            </w:r>
          </w:p>
        </w:tc>
        <w:tc>
          <w:tcPr>
            <w:tcW w:w="140" w:type="dxa"/>
            <w:vAlign w:val="bottom"/>
          </w:tcPr>
          <w:p>
            <w:pPr>
              <w:spacing w:after="0"/>
              <w:rPr>
                <w:sz w:val="24"/>
                <w:szCs w:val="24"/>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9.00</w:t>
            </w:r>
          </w:p>
        </w:tc>
        <w:tc>
          <w:tcPr>
            <w:tcW w:w="160" w:type="dxa"/>
            <w:vAlign w:val="bottom"/>
          </w:tcPr>
          <w:p>
            <w:pPr>
              <w:spacing w:after="0"/>
              <w:rPr>
                <w:sz w:val="24"/>
                <w:szCs w:val="24"/>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24"/>
                <w:szCs w:val="24"/>
                <w:color w:val="auto"/>
              </w:rPr>
            </w:pPr>
          </w:p>
        </w:tc>
        <w:tc>
          <w:tcPr>
            <w:tcW w:w="70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7"/>
        </w:trPr>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1,000,000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8"/>
                <w:szCs w:val="18"/>
                <w:color w:val="auto"/>
                <w:w w:val="84"/>
              </w:rPr>
              <w:t>1,050,000</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5.00 %</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18"/>
                <w:szCs w:val="18"/>
                <w:color w:val="auto"/>
                <w:w w:val="87"/>
              </w:rPr>
              <w:t>1,100,000</w:t>
            </w:r>
          </w:p>
        </w:tc>
        <w:tc>
          <w:tcPr>
            <w:tcW w:w="16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10.00 %</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18"/>
                <w:szCs w:val="18"/>
                <w:color w:val="auto"/>
                <w:w w:val="87"/>
              </w:rPr>
              <w:t>1,250,000</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25.00 %</w:t>
            </w:r>
          </w:p>
        </w:tc>
        <w:tc>
          <w:tcPr>
            <w:tcW w:w="0" w:type="dxa"/>
            <w:vAlign w:val="bottom"/>
          </w:tcPr>
          <w:p>
            <w:pPr>
              <w:spacing w:after="0"/>
              <w:rPr>
                <w:sz w:val="1"/>
                <w:szCs w:val="1"/>
                <w:color w:val="auto"/>
              </w:rPr>
            </w:pPr>
          </w:p>
        </w:tc>
      </w:tr>
      <w:tr>
        <w:trPr>
          <w:trHeight w:val="284"/>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9.98</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(0.20)%</w:t>
            </w:r>
          </w:p>
        </w:tc>
        <w:tc>
          <w:tcPr>
            <w:tcW w:w="1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(0.90)%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9.50</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567"/>
        </w:trPr>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24"/>
                <w:szCs w:val="24"/>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24"/>
                <w:szCs w:val="24"/>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4"/>
                <w:szCs w:val="24"/>
                <w:color w:val="auto"/>
              </w:rPr>
            </w:pPr>
          </w:p>
        </w:tc>
        <w:tc>
          <w:tcPr>
            <w:tcW w:w="70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100" w:type="dxa"/>
            <w:vAlign w:val="bottom"/>
          </w:tcPr>
          <w:p>
            <w:pPr>
              <w:spacing w:after="0"/>
              <w:rPr>
                <w:sz w:val="24"/>
                <w:szCs w:val="24"/>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0.95%</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(5.00)%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0.91%</w:t>
            </w:r>
          </w:p>
        </w:tc>
        <w:tc>
          <w:tcPr>
            <w:tcW w:w="16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(9.00)%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0.80%</w:t>
            </w:r>
          </w:p>
        </w:tc>
        <w:tc>
          <w:tcPr>
            <w:tcW w:w="700" w:type="dxa"/>
            <w:vAlign w:val="bottom"/>
          </w:tcPr>
          <w:p>
            <w:pPr>
              <w:jc w:val="right"/>
              <w:spacing w:after="0"/>
              <w:rPr>
                <w:sz w:val="20"/>
                <w:szCs w:val="20"/>
                <w:color w:val="auto"/>
              </w:rPr>
            </w:pPr>
            <w:r>
              <w:rPr>
                <w:rFonts w:ascii="Arial" w:cs="Arial" w:eastAsia="Arial" w:hAnsi="Arial"/>
                <w:sz w:val="18"/>
                <w:szCs w:val="18"/>
                <w:color w:val="auto"/>
                <w:w w:val="93"/>
              </w:rPr>
              <w:t>(20.00)%</w:t>
            </w:r>
          </w:p>
        </w:tc>
        <w:tc>
          <w:tcPr>
            <w:tcW w:w="0" w:type="dxa"/>
            <w:vAlign w:val="bottom"/>
          </w:tcPr>
          <w:p>
            <w:pPr>
              <w:spacing w:after="0"/>
              <w:rPr>
                <w:sz w:val="1"/>
                <w:szCs w:val="1"/>
                <w:color w:val="auto"/>
              </w:rPr>
            </w:pPr>
          </w:p>
        </w:tc>
      </w:tr>
      <w:tr>
        <w:trPr>
          <w:trHeight w:val="567"/>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99,800</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(0.20)%</w:t>
            </w:r>
          </w:p>
        </w:tc>
        <w:tc>
          <w:tcPr>
            <w:tcW w:w="1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99,100</w:t>
            </w:r>
          </w:p>
        </w:tc>
        <w:tc>
          <w:tcPr>
            <w:tcW w:w="16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(0.90)%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95,000</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500"/>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100,000</w:t>
            </w:r>
          </w:p>
        </w:tc>
        <w:tc>
          <w:tcPr>
            <w:tcW w:w="140" w:type="dxa"/>
            <w:vAlign w:val="bottom"/>
          </w:tcPr>
          <w:p>
            <w:pPr>
              <w:spacing w:after="0"/>
              <w:rPr>
                <w:sz w:val="24"/>
                <w:szCs w:val="24"/>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24"/>
                <w:szCs w:val="24"/>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24"/>
                <w:szCs w:val="24"/>
                <w:color w:val="auto"/>
              </w:rPr>
            </w:pPr>
          </w:p>
        </w:tc>
        <w:tc>
          <w:tcPr>
            <w:tcW w:w="70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50</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-2527935</wp:posOffset>
            </wp:positionV>
            <wp:extent cx="7246620" cy="180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-2167890</wp:posOffset>
            </wp:positionV>
            <wp:extent cx="7246620" cy="1803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-1807845</wp:posOffset>
            </wp:positionV>
            <wp:extent cx="7246620" cy="180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-1447165</wp:posOffset>
            </wp:positionV>
            <wp:extent cx="7246620" cy="1803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-1087120</wp:posOffset>
            </wp:positionV>
            <wp:extent cx="7246620" cy="1803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-727075</wp:posOffset>
            </wp:positionV>
            <wp:extent cx="7246620" cy="180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2">
            <w:col w:w="4500" w:space="200"/>
            <w:col w:w="6660"/>
          </w:cols>
          <w:pgMar w:left="240" w:top="459" w:right="299" w:bottom="1440" w:gutter="0" w:footer="0" w:header="0"/>
          <w:type w:val="continuous"/>
        </w:sectPr>
      </w:pPr>
    </w:p>
    <w:bookmarkStart w:id="55" w:name="page56"/>
    <w:bookmarkEnd w:id="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Total dilution to stockholder A (total NAV less total investment)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Amounts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NAV per share held by stockholder A</w:t>
      </w:r>
    </w:p>
    <w:p>
      <w:pPr>
        <w:spacing w:after="0" w:line="77" w:lineRule="exact"/>
        <w:rPr>
          <w:sz w:val="20"/>
          <w:szCs w:val="20"/>
          <w:color w:val="auto"/>
        </w:rPr>
      </w:pPr>
    </w:p>
    <w:p>
      <w:pPr>
        <w:ind w:left="440" w:right="360"/>
        <w:spacing w:after="0" w:line="325" w:lineRule="auto"/>
        <w:rPr>
          <w:sz w:val="20"/>
          <w:szCs w:val="20"/>
          <w:color w:val="auto"/>
        </w:rPr>
      </w:pPr>
      <w:r>
        <w:rPr>
          <w:rFonts w:ascii="Arial" w:cs="Arial" w:eastAsia="Arial" w:hAnsi="Arial"/>
          <w:sz w:val="16"/>
          <w:szCs w:val="16"/>
          <w:color w:val="auto"/>
        </w:rPr>
        <w:t>Investment per share held by stockholder A (assumed to be $10.00 per share on shares held prior to sale)</w:t>
      </w:r>
    </w:p>
    <w:p>
      <w:pPr>
        <w:spacing w:after="0" w:line="1" w:lineRule="exact"/>
        <w:rPr>
          <w:sz w:val="20"/>
          <w:szCs w:val="20"/>
          <w:color w:val="auto"/>
        </w:rPr>
      </w:pPr>
    </w:p>
    <w:p>
      <w:pPr>
        <w:ind w:left="440" w:right="200"/>
        <w:spacing w:after="0" w:line="268" w:lineRule="auto"/>
        <w:rPr>
          <w:sz w:val="20"/>
          <w:szCs w:val="20"/>
          <w:color w:val="auto"/>
        </w:rPr>
      </w:pPr>
      <w:r>
        <w:rPr>
          <w:rFonts w:ascii="Arial" w:cs="Arial" w:eastAsia="Arial" w:hAnsi="Arial"/>
          <w:sz w:val="18"/>
          <w:szCs w:val="18"/>
          <w:color w:val="auto"/>
        </w:rPr>
        <w:t>Dilution per share held by stockholder A (NAV per share less investment per share)</w:t>
      </w:r>
    </w:p>
    <w:p>
      <w:pPr>
        <w:spacing w:after="0" w:line="37" w:lineRule="exact"/>
        <w:rPr>
          <w:sz w:val="20"/>
          <w:szCs w:val="20"/>
          <w:color w:val="auto"/>
        </w:rPr>
      </w:pPr>
    </w:p>
    <w:p>
      <w:pPr>
        <w:ind w:left="440" w:right="40"/>
        <w:spacing w:after="0" w:line="268" w:lineRule="auto"/>
        <w:rPr>
          <w:sz w:val="20"/>
          <w:szCs w:val="20"/>
          <w:color w:val="auto"/>
        </w:rPr>
      </w:pPr>
      <w:r>
        <w:rPr>
          <w:rFonts w:ascii="Arial" w:cs="Arial" w:eastAsia="Arial" w:hAnsi="Arial"/>
          <w:sz w:val="18"/>
          <w:szCs w:val="18"/>
          <w:color w:val="auto"/>
        </w:rPr>
        <w:t>Percentage dilution to stockholder A (dilution per share divided by investment per share)</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Impact on Existing Stockholders who Participate in the Offering</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6"/>
              </w:rPr>
              <w:t>Example 1</w:t>
            </w:r>
          </w:p>
        </w:tc>
        <w:tc>
          <w:tcPr>
            <w:tcW w:w="120" w:type="dxa"/>
            <w:vAlign w:val="bottom"/>
          </w:tcPr>
          <w:p>
            <w:pPr>
              <w:spacing w:after="0"/>
              <w:rPr>
                <w:sz w:val="14"/>
                <w:szCs w:val="14"/>
                <w:color w:val="auto"/>
              </w:rPr>
            </w:pPr>
          </w:p>
        </w:tc>
        <w:tc>
          <w:tcPr>
            <w:tcW w:w="1520" w:type="dxa"/>
            <w:vAlign w:val="bottom"/>
            <w:gridSpan w:val="3"/>
          </w:tcPr>
          <w:p>
            <w:pPr>
              <w:jc w:val="center"/>
              <w:ind w:right="18"/>
              <w:spacing w:after="0"/>
              <w:rPr>
                <w:sz w:val="20"/>
                <w:szCs w:val="20"/>
                <w:color w:val="auto"/>
              </w:rPr>
            </w:pPr>
            <w:r>
              <w:rPr>
                <w:rFonts w:ascii="Arial" w:cs="Arial" w:eastAsia="Arial" w:hAnsi="Arial"/>
                <w:sz w:val="14"/>
                <w:szCs w:val="14"/>
                <w:b w:val="1"/>
                <w:bCs w:val="1"/>
                <w:color w:val="auto"/>
                <w:w w:val="89"/>
              </w:rPr>
              <w:t>Example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18"/>
              <w:spacing w:after="0"/>
              <w:rPr>
                <w:sz w:val="20"/>
                <w:szCs w:val="20"/>
                <w:color w:val="auto"/>
              </w:rPr>
            </w:pPr>
            <w:r>
              <w:rPr>
                <w:rFonts w:ascii="Arial" w:cs="Arial" w:eastAsia="Arial" w:hAnsi="Arial"/>
                <w:sz w:val="14"/>
                <w:szCs w:val="14"/>
                <w:b w:val="1"/>
                <w:bCs w:val="1"/>
                <w:color w:val="auto"/>
                <w:w w:val="89"/>
              </w:rPr>
              <w:t>Example 3</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20" w:type="dxa"/>
            <w:vAlign w:val="bottom"/>
          </w:tcPr>
          <w:p>
            <w:pPr>
              <w:spacing w:after="0"/>
              <w:rPr>
                <w:sz w:val="12"/>
                <w:szCs w:val="12"/>
                <w:color w:val="auto"/>
              </w:rPr>
            </w:pPr>
          </w:p>
        </w:tc>
        <w:tc>
          <w:tcPr>
            <w:tcW w:w="1520" w:type="dxa"/>
            <w:vAlign w:val="bottom"/>
            <w:gridSpan w:val="3"/>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Prior to Sale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at 5% Discount</w:t>
            </w:r>
          </w:p>
        </w:tc>
        <w:tc>
          <w:tcPr>
            <w:tcW w:w="120" w:type="dxa"/>
            <w:vAlign w:val="bottom"/>
          </w:tcPr>
          <w:p>
            <w:pPr>
              <w:spacing w:after="0"/>
              <w:rPr>
                <w:sz w:val="14"/>
                <w:szCs w:val="14"/>
                <w:color w:val="auto"/>
              </w:rPr>
            </w:pPr>
          </w:p>
        </w:tc>
        <w:tc>
          <w:tcPr>
            <w:tcW w:w="1520" w:type="dxa"/>
            <w:vAlign w:val="bottom"/>
            <w:gridSpan w:val="3"/>
          </w:tcPr>
          <w:p>
            <w:pPr>
              <w:jc w:val="center"/>
              <w:ind w:right="38"/>
              <w:spacing w:after="0"/>
              <w:rPr>
                <w:sz w:val="20"/>
                <w:szCs w:val="20"/>
                <w:color w:val="auto"/>
              </w:rPr>
            </w:pPr>
            <w:r>
              <w:rPr>
                <w:rFonts w:ascii="Arial" w:cs="Arial" w:eastAsia="Arial" w:hAnsi="Arial"/>
                <w:sz w:val="14"/>
                <w:szCs w:val="14"/>
                <w:b w:val="1"/>
                <w:bCs w:val="1"/>
                <w:color w:val="auto"/>
                <w:w w:val="88"/>
              </w:rPr>
              <w:t>at 10% Discount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38"/>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8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Following</w:t>
            </w:r>
          </w:p>
        </w:tc>
        <w:tc>
          <w:tcPr>
            <w:tcW w:w="640" w:type="dxa"/>
            <w:vAlign w:val="bottom"/>
            <w:tcBorders>
              <w:top w:val="single" w:sz="8" w:color="auto"/>
            </w:tcBorders>
          </w:tcPr>
          <w:p>
            <w:pPr>
              <w:jc w:val="right"/>
              <w:ind w:right="158"/>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Following</w:t>
            </w:r>
          </w:p>
        </w:tc>
        <w:tc>
          <w:tcPr>
            <w:tcW w:w="640" w:type="dxa"/>
            <w:vAlign w:val="bottom"/>
            <w:tcBorders>
              <w:top w:val="single" w:sz="8" w:color="auto"/>
            </w:tcBorders>
          </w:tcPr>
          <w:p>
            <w:pPr>
              <w:ind w:left="260"/>
              <w:spacing w:after="0" w:line="12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Following</w:t>
            </w:r>
          </w:p>
        </w:tc>
        <w:tc>
          <w:tcPr>
            <w:tcW w:w="620" w:type="dxa"/>
            <w:vAlign w:val="bottom"/>
            <w:tcBorders>
              <w:top w:val="single" w:sz="8" w:color="auto"/>
            </w:tcBorders>
          </w:tcPr>
          <w:p>
            <w:pPr>
              <w:ind w:left="240"/>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8"/>
              </w:rPr>
              <w:t>Below NAV</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Sale</w:t>
            </w:r>
          </w:p>
        </w:tc>
        <w:tc>
          <w:tcPr>
            <w:tcW w:w="1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Sale</w:t>
            </w:r>
          </w:p>
        </w:tc>
        <w:tc>
          <w:tcPr>
            <w:tcW w:w="140" w:type="dxa"/>
            <w:vAlign w:val="bottom"/>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Sale</w:t>
            </w:r>
          </w:p>
        </w:tc>
        <w:tc>
          <w:tcPr>
            <w:tcW w:w="160" w:type="dxa"/>
            <w:vAlign w:val="bottom"/>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2"/>
        </w:trPr>
        <w:tc>
          <w:tcPr>
            <w:tcW w:w="80" w:type="dxa"/>
            <w:vAlign w:val="bottom"/>
          </w:tcPr>
          <w:p>
            <w:pPr>
              <w:spacing w:after="0"/>
              <w:rPr>
                <w:sz w:val="22"/>
                <w:szCs w:val="22"/>
                <w:color w:val="auto"/>
              </w:rPr>
            </w:pPr>
          </w:p>
        </w:tc>
        <w:tc>
          <w:tcPr>
            <w:tcW w:w="78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2"/>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22"/>
                <w:szCs w:val="22"/>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2"/>
              <w:spacing w:after="0"/>
              <w:rPr>
                <w:sz w:val="20"/>
                <w:szCs w:val="20"/>
                <w:color w:val="auto"/>
              </w:rPr>
            </w:pPr>
            <w:r>
              <w:rPr>
                <w:rFonts w:ascii="Arial" w:cs="Arial" w:eastAsia="Arial" w:hAnsi="Arial"/>
                <w:sz w:val="18"/>
                <w:szCs w:val="18"/>
                <w:color w:val="auto"/>
              </w:rPr>
              <w:t>(900)</w:t>
            </w:r>
          </w:p>
        </w:tc>
        <w:tc>
          <w:tcPr>
            <w:tcW w:w="140" w:type="dxa"/>
            <w:vAlign w:val="bottom"/>
          </w:tcPr>
          <w:p>
            <w:pPr>
              <w:spacing w:after="0"/>
              <w:rPr>
                <w:sz w:val="22"/>
                <w:szCs w:val="22"/>
                <w:color w:val="auto"/>
              </w:rPr>
            </w:pPr>
          </w:p>
        </w:tc>
        <w:tc>
          <w:tcPr>
            <w:tcW w:w="640" w:type="dxa"/>
            <w:vAlign w:val="bottom"/>
          </w:tcPr>
          <w:p>
            <w:pPr>
              <w:ind w:lef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22"/>
                <w:szCs w:val="22"/>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7"/>
        </w:trPr>
        <w:tc>
          <w:tcPr>
            <w:tcW w:w="80" w:type="dxa"/>
            <w:vAlign w:val="bottom"/>
          </w:tcPr>
          <w:p>
            <w:pPr>
              <w:spacing w:after="0"/>
              <w:rPr>
                <w:sz w:val="24"/>
                <w:szCs w:val="24"/>
                <w:color w:val="auto"/>
              </w:rPr>
            </w:pPr>
          </w:p>
        </w:tc>
        <w:tc>
          <w:tcPr>
            <w:tcW w:w="78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62"/>
              <w:spacing w:after="0"/>
              <w:rPr>
                <w:sz w:val="20"/>
                <w:szCs w:val="20"/>
                <w:color w:val="auto"/>
              </w:rPr>
            </w:pPr>
            <w:r>
              <w:rPr>
                <w:rFonts w:ascii="Arial" w:cs="Arial" w:eastAsia="Arial" w:hAnsi="Arial"/>
                <w:sz w:val="18"/>
                <w:szCs w:val="18"/>
                <w:color w:val="auto"/>
              </w:rPr>
              <w:t>9.98</w:t>
            </w:r>
          </w:p>
        </w:tc>
        <w:tc>
          <w:tcPr>
            <w:tcW w:w="140" w:type="dxa"/>
            <w:vAlign w:val="bottom"/>
          </w:tcPr>
          <w:p>
            <w:pPr>
              <w:spacing w:after="0"/>
              <w:rPr>
                <w:sz w:val="24"/>
                <w:szCs w:val="24"/>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62"/>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4"/>
                <w:szCs w:val="24"/>
                <w:color w:val="auto"/>
              </w:rPr>
            </w:pPr>
          </w:p>
        </w:tc>
        <w:tc>
          <w:tcPr>
            <w:tcW w:w="640" w:type="dxa"/>
            <w:vAlign w:val="bottom"/>
          </w:tcPr>
          <w:p>
            <w:pPr>
              <w:ind w:lef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42"/>
              <w:spacing w:after="0"/>
              <w:rPr>
                <w:sz w:val="20"/>
                <w:szCs w:val="20"/>
                <w:color w:val="auto"/>
              </w:rPr>
            </w:pPr>
            <w:r>
              <w:rPr>
                <w:rFonts w:ascii="Arial" w:cs="Arial" w:eastAsia="Arial" w:hAnsi="Arial"/>
                <w:sz w:val="18"/>
                <w:szCs w:val="18"/>
                <w:color w:val="auto"/>
              </w:rPr>
              <w:t>9.50</w:t>
            </w:r>
          </w:p>
        </w:tc>
        <w:tc>
          <w:tcPr>
            <w:tcW w:w="16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56"/>
              <w:spacing w:after="0"/>
              <w:rPr>
                <w:sz w:val="20"/>
                <w:szCs w:val="20"/>
                <w:color w:val="auto"/>
              </w:rPr>
            </w:pPr>
            <w:r>
              <w:rPr>
                <w:rFonts w:ascii="Arial" w:cs="Arial" w:eastAsia="Arial" w:hAnsi="Arial"/>
                <w:sz w:val="18"/>
                <w:szCs w:val="18"/>
                <w:color w:val="auto"/>
              </w:rPr>
              <w:t>10.00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62"/>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4"/>
                <w:szCs w:val="24"/>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62"/>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4"/>
                <w:szCs w:val="24"/>
                <w:color w:val="auto"/>
              </w:rPr>
            </w:pPr>
          </w:p>
        </w:tc>
        <w:tc>
          <w:tcPr>
            <w:tcW w:w="640" w:type="dxa"/>
            <w:vAlign w:val="bottom"/>
          </w:tcPr>
          <w:p>
            <w:pPr>
              <w:ind w:lef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42"/>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80" w:type="dxa"/>
            <w:vAlign w:val="bottom"/>
          </w:tcPr>
          <w:p>
            <w:pPr>
              <w:spacing w:after="0"/>
              <w:rPr>
                <w:sz w:val="24"/>
                <w:szCs w:val="24"/>
                <w:color w:val="auto"/>
              </w:rPr>
            </w:pPr>
          </w:p>
        </w:tc>
        <w:tc>
          <w:tcPr>
            <w:tcW w:w="78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2"/>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24"/>
                <w:szCs w:val="24"/>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2"/>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24"/>
                <w:szCs w:val="24"/>
                <w:color w:val="auto"/>
              </w:rPr>
            </w:pPr>
          </w:p>
        </w:tc>
        <w:tc>
          <w:tcPr>
            <w:tcW w:w="640" w:type="dxa"/>
            <w:vAlign w:val="bottom"/>
          </w:tcPr>
          <w:p>
            <w:pPr>
              <w:ind w:lef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
              <w:spacing w:after="0"/>
              <w:rPr>
                <w:sz w:val="20"/>
                <w:szCs w:val="20"/>
                <w:color w:val="auto"/>
              </w:rPr>
            </w:pPr>
            <w:r>
              <w:rPr>
                <w:rFonts w:ascii="Arial" w:cs="Arial" w:eastAsia="Arial" w:hAnsi="Arial"/>
                <w:sz w:val="18"/>
                <w:szCs w:val="18"/>
                <w:color w:val="auto"/>
              </w:rPr>
              <w:t>(0.50)</w:t>
            </w:r>
          </w:p>
        </w:tc>
        <w:tc>
          <w:tcPr>
            <w:tcW w:w="16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80" w:type="dxa"/>
            <w:vAlign w:val="bottom"/>
          </w:tcPr>
          <w:p>
            <w:pPr>
              <w:spacing w:after="0"/>
              <w:rPr>
                <w:sz w:val="24"/>
                <w:szCs w:val="24"/>
                <w:color w:val="auto"/>
              </w:rPr>
            </w:pPr>
          </w:p>
        </w:tc>
        <w:tc>
          <w:tcPr>
            <w:tcW w:w="78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(0.20)%</w:t>
            </w:r>
          </w:p>
        </w:tc>
        <w:tc>
          <w:tcPr>
            <w:tcW w:w="12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ind w:left="80"/>
              <w:spacing w:after="0"/>
              <w:rPr>
                <w:sz w:val="20"/>
                <w:szCs w:val="20"/>
                <w:color w:val="auto"/>
              </w:rPr>
            </w:pPr>
            <w:r>
              <w:rPr>
                <w:rFonts w:ascii="Arial" w:cs="Arial" w:eastAsia="Arial" w:hAnsi="Arial"/>
                <w:sz w:val="18"/>
                <w:szCs w:val="18"/>
                <w:color w:val="auto"/>
                <w:w w:val="85"/>
              </w:rPr>
              <w:t>(0.90)%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ind w:left="60"/>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-1490345</wp:posOffset>
            </wp:positionV>
            <wp:extent cx="7246620" cy="180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-1130300</wp:posOffset>
            </wp:positionV>
            <wp:extent cx="7246620" cy="1803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-632460</wp:posOffset>
            </wp:positionV>
            <wp:extent cx="7246620" cy="3175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533" w:lineRule="exact"/>
        <w:rPr>
          <w:sz w:val="20"/>
          <w:szCs w:val="20"/>
          <w:color w:val="auto"/>
        </w:rPr>
      </w:pPr>
    </w:p>
    <w:p>
      <w:pPr>
        <w:sectPr>
          <w:pgSz w:w="11900" w:h="16838" w:orient="portrait"/>
          <w:cols w:equalWidth="0" w:num="2">
            <w:col w:w="4960" w:space="200"/>
            <w:col w:w="6260"/>
          </w:cols>
          <w:pgMar w:left="240" w:top="459" w:right="239" w:bottom="1440" w:gutter="0" w:footer="0" w:header="0"/>
          <w:type w:val="continuous"/>
        </w:sectPr>
      </w:pPr>
    </w:p>
    <w:p>
      <w:pPr>
        <w:ind w:right="60" w:firstLine="571"/>
        <w:spacing w:after="0" w:line="286"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4" w:lineRule="exact"/>
        <w:rPr>
          <w:sz w:val="20"/>
          <w:szCs w:val="20"/>
          <w:color w:val="auto"/>
        </w:rPr>
      </w:pPr>
    </w:p>
    <w:p>
      <w:pPr>
        <w:ind w:right="100" w:firstLine="571"/>
        <w:spacing w:after="0" w:line="283" w:lineRule="auto"/>
        <w:rPr>
          <w:sz w:val="20"/>
          <w:szCs w:val="20"/>
          <w:color w:val="auto"/>
        </w:rPr>
      </w:pPr>
      <w:r>
        <w:rPr>
          <w:rFonts w:ascii="Arial" w:cs="Arial" w:eastAsia="Arial" w:hAnsi="Arial"/>
          <w:sz w:val="16"/>
          <w:szCs w:val="16"/>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w:t>
      </w:r>
    </w:p>
    <w:p>
      <w:pPr>
        <w:spacing w:after="0" w:line="3" w:lineRule="exact"/>
        <w:rPr>
          <w:sz w:val="20"/>
          <w:szCs w:val="20"/>
          <w:color w:val="auto"/>
        </w:rPr>
      </w:pPr>
    </w:p>
    <w:p>
      <w:pPr>
        <w:ind w:right="340" w:firstLine="8"/>
        <w:spacing w:after="0" w:line="261" w:lineRule="auto"/>
        <w:tabs>
          <w:tab w:leader="none" w:pos="2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150% of their proportionate share of the offering (i.e., 3,750 shares which is 1.50% of the offering of 250,000 shares rather than their 1.00% proportionate share).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Prior to Sale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tcPr>
          <w:p>
            <w:pPr>
              <w:ind w:left="240"/>
              <w:spacing w:after="0"/>
              <w:rPr>
                <w:sz w:val="20"/>
                <w:szCs w:val="20"/>
                <w:color w:val="auto"/>
              </w:rPr>
            </w:pPr>
            <w:r>
              <w:rPr>
                <w:rFonts w:ascii="Arial" w:cs="Arial" w:eastAsia="Arial" w:hAnsi="Arial"/>
                <w:sz w:val="14"/>
                <w:szCs w:val="14"/>
                <w:b w:val="1"/>
                <w:bCs w:val="1"/>
                <w:color w:val="auto"/>
              </w:rPr>
              <w:t>50% Participation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ind w:left="20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Following</w:t>
            </w:r>
          </w:p>
        </w:tc>
        <w:tc>
          <w:tcPr>
            <w:tcW w:w="58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Following</w:t>
            </w:r>
          </w:p>
        </w:tc>
        <w:tc>
          <w:tcPr>
            <w:tcW w:w="58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Below NAV</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580" w:type="dxa"/>
            <w:vAlign w:val="bottom"/>
          </w:tcPr>
          <w:p>
            <w:pPr>
              <w:ind w:left="80"/>
              <w:spacing w:after="0"/>
              <w:rPr>
                <w:sz w:val="20"/>
                <w:szCs w:val="20"/>
                <w:color w:val="auto"/>
              </w:rPr>
            </w:pPr>
            <w:r>
              <w:rPr>
                <w:rFonts w:ascii="Arial" w:cs="Arial" w:eastAsia="Arial" w:hAnsi="Arial"/>
                <w:sz w:val="14"/>
                <w:szCs w:val="14"/>
                <w:b w:val="1"/>
                <w:bCs w:val="1"/>
                <w:color w:val="auto"/>
                <w:w w:val="93"/>
              </w:rPr>
              <w:t>Change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Sale</w:t>
            </w: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Offering Price</w:t>
            </w:r>
          </w:p>
        </w:tc>
        <w:tc>
          <w:tcPr>
            <w:tcW w:w="24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920" w:type="dxa"/>
            <w:vAlign w:val="bottom"/>
            <w:shd w:val="clear" w:color="auto" w:fill="CCEEFF"/>
          </w:tcPr>
          <w:p>
            <w:pPr>
              <w:spacing w:after="0"/>
              <w:rPr>
                <w:sz w:val="5"/>
                <w:szCs w:val="5"/>
                <w:color w:val="auto"/>
              </w:rPr>
            </w:pPr>
          </w:p>
        </w:tc>
        <w:tc>
          <w:tcPr>
            <w:tcW w:w="24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400" w:type="dxa"/>
            <w:vAlign w:val="bottom"/>
          </w:tcPr>
          <w:p>
            <w:pPr>
              <w:spacing w:after="0"/>
              <w:rPr>
                <w:sz w:val="19"/>
                <w:szCs w:val="19"/>
                <w:color w:val="auto"/>
              </w:rPr>
            </w:pPr>
          </w:p>
        </w:tc>
        <w:tc>
          <w:tcPr>
            <w:tcW w:w="860" w:type="dxa"/>
            <w:vAlign w:val="bottom"/>
            <w:vMerge w:val="restart"/>
          </w:tcPr>
          <w:p>
            <w:pPr>
              <w:ind w:left="560"/>
              <w:spacing w:after="0"/>
              <w:rPr>
                <w:sz w:val="20"/>
                <w:szCs w:val="20"/>
                <w:color w:val="auto"/>
              </w:rPr>
            </w:pPr>
            <w:r>
              <w:rPr>
                <w:rFonts w:ascii="Arial" w:cs="Arial" w:eastAsia="Arial" w:hAnsi="Arial"/>
                <w:sz w:val="18"/>
                <w:szCs w:val="18"/>
                <w:color w:val="auto"/>
              </w:rPr>
              <w:t>—</w:t>
            </w: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64"/>
              <w:spacing w:after="0"/>
              <w:rPr>
                <w:sz w:val="20"/>
                <w:szCs w:val="20"/>
                <w:color w:val="auto"/>
              </w:rPr>
            </w:pPr>
            <w:r>
              <w:rPr>
                <w:rFonts w:ascii="Arial" w:cs="Arial" w:eastAsia="Arial" w:hAnsi="Arial"/>
                <w:sz w:val="18"/>
                <w:szCs w:val="18"/>
                <w:color w:val="auto"/>
              </w:rPr>
              <w:t>7.89</w:t>
            </w:r>
          </w:p>
        </w:tc>
        <w:tc>
          <w:tcPr>
            <w:tcW w:w="320" w:type="dxa"/>
            <w:vAlign w:val="bottom"/>
          </w:tcPr>
          <w:p>
            <w:pPr>
              <w:spacing w:after="0"/>
              <w:rPr>
                <w:sz w:val="19"/>
                <w:szCs w:val="19"/>
                <w:color w:val="auto"/>
              </w:rPr>
            </w:pPr>
          </w:p>
        </w:tc>
        <w:tc>
          <w:tcPr>
            <w:tcW w:w="580" w:type="dxa"/>
            <w:vAlign w:val="bottom"/>
            <w:vMerge w:val="restart"/>
          </w:tcPr>
          <w:p>
            <w:pPr>
              <w:ind w:left="240"/>
              <w:spacing w:after="0"/>
              <w:rPr>
                <w:sz w:val="20"/>
                <w:szCs w:val="20"/>
                <w:color w:val="auto"/>
              </w:rPr>
            </w:pPr>
            <w:r>
              <w:rPr>
                <w:rFonts w:ascii="Arial" w:cs="Arial" w:eastAsia="Arial" w:hAnsi="Arial"/>
                <w:sz w:val="18"/>
                <w:szCs w:val="18"/>
                <w:color w:val="auto"/>
              </w:rPr>
              <w:t>—</w:t>
            </w: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64"/>
              <w:spacing w:after="0"/>
              <w:rPr>
                <w:sz w:val="20"/>
                <w:szCs w:val="20"/>
                <w:color w:val="auto"/>
              </w:rPr>
            </w:pPr>
            <w:r>
              <w:rPr>
                <w:rFonts w:ascii="Arial" w:cs="Arial" w:eastAsia="Arial" w:hAnsi="Arial"/>
                <w:sz w:val="18"/>
                <w:szCs w:val="18"/>
                <w:color w:val="auto"/>
              </w:rPr>
              <w:t>7.89</w:t>
            </w:r>
          </w:p>
        </w:tc>
        <w:tc>
          <w:tcPr>
            <w:tcW w:w="320" w:type="dxa"/>
            <w:vAlign w:val="bottom"/>
          </w:tcPr>
          <w:p>
            <w:pPr>
              <w:spacing w:after="0"/>
              <w:rPr>
                <w:sz w:val="19"/>
                <w:szCs w:val="19"/>
                <w:color w:val="auto"/>
              </w:rPr>
            </w:pPr>
          </w:p>
        </w:tc>
        <w:tc>
          <w:tcPr>
            <w:tcW w:w="64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9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240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64"/>
              <w:spacing w:after="0"/>
              <w:rPr>
                <w:sz w:val="20"/>
                <w:szCs w:val="20"/>
                <w:color w:val="auto"/>
              </w:rPr>
            </w:pPr>
            <w:r>
              <w:rPr>
                <w:rFonts w:ascii="Arial" w:cs="Arial" w:eastAsia="Arial" w:hAnsi="Arial"/>
                <w:sz w:val="18"/>
                <w:szCs w:val="18"/>
                <w:color w:val="auto"/>
              </w:rPr>
              <w:t>7.50</w:t>
            </w:r>
          </w:p>
        </w:tc>
        <w:tc>
          <w:tcPr>
            <w:tcW w:w="32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64"/>
              <w:spacing w:after="0"/>
              <w:rPr>
                <w:sz w:val="20"/>
                <w:szCs w:val="20"/>
                <w:color w:val="auto"/>
              </w:rPr>
            </w:pPr>
            <w:r>
              <w:rPr>
                <w:rFonts w:ascii="Arial" w:cs="Arial" w:eastAsia="Arial" w:hAnsi="Arial"/>
                <w:sz w:val="18"/>
                <w:szCs w:val="18"/>
                <w:color w:val="auto"/>
              </w:rPr>
              <w:t>7.50</w:t>
            </w:r>
          </w:p>
        </w:tc>
        <w:tc>
          <w:tcPr>
            <w:tcW w:w="320" w:type="dxa"/>
            <w:vAlign w:val="bottom"/>
            <w:shd w:val="clear" w:color="auto" w:fill="CCEEFF"/>
          </w:tcPr>
          <w:p>
            <w:pPr>
              <w:spacing w:after="0"/>
              <w:rPr>
                <w:sz w:val="19"/>
                <w:szCs w:val="19"/>
                <w:color w:val="auto"/>
              </w:rPr>
            </w:pPr>
          </w:p>
        </w:tc>
        <w:tc>
          <w:tcPr>
            <w:tcW w:w="64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20" w:type="dxa"/>
            <w:vAlign w:val="bottom"/>
            <w:shd w:val="clear" w:color="auto" w:fill="CCEEFF"/>
          </w:tcPr>
          <w:p>
            <w:pPr>
              <w:spacing w:after="0"/>
              <w:rPr>
                <w:sz w:val="5"/>
                <w:szCs w:val="5"/>
                <w:color w:val="auto"/>
              </w:rPr>
            </w:pPr>
          </w:p>
        </w:tc>
        <w:tc>
          <w:tcPr>
            <w:tcW w:w="240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440" w:type="dxa"/>
            <w:vAlign w:val="bottom"/>
            <w:gridSpan w:val="2"/>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440" w:type="dxa"/>
            <w:vAlign w:val="bottom"/>
            <w:gridSpan w:val="2"/>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6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400" w:type="dxa"/>
            <w:vAlign w:val="bottom"/>
          </w:tcPr>
          <w:p>
            <w:pPr>
              <w:jc w:val="right"/>
              <w:ind w:right="452"/>
              <w:spacing w:after="0"/>
              <w:rPr>
                <w:sz w:val="20"/>
                <w:szCs w:val="20"/>
                <w:color w:val="auto"/>
              </w:rPr>
            </w:pPr>
            <w:r>
              <w:rPr>
                <w:rFonts w:ascii="Arial" w:cs="Arial" w:eastAsia="Arial" w:hAnsi="Arial"/>
                <w:sz w:val="18"/>
                <w:szCs w:val="18"/>
                <w:color w:val="auto"/>
              </w:rPr>
              <w:t>51</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7"/>
              </w:rPr>
              <w:t>Prior to Sale</w:t>
            </w:r>
          </w:p>
        </w:tc>
        <w:tc>
          <w:tcPr>
            <w:tcW w:w="80" w:type="dxa"/>
            <w:vAlign w:val="bottom"/>
          </w:tcPr>
          <w:p>
            <w:pPr>
              <w:spacing w:after="0"/>
              <w:rPr>
                <w:sz w:val="14"/>
                <w:szCs w:val="14"/>
                <w:color w:val="auto"/>
              </w:rPr>
            </w:pPr>
          </w:p>
        </w:tc>
        <w:tc>
          <w:tcPr>
            <w:tcW w:w="18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50% Participation</w:t>
            </w:r>
          </w:p>
        </w:tc>
        <w:tc>
          <w:tcPr>
            <w:tcW w:w="100" w:type="dxa"/>
            <w:vAlign w:val="bottom"/>
          </w:tcPr>
          <w:p>
            <w:pPr>
              <w:spacing w:after="0"/>
              <w:rPr>
                <w:sz w:val="14"/>
                <w:szCs w:val="14"/>
                <w:color w:val="auto"/>
              </w:rPr>
            </w:pPr>
          </w:p>
        </w:tc>
        <w:tc>
          <w:tcPr>
            <w:tcW w:w="17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Following</w:t>
            </w:r>
          </w:p>
        </w:tc>
        <w:tc>
          <w:tcPr>
            <w:tcW w:w="720" w:type="dxa"/>
            <w:vAlign w:val="bottom"/>
            <w:tcBorders>
              <w:top w:val="single" w:sz="8" w:color="auto"/>
            </w:tcBorders>
          </w:tcPr>
          <w:p>
            <w:pPr>
              <w:jc w:val="right"/>
              <w:ind w:right="195"/>
              <w:spacing w:after="0" w:line="12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8"/>
              </w:rPr>
              <w:t>Following</w:t>
            </w:r>
          </w:p>
        </w:tc>
        <w:tc>
          <w:tcPr>
            <w:tcW w:w="640" w:type="dxa"/>
            <w:vAlign w:val="bottom"/>
            <w:tcBorders>
              <w:top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Below NAV</w:t>
            </w:r>
          </w:p>
        </w:tc>
        <w:tc>
          <w:tcPr>
            <w:tcW w:w="8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Sale</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Sale</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Increases in Shares and Decrease to NAV</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w w:val="84"/>
              </w:rPr>
              <w:t>1,000,000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37"/>
              <w:spacing w:after="0"/>
              <w:rPr>
                <w:sz w:val="20"/>
                <w:szCs w:val="20"/>
                <w:color w:val="auto"/>
              </w:rPr>
            </w:pPr>
            <w:r>
              <w:rPr>
                <w:rFonts w:ascii="Arial" w:cs="Arial" w:eastAsia="Arial" w:hAnsi="Arial"/>
                <w:sz w:val="18"/>
                <w:szCs w:val="18"/>
                <w:color w:val="auto"/>
                <w:w w:val="87"/>
              </w:rPr>
              <w:t>1,250,000</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25.00 %</w:t>
            </w:r>
          </w:p>
        </w:tc>
        <w:tc>
          <w:tcPr>
            <w:tcW w:w="100" w:type="dxa"/>
            <w:vAlign w:val="bottom"/>
          </w:tcPr>
          <w:p>
            <w:pPr>
              <w:spacing w:after="0"/>
              <w:rPr>
                <w:sz w:val="18"/>
                <w:szCs w:val="18"/>
                <w:color w:val="auto"/>
              </w:rPr>
            </w:pPr>
          </w:p>
        </w:tc>
        <w:tc>
          <w:tcPr>
            <w:tcW w:w="840" w:type="dxa"/>
            <w:vAlign w:val="bottom"/>
          </w:tcPr>
          <w:p>
            <w:pPr>
              <w:jc w:val="right"/>
              <w:ind w:right="57"/>
              <w:spacing w:after="0"/>
              <w:rPr>
                <w:sz w:val="20"/>
                <w:szCs w:val="20"/>
                <w:color w:val="auto"/>
              </w:rPr>
            </w:pPr>
            <w:r>
              <w:rPr>
                <w:rFonts w:ascii="Arial" w:cs="Arial" w:eastAsia="Arial" w:hAnsi="Arial"/>
                <w:sz w:val="18"/>
                <w:szCs w:val="18"/>
                <w:color w:val="auto"/>
                <w:w w:val="84"/>
              </w:rPr>
              <w:t>1,250,000</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25.00 %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NAV per share</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9.50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9.50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Shares held by stockholder 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11,250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12.50 %</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13,750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37.50 %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Percentage held by stockholder 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0.90%</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(10.00)%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 Values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Total NAV held by stockholder A</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106,875</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6.88 %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130,625</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30.63 %</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Total investment by stockholder A (assumed to be $10.00 per share on shares held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prior to sale)</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109,863</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9.86 %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129,588</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29.59 %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Total (dilution)/accretion to stockholder A (total NAV less total investment)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(2,988)</w:t>
            </w:r>
          </w:p>
        </w:tc>
        <w:tc>
          <w:tcPr>
            <w:tcW w:w="16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1,037</w:t>
            </w: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Amounts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NAV per share held by stockholder 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9.50</w:t>
            </w: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9.50</w:t>
            </w: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Investment per share held by stockholder A (assumed to be $10.00 per share 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held prior to sale)</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9.77</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9.42</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w w:val="90"/>
              </w:rPr>
              <w:t>(Dilution)/accretion per share held by stockholder A (NAV per share less investment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per share)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(0.27)</w:t>
            </w:r>
          </w:p>
        </w:tc>
        <w:tc>
          <w:tcPr>
            <w:tcW w:w="16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Percentage (dilution)/accretion to stockholder A (dilution)/accretion per share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divided by investment per share</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jc w:val="both"/>
        <w:ind w:right="200" w:firstLine="571"/>
        <w:spacing w:after="0" w:line="259"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571"/>
        <w:spacing w:after="0" w:line="289" w:lineRule="auto"/>
        <w:rPr>
          <w:sz w:val="20"/>
          <w:szCs w:val="20"/>
          <w:color w:val="auto"/>
        </w:rPr>
      </w:pPr>
      <w:r>
        <w:rPr>
          <w:rFonts w:ascii="Arial" w:cs="Arial" w:eastAsia="Arial" w:hAnsi="Arial"/>
          <w:sz w:val="16"/>
          <w:szCs w:val="16"/>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3"/>
          </w:tcPr>
          <w:p>
            <w:pPr>
              <w:jc w:val="center"/>
              <w:ind w:right="55"/>
              <w:spacing w:after="0"/>
              <w:rPr>
                <w:sz w:val="20"/>
                <w:szCs w:val="20"/>
                <w:color w:val="auto"/>
              </w:rPr>
            </w:pPr>
            <w:r>
              <w:rPr>
                <w:rFonts w:ascii="Arial" w:cs="Arial" w:eastAsia="Arial" w:hAnsi="Arial"/>
                <w:sz w:val="14"/>
                <w:szCs w:val="14"/>
                <w:b w:val="1"/>
                <w:bCs w:val="1"/>
                <w:color w:val="auto"/>
                <w:w w:val="89"/>
              </w:rPr>
              <w:t>Example 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6"/>
              </w:rPr>
              <w:t>Example 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Example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3"/>
          </w:tcPr>
          <w:p>
            <w:pPr>
              <w:jc w:val="center"/>
              <w:ind w:right="55"/>
              <w:spacing w:after="0" w:line="149" w:lineRule="exact"/>
              <w:rPr>
                <w:sz w:val="20"/>
                <w:szCs w:val="20"/>
                <w:color w:val="auto"/>
              </w:rPr>
            </w:pPr>
            <w:r>
              <w:rPr>
                <w:rFonts w:ascii="Arial" w:cs="Arial" w:eastAsia="Arial" w:hAnsi="Arial"/>
                <w:sz w:val="14"/>
                <w:szCs w:val="14"/>
                <w:b w:val="1"/>
                <w:bCs w:val="1"/>
                <w:color w:val="auto"/>
                <w:w w:val="94"/>
              </w:rPr>
              <w:t>5% Offering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Prior to Sale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3"/>
          </w:tcPr>
          <w:p>
            <w:pPr>
              <w:jc w:val="center"/>
              <w:ind w:right="55"/>
              <w:spacing w:after="0"/>
              <w:rPr>
                <w:sz w:val="20"/>
                <w:szCs w:val="20"/>
                <w:color w:val="auto"/>
              </w:rPr>
            </w:pPr>
            <w:r>
              <w:rPr>
                <w:rFonts w:ascii="Arial" w:cs="Arial" w:eastAsia="Arial" w:hAnsi="Arial"/>
                <w:sz w:val="14"/>
                <w:szCs w:val="14"/>
                <w:b w:val="1"/>
                <w:bCs w:val="1"/>
                <w:color w:val="auto"/>
                <w:w w:val="89"/>
              </w:rPr>
              <w:t>at 5% Discount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at 10% Discount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8"/>
              </w:rPr>
              <w:t>Following</w:t>
            </w:r>
          </w:p>
        </w:tc>
        <w:tc>
          <w:tcPr>
            <w:tcW w:w="64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5"/>
              </w:rPr>
              <w:t>Following</w:t>
            </w:r>
          </w:p>
        </w:tc>
        <w:tc>
          <w:tcPr>
            <w:tcW w:w="660" w:type="dxa"/>
            <w:vAlign w:val="bottom"/>
            <w:tcBorders>
              <w:top w:val="single" w:sz="8" w:color="auto"/>
            </w:tcBorders>
          </w:tcPr>
          <w:p>
            <w:pPr>
              <w:ind w:left="260"/>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5"/>
              </w:rPr>
              <w:t>Following</w:t>
            </w:r>
          </w:p>
        </w:tc>
        <w:tc>
          <w:tcPr>
            <w:tcW w:w="640" w:type="dxa"/>
            <w:vAlign w:val="bottom"/>
            <w:tcBorders>
              <w:top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4"/>
                <w:szCs w:val="14"/>
                <w:b w:val="1"/>
                <w:bCs w:val="1"/>
                <w:color w:val="auto"/>
              </w:rPr>
              <w:t>Below NAV</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Sale</w:t>
            </w:r>
          </w:p>
        </w:tc>
        <w:tc>
          <w:tcPr>
            <w:tcW w:w="640" w:type="dxa"/>
            <w:vAlign w:val="bottom"/>
          </w:tcPr>
          <w:p>
            <w:pPr>
              <w:jc w:val="right"/>
              <w:ind w:right="15"/>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Sale</w:t>
            </w: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Sale</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Offering Price</w:t>
            </w: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5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92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tcPr>
          <w:p>
            <w:pPr>
              <w:jc w:val="center"/>
              <w:ind w:left="12"/>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ind w:right="18"/>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64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9.47</w:t>
            </w:r>
          </w:p>
        </w:tc>
        <w:tc>
          <w:tcPr>
            <w:tcW w:w="220" w:type="dxa"/>
            <w:vAlign w:val="bottom"/>
          </w:tcPr>
          <w:p>
            <w:pPr>
              <w:spacing w:after="0"/>
              <w:rPr>
                <w:sz w:val="19"/>
                <w:szCs w:val="19"/>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7.89</w:t>
            </w:r>
          </w:p>
        </w:tc>
        <w:tc>
          <w:tcPr>
            <w:tcW w:w="220" w:type="dxa"/>
            <w:vAlign w:val="bottom"/>
          </w:tcPr>
          <w:p>
            <w:pPr>
              <w:spacing w:after="0"/>
              <w:rPr>
                <w:sz w:val="19"/>
                <w:szCs w:val="19"/>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5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92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shd w:val="clear" w:color="auto" w:fill="CCEEFF"/>
          </w:tcPr>
          <w:p>
            <w:pPr>
              <w:jc w:val="center"/>
              <w:ind w:left="12"/>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spacing w:after="0"/>
              <w:rPr>
                <w:sz w:val="19"/>
                <w:szCs w:val="19"/>
                <w:color w:val="auto"/>
              </w:rPr>
            </w:pP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8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320" w:type="dxa"/>
            <w:vAlign w:val="bottom"/>
            <w:gridSpan w:val="2"/>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0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5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92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3"/>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1,050,000</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1,100,000</w:t>
            </w:r>
          </w:p>
        </w:tc>
        <w:tc>
          <w:tcPr>
            <w:tcW w:w="22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6"/>
              </w:rPr>
              <w:t>10.00 %</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1,250,000</w:t>
            </w:r>
          </w:p>
        </w:tc>
        <w:tc>
          <w:tcPr>
            <w:tcW w:w="220" w:type="dxa"/>
            <w:vAlign w:val="bottom"/>
            <w:shd w:val="clear" w:color="auto" w:fill="CCEEFF"/>
          </w:tcPr>
          <w:p>
            <w:pPr>
              <w:spacing w:after="0"/>
              <w:rPr>
                <w:sz w:val="19"/>
                <w:szCs w:val="19"/>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93"/>
              </w:rPr>
              <w:t>25.00 %</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8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060" w:type="dxa"/>
            <w:vAlign w:val="bottom"/>
            <w:gridSpan w:val="3"/>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0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NAV per share</w:t>
            </w:r>
          </w:p>
        </w:tc>
        <w:tc>
          <w:tcPr>
            <w:tcW w:w="92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tcPr>
          <w:p>
            <w:pPr>
              <w:jc w:val="center"/>
              <w:ind w:left="12"/>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ind w:right="18"/>
              <w:spacing w:after="0"/>
              <w:rPr>
                <w:sz w:val="20"/>
                <w:szCs w:val="20"/>
                <w:color w:val="auto"/>
              </w:rPr>
            </w:pPr>
            <w:r>
              <w:rPr>
                <w:rFonts w:ascii="Arial" w:cs="Arial" w:eastAsia="Arial" w:hAnsi="Arial"/>
                <w:sz w:val="18"/>
                <w:szCs w:val="18"/>
                <w:color w:val="auto"/>
              </w:rPr>
              <w:t>9.98</w:t>
            </w:r>
          </w:p>
        </w:tc>
        <w:tc>
          <w:tcPr>
            <w:tcW w:w="20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8"/>
              </w:rPr>
              <w:t>(0.20)%</w:t>
            </w: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19"/>
                <w:szCs w:val="19"/>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(0.90)%</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9.50</w:t>
            </w:r>
          </w:p>
        </w:tc>
        <w:tc>
          <w:tcPr>
            <w:tcW w:w="220" w:type="dxa"/>
            <w:vAlign w:val="bottom"/>
          </w:tcPr>
          <w:p>
            <w:pPr>
              <w:spacing w:after="0"/>
              <w:rPr>
                <w:sz w:val="19"/>
                <w:szCs w:val="19"/>
                <w:color w:val="auto"/>
              </w:rPr>
            </w:pP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8"/>
              </w:rPr>
              <w:t>(5.00)%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5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5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Shares held by</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stockholder A</w:t>
            </w:r>
          </w:p>
        </w:tc>
        <w:tc>
          <w:tcPr>
            <w:tcW w:w="92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restart"/>
          </w:tcPr>
          <w:p>
            <w:pPr>
              <w:jc w:val="right"/>
              <w:ind w:right="18"/>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9"/>
                <w:szCs w:val="19"/>
                <w:color w:val="auto"/>
              </w:rPr>
            </w:pPr>
          </w:p>
        </w:tc>
        <w:tc>
          <w:tcPr>
            <w:tcW w:w="64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9"/>
                <w:szCs w:val="19"/>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5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 A</w:t>
            </w:r>
          </w:p>
        </w:tc>
        <w:tc>
          <w:tcPr>
            <w:tcW w:w="92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0.05%</w:t>
            </w:r>
          </w:p>
        </w:tc>
        <w:tc>
          <w:tcPr>
            <w:tcW w:w="64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22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CEEFF"/>
          </w:tcPr>
          <w:p>
            <w:pPr>
              <w:spacing w:after="0"/>
              <w:rPr>
                <w:sz w:val="19"/>
                <w:szCs w:val="19"/>
                <w:color w:val="auto"/>
              </w:rPr>
            </w:pP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458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NAV held by stockholder A</w:t>
            </w:r>
          </w:p>
        </w:tc>
        <w:tc>
          <w:tcPr>
            <w:tcW w:w="92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shd w:val="clear" w:color="auto" w:fill="CCEEFF"/>
          </w:tcPr>
          <w:p>
            <w:pPr>
              <w:jc w:val="center"/>
              <w:ind w:left="12"/>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4,990</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22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23,750</w:t>
            </w:r>
          </w:p>
        </w:tc>
        <w:tc>
          <w:tcPr>
            <w:tcW w:w="220" w:type="dxa"/>
            <w:vAlign w:val="bottom"/>
            <w:shd w:val="clear" w:color="auto" w:fill="CCEEFF"/>
          </w:tcPr>
          <w:p>
            <w:pPr>
              <w:spacing w:after="0"/>
              <w:rPr>
                <w:sz w:val="19"/>
                <w:szCs w:val="19"/>
                <w:color w:val="auto"/>
              </w:rPr>
            </w:pP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8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320" w:type="dxa"/>
            <w:vAlign w:val="bottom"/>
            <w:gridSpan w:val="2"/>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0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Total investment by stockholder A</w:t>
            </w:r>
          </w:p>
        </w:tc>
        <w:tc>
          <w:tcPr>
            <w:tcW w:w="92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tcPr>
          <w:p>
            <w:pPr>
              <w:jc w:val="center"/>
              <w:ind w:left="12"/>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ind w:right="18"/>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9"/>
                <w:szCs w:val="19"/>
                <w:color w:val="auto"/>
              </w:rPr>
            </w:pPr>
          </w:p>
        </w:tc>
        <w:tc>
          <w:tcPr>
            <w:tcW w:w="64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9,470</w:t>
            </w:r>
          </w:p>
        </w:tc>
        <w:tc>
          <w:tcPr>
            <w:tcW w:w="220" w:type="dxa"/>
            <w:vAlign w:val="bottom"/>
          </w:tcPr>
          <w:p>
            <w:pPr>
              <w:spacing w:after="0"/>
              <w:rPr>
                <w:sz w:val="19"/>
                <w:szCs w:val="19"/>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19,725</w:t>
            </w:r>
          </w:p>
        </w:tc>
        <w:tc>
          <w:tcPr>
            <w:tcW w:w="220" w:type="dxa"/>
            <w:vAlign w:val="bottom"/>
          </w:tcPr>
          <w:p>
            <w:pPr>
              <w:spacing w:after="0"/>
              <w:rPr>
                <w:sz w:val="19"/>
                <w:szCs w:val="19"/>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45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(dilution)/accretion to stockholder A (total NAV</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total investment)</w:t>
            </w:r>
          </w:p>
        </w:tc>
        <w:tc>
          <w:tcPr>
            <w:tcW w:w="92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shd w:val="clear" w:color="auto" w:fill="CCEEFF"/>
          </w:tcPr>
          <w:p>
            <w:pPr>
              <w:jc w:val="center"/>
              <w:ind w:left="12"/>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2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220" w:type="dxa"/>
            <w:vAlign w:val="bottom"/>
            <w:shd w:val="clear" w:color="auto" w:fill="CCEEFF"/>
          </w:tcPr>
          <w:p>
            <w:pPr>
              <w:spacing w:after="0"/>
              <w:rPr>
                <w:sz w:val="19"/>
                <w:szCs w:val="19"/>
                <w:color w:val="auto"/>
              </w:rPr>
            </w:pP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458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300" w:type="dxa"/>
            <w:vAlign w:val="bottom"/>
            <w:gridSpan w:val="2"/>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32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20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NAV per share held by stockholder A</w:t>
            </w:r>
          </w:p>
        </w:tc>
        <w:tc>
          <w:tcPr>
            <w:tcW w:w="92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shd w:val="clear" w:color="auto" w:fill="CCEEFF"/>
          </w:tcPr>
          <w:p>
            <w:pPr>
              <w:jc w:val="center"/>
              <w:ind w:left="12"/>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9.98</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2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20" w:type="dxa"/>
            <w:vAlign w:val="bottom"/>
            <w:shd w:val="clear" w:color="auto" w:fill="CCEEFF"/>
          </w:tcPr>
          <w:p>
            <w:pPr>
              <w:spacing w:after="0"/>
              <w:rPr>
                <w:sz w:val="19"/>
                <w:szCs w:val="19"/>
                <w:color w:val="auto"/>
              </w:rPr>
            </w:pP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8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320" w:type="dxa"/>
            <w:vAlign w:val="bottom"/>
            <w:gridSpan w:val="2"/>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0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Investment per share held by stockholder A</w:t>
            </w:r>
          </w:p>
        </w:tc>
        <w:tc>
          <w:tcPr>
            <w:tcW w:w="92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tcPr>
          <w:p>
            <w:pPr>
              <w:jc w:val="center"/>
              <w:ind w:left="12"/>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ind w:right="18"/>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64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9.47</w:t>
            </w:r>
          </w:p>
        </w:tc>
        <w:tc>
          <w:tcPr>
            <w:tcW w:w="220" w:type="dxa"/>
            <w:vAlign w:val="bottom"/>
          </w:tcPr>
          <w:p>
            <w:pPr>
              <w:spacing w:after="0"/>
              <w:rPr>
                <w:sz w:val="19"/>
                <w:szCs w:val="19"/>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7.89</w:t>
            </w:r>
          </w:p>
        </w:tc>
        <w:tc>
          <w:tcPr>
            <w:tcW w:w="220" w:type="dxa"/>
            <w:vAlign w:val="bottom"/>
          </w:tcPr>
          <w:p>
            <w:pPr>
              <w:spacing w:after="0"/>
              <w:rPr>
                <w:sz w:val="19"/>
                <w:szCs w:val="19"/>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45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(Dilution)/accretion per share held by stockholder A</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(NAV per share less investment per share)</w:t>
            </w:r>
          </w:p>
        </w:tc>
        <w:tc>
          <w:tcPr>
            <w:tcW w:w="92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shd w:val="clear" w:color="auto" w:fill="CCEEFF"/>
          </w:tcPr>
          <w:p>
            <w:pPr>
              <w:jc w:val="center"/>
              <w:ind w:left="12"/>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2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CEEFF"/>
          </w:tcPr>
          <w:p>
            <w:pPr>
              <w:spacing w:after="0"/>
              <w:rPr>
                <w:sz w:val="19"/>
                <w:szCs w:val="19"/>
                <w:color w:val="auto"/>
              </w:rPr>
            </w:pP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458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300" w:type="dxa"/>
            <w:vAlign w:val="bottom"/>
            <w:gridSpan w:val="2"/>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32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20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Percentage (dilution)/accretion to stockholder A</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w w:val="93"/>
              </w:rPr>
              <w:t>(dilution)/ accretion per share divided by investment per</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share</w:t>
            </w:r>
          </w:p>
        </w:tc>
        <w:tc>
          <w:tcPr>
            <w:tcW w:w="92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vMerge w:val="restart"/>
          </w:tcPr>
          <w:p>
            <w:pPr>
              <w:jc w:val="center"/>
              <w:ind w:left="18"/>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8"/>
              </w:rPr>
              <w:t>(0.20)%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vMerge w:val="restart"/>
          </w:tcPr>
          <w:p>
            <w:pPr>
              <w:jc w:val="center"/>
              <w:ind w:left="58"/>
              <w:spacing w:after="0"/>
              <w:rPr>
                <w:sz w:val="20"/>
                <w:szCs w:val="20"/>
                <w:color w:val="auto"/>
              </w:rPr>
            </w:pPr>
            <w:r>
              <w:rPr>
                <w:rFonts w:ascii="Arial" w:cs="Arial" w:eastAsia="Arial" w:hAnsi="Arial"/>
                <w:sz w:val="18"/>
                <w:szCs w:val="18"/>
                <w:color w:val="auto"/>
                <w:w w:val="99"/>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4.65 %</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vMerge w:val="restart"/>
          </w:tcPr>
          <w:p>
            <w:pPr>
              <w:jc w:val="center"/>
              <w:ind w:left="78"/>
              <w:spacing w:after="0"/>
              <w:rPr>
                <w:sz w:val="20"/>
                <w:szCs w:val="20"/>
                <w:color w:val="auto"/>
              </w:rPr>
            </w:pPr>
            <w:r>
              <w:rPr>
                <w:rFonts w:ascii="Arial" w:cs="Arial" w:eastAsia="Arial" w:hAnsi="Arial"/>
                <w:sz w:val="18"/>
                <w:szCs w:val="18"/>
                <w:color w:val="auto"/>
                <w:w w:val="99"/>
              </w:rPr>
              <w:t>—</w:t>
            </w: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5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53</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DISTRIBUTIONS</w:t>
      </w:r>
    </w:p>
    <w:p>
      <w:pPr>
        <w:spacing w:after="0" w:line="150"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per share that we have declared on our common stock since October 1, 2014:</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Record Dates</w:t>
            </w:r>
          </w:p>
        </w:tc>
        <w:tc>
          <w:tcPr>
            <w:tcW w:w="3700" w:type="dxa"/>
            <w:vAlign w:val="bottom"/>
            <w:gridSpan w:val="3"/>
            <w:vMerge w:val="restart"/>
          </w:tcPr>
          <w:p>
            <w:pPr>
              <w:jc w:val="right"/>
              <w:ind w:right="660"/>
              <w:spacing w:after="0"/>
              <w:rPr>
                <w:sz w:val="20"/>
                <w:szCs w:val="20"/>
                <w:color w:val="auto"/>
              </w:rPr>
            </w:pPr>
            <w:r>
              <w:rPr>
                <w:rFonts w:ascii="Arial" w:cs="Arial" w:eastAsia="Arial" w:hAnsi="Arial"/>
                <w:sz w:val="18"/>
                <w:szCs w:val="18"/>
                <w:b w:val="1"/>
                <w:bCs w:val="1"/>
                <w:color w:val="auto"/>
              </w:rPr>
              <w:t>Payment Dates</w:t>
            </w: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w w:val="91"/>
              </w:rPr>
              <w:t>Distributions</w:t>
            </w:r>
          </w:p>
        </w:tc>
        <w:tc>
          <w:tcPr>
            <w:tcW w:w="0" w:type="dxa"/>
            <w:vAlign w:val="bottom"/>
          </w:tcPr>
          <w:p>
            <w:pPr>
              <w:spacing w:after="0"/>
              <w:rPr>
                <w:sz w:val="1"/>
                <w:szCs w:val="1"/>
                <w:color w:val="auto"/>
              </w:rPr>
            </w:pPr>
          </w:p>
        </w:tc>
      </w:tr>
      <w:tr>
        <w:trPr>
          <w:trHeight w:val="217"/>
        </w:trPr>
        <w:tc>
          <w:tcPr>
            <w:tcW w:w="4840" w:type="dxa"/>
            <w:vAlign w:val="bottom"/>
            <w:gridSpan w:val="2"/>
            <w:vMerge w:val="continue"/>
          </w:tcPr>
          <w:p>
            <w:pPr>
              <w:spacing w:after="0"/>
              <w:rPr>
                <w:sz w:val="18"/>
                <w:szCs w:val="18"/>
                <w:color w:val="auto"/>
              </w:rPr>
            </w:pPr>
          </w:p>
        </w:tc>
        <w:tc>
          <w:tcPr>
            <w:tcW w:w="37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Declared</w:t>
            </w:r>
          </w:p>
        </w:tc>
        <w:tc>
          <w:tcPr>
            <w:tcW w:w="0" w:type="dxa"/>
            <w:vAlign w:val="bottom"/>
          </w:tcPr>
          <w:p>
            <w:pPr>
              <w:spacing w:after="0"/>
              <w:rPr>
                <w:sz w:val="1"/>
                <w:szCs w:val="1"/>
                <w:color w:val="auto"/>
              </w:rPr>
            </w:pPr>
          </w:p>
        </w:tc>
      </w:tr>
      <w:tr>
        <w:trPr>
          <w:trHeight w:val="20"/>
        </w:trPr>
        <w:tc>
          <w:tcPr>
            <w:tcW w:w="920" w:type="dxa"/>
            <w:vAlign w:val="bottom"/>
            <w:tcBorders>
              <w:bottom w:val="single" w:sz="8" w:color="CCEEFF"/>
            </w:tcBorders>
            <w:shd w:val="clear" w:color="auto" w:fill="000000"/>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shd w:val="clear" w:color="auto" w:fill="000000"/>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2017</w:t>
            </w:r>
          </w:p>
        </w:tc>
        <w:tc>
          <w:tcPr>
            <w:tcW w:w="19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440"/>
              <w:spacing w:after="0"/>
              <w:rPr>
                <w:sz w:val="20"/>
                <w:szCs w:val="20"/>
                <w:color w:val="auto"/>
              </w:rPr>
            </w:pPr>
            <w:r>
              <w:rPr>
                <w:rFonts w:ascii="Arial" w:cs="Arial" w:eastAsia="Arial" w:hAnsi="Arial"/>
                <w:sz w:val="18"/>
                <w:szCs w:val="18"/>
                <w:color w:val="auto"/>
              </w:rPr>
              <w:t>March 22, 2017</w:t>
            </w:r>
          </w:p>
        </w:tc>
        <w:tc>
          <w:tcPr>
            <w:tcW w:w="1920" w:type="dxa"/>
            <w:vAlign w:val="bottom"/>
          </w:tcPr>
          <w:p>
            <w:pPr>
              <w:spacing w:after="0"/>
              <w:rPr>
                <w:sz w:val="18"/>
                <w:szCs w:val="18"/>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April 3, 2017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22, 2016</w:t>
            </w:r>
          </w:p>
        </w:tc>
        <w:tc>
          <w:tcPr>
            <w:tcW w:w="19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1"/>
              </w:rPr>
              <w:t>January 3, 2017</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4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2016</w:t>
            </w:r>
          </w:p>
        </w:tc>
        <w:tc>
          <w:tcPr>
            <w:tcW w:w="1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440"/>
              <w:spacing w:after="0"/>
              <w:rPr>
                <w:sz w:val="20"/>
                <w:szCs w:val="20"/>
                <w:color w:val="auto"/>
              </w:rPr>
            </w:pPr>
            <w:r>
              <w:rPr>
                <w:rFonts w:ascii="Arial" w:cs="Arial" w:eastAsia="Arial" w:hAnsi="Arial"/>
                <w:sz w:val="18"/>
                <w:szCs w:val="18"/>
                <w:color w:val="auto"/>
              </w:rPr>
              <w:t>September 21, 2016</w:t>
            </w:r>
          </w:p>
        </w:tc>
        <w:tc>
          <w:tcPr>
            <w:tcW w:w="1920" w:type="dxa"/>
            <w:vAlign w:val="bottom"/>
          </w:tcPr>
          <w:p>
            <w:pPr>
              <w:spacing w:after="0"/>
              <w:rPr>
                <w:sz w:val="18"/>
                <w:szCs w:val="18"/>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w w:val="91"/>
              </w:rPr>
              <w:t>October 3, 2016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20, 2016</w:t>
            </w:r>
          </w:p>
        </w:tc>
        <w:tc>
          <w:tcPr>
            <w:tcW w:w="19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July 1, 2016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440"/>
              <w:spacing w:after="0"/>
              <w:rPr>
                <w:sz w:val="20"/>
                <w:szCs w:val="20"/>
                <w:color w:val="auto"/>
              </w:rPr>
            </w:pPr>
            <w:r>
              <w:rPr>
                <w:rFonts w:ascii="Arial" w:cs="Arial" w:eastAsia="Arial" w:hAnsi="Arial"/>
                <w:sz w:val="18"/>
                <w:szCs w:val="18"/>
                <w:color w:val="auto"/>
              </w:rPr>
              <w:t>March 18, 2016</w:t>
            </w:r>
          </w:p>
        </w:tc>
        <w:tc>
          <w:tcPr>
            <w:tcW w:w="1920" w:type="dxa"/>
            <w:vAlign w:val="bottom"/>
          </w:tcPr>
          <w:p>
            <w:pPr>
              <w:spacing w:after="0"/>
              <w:rPr>
                <w:sz w:val="18"/>
                <w:szCs w:val="18"/>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April 1, 2016</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24, 2015</w:t>
            </w:r>
          </w:p>
        </w:tc>
        <w:tc>
          <w:tcPr>
            <w:tcW w:w="19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1"/>
              </w:rPr>
              <w:t>January 4, 2016</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4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2015</w:t>
            </w:r>
          </w:p>
        </w:tc>
        <w:tc>
          <w:tcPr>
            <w:tcW w:w="1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440"/>
              <w:spacing w:after="0"/>
              <w:rPr>
                <w:sz w:val="20"/>
                <w:szCs w:val="20"/>
                <w:color w:val="auto"/>
              </w:rPr>
            </w:pPr>
            <w:r>
              <w:rPr>
                <w:rFonts w:ascii="Arial" w:cs="Arial" w:eastAsia="Arial" w:hAnsi="Arial"/>
                <w:sz w:val="18"/>
                <w:szCs w:val="18"/>
                <w:color w:val="auto"/>
              </w:rPr>
              <w:t>September 21, 2015</w:t>
            </w:r>
          </w:p>
        </w:tc>
        <w:tc>
          <w:tcPr>
            <w:tcW w:w="1920" w:type="dxa"/>
            <w:vAlign w:val="bottom"/>
          </w:tcPr>
          <w:p>
            <w:pPr>
              <w:spacing w:after="0"/>
              <w:rPr>
                <w:sz w:val="18"/>
                <w:szCs w:val="18"/>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w w:val="91"/>
              </w:rPr>
              <w:t>October 1, 2015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15, 2015</w:t>
            </w:r>
          </w:p>
        </w:tc>
        <w:tc>
          <w:tcPr>
            <w:tcW w:w="19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July 1, 2015</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440"/>
              <w:spacing w:after="0"/>
              <w:rPr>
                <w:sz w:val="20"/>
                <w:szCs w:val="20"/>
                <w:color w:val="auto"/>
              </w:rPr>
            </w:pPr>
            <w:r>
              <w:rPr>
                <w:rFonts w:ascii="Arial" w:cs="Arial" w:eastAsia="Arial" w:hAnsi="Arial"/>
                <w:sz w:val="18"/>
                <w:szCs w:val="18"/>
                <w:color w:val="auto"/>
              </w:rPr>
              <w:t>March 20, 2015</w:t>
            </w:r>
          </w:p>
        </w:tc>
        <w:tc>
          <w:tcPr>
            <w:tcW w:w="1920" w:type="dxa"/>
            <w:vAlign w:val="bottom"/>
          </w:tcPr>
          <w:p>
            <w:pPr>
              <w:spacing w:after="0"/>
              <w:rPr>
                <w:sz w:val="18"/>
                <w:szCs w:val="18"/>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April 1, 2015</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19, 2014</w:t>
            </w:r>
          </w:p>
        </w:tc>
        <w:tc>
          <w:tcPr>
            <w:tcW w:w="19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1"/>
              </w:rPr>
              <w:t>January 2, 2015</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4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In January 2017, a Form 1099-DIV was sent to stockholders subject to information reporting that will state the amount and composition of distributions and provide information with respect to appropriate tax treatment of our distributions.</w:t>
      </w:r>
    </w:p>
    <w:p>
      <w:pPr>
        <w:spacing w:after="0" w:line="132"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The tax characteristics of distributions declared, in accordance with Section 19(a) of the 1940 Act, during the fiscal years ended September 30, 2016 and 2015 from ordinary income totaled $58.1 million and $83.3 million, or $0.81 and $1.11 per share, respectively, based on weighted average shares outstanding for the respective periods. Additionally, for the fiscal year ended September 30, 2016, we had long-term capital gain distributions of $21.7 million, or $0.30 per share, based on weighted average shares outstanding.</w:t>
      </w:r>
    </w:p>
    <w:p>
      <w:pPr>
        <w:spacing w:after="0" w:line="143" w:lineRule="exact"/>
        <w:rPr>
          <w:sz w:val="20"/>
          <w:szCs w:val="20"/>
          <w:color w:val="auto"/>
        </w:rPr>
      </w:pPr>
    </w:p>
    <w:p>
      <w:pPr>
        <w:ind w:right="380" w:firstLine="571"/>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40"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tax status. We cannot assure stockholders that they will receive any distributions or distributions at a particular level.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of Unregistered Securities</w:t>
      </w:r>
    </w:p>
    <w:p>
      <w:pPr>
        <w:spacing w:after="0" w:line="144"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We did not engage in any sales of unregistered securities during the three months ended December 31, 2016 and the fiscal years ended September 30, 2016, 2015 and 2014, respectively.</w:t>
      </w:r>
    </w:p>
    <w:p>
      <w:pPr>
        <w:spacing w:after="0" w:line="11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80"/>
          </w:cols>
          <w:pgMar w:left="240" w:top="459" w:right="5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senior secured debt, mezzanine debt and equity investments.</w:t>
      </w:r>
    </w:p>
    <w:p>
      <w:pPr>
        <w:spacing w:after="0" w:line="59"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We believe middle-market companies offer attractive risk-reward to investors due to the limited amount of capital available for such companies. We seek to create a diversified portfolio that includes senior secured debt,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S&amp;P’s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 regions.</w:t>
      </w:r>
    </w:p>
    <w:p>
      <w:pPr>
        <w:spacing w:after="0" w:line="39" w:lineRule="exact"/>
        <w:rPr>
          <w:sz w:val="20"/>
          <w:szCs w:val="20"/>
          <w:color w:val="auto"/>
        </w:rPr>
      </w:pPr>
    </w:p>
    <w:p>
      <w:pPr>
        <w:ind w:right="240" w:firstLine="571"/>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59"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Our wholly owned subsidiaries, SBIC LP and SBIC II, were organized as Delaware limited partnerships in May 2010 and July 2012, respectively. SBIC LP and SBIC II received licenses from the SBA to operate as SBICs, under Section 301(c) of the 1958 Act, in 2010 and 2013, respectively. Our SBIC Funds’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60" w:firstLine="571"/>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$3.0 billion in debt and equity capital and has invested $6.0 billion in 430 companies with over 170 different financial sponsors through its managed funds.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571"/>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offers,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w:t>
      </w:r>
    </w:p>
    <w:p>
      <w:pPr>
        <w:spacing w:after="0" w:line="45" w:lineRule="exact"/>
        <w:rPr>
          <w:sz w:val="20"/>
          <w:szCs w:val="20"/>
          <w:color w:val="auto"/>
        </w:rPr>
      </w:pPr>
    </w:p>
    <w:p>
      <w:pPr>
        <w:jc w:val="both"/>
        <w:ind w:left="660" w:right="160" w:hanging="314"/>
        <w:spacing w:after="0" w:line="25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in raising debt through the capital markets. </w:t>
      </w:r>
      <w:r>
        <w:rPr>
          <w:rFonts w:ascii="Arial" w:cs="Arial" w:eastAsia="Arial" w:hAnsi="Arial"/>
          <w:sz w:val="18"/>
          <w:szCs w:val="18"/>
          <w:color w:val="auto"/>
        </w:rPr>
        <w:t>Many middle-market companies look to</w:t>
      </w:r>
      <w:r>
        <w:rPr>
          <w:rFonts w:ascii="Arial" w:cs="Arial" w:eastAsia="Arial" w:hAnsi="Arial"/>
          <w:sz w:val="18"/>
          <w:szCs w:val="18"/>
          <w:b w:val="1"/>
          <w:bCs w:val="1"/>
          <w:color w:val="auto"/>
        </w:rPr>
        <w:t xml:space="preserve"> </w:t>
      </w:r>
      <w:r>
        <w:rPr>
          <w:rFonts w:ascii="Arial" w:cs="Arial" w:eastAsia="Arial" w:hAnsi="Arial"/>
          <w:sz w:val="18"/>
          <w:szCs w:val="18"/>
          <w:color w:val="auto"/>
        </w:rPr>
        <w:t>raise funds by issuing high-yield bonds. We believe this approach to financing becomes difficult at times when institutional investors seek to invest in larger, more liquid offerings. We believe this has made it harder for middle-market companies to raise funds by issuing high-yield debt securities from time to time.</w:t>
      </w:r>
    </w:p>
    <w:p>
      <w:pPr>
        <w:spacing w:after="0" w:line="55" w:lineRule="exact"/>
        <w:rPr>
          <w:rFonts w:ascii="Arial" w:cs="Arial" w:eastAsia="Arial" w:hAnsi="Arial"/>
          <w:sz w:val="18"/>
          <w:szCs w:val="18"/>
          <w:color w:val="auto"/>
        </w:rPr>
      </w:pPr>
    </w:p>
    <w:p>
      <w:pPr>
        <w:ind w:left="660" w:right="220" w:hanging="314"/>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From time to time, banks, finance companies, hedge</w:t>
      </w:r>
      <w:r>
        <w:rPr>
          <w:rFonts w:ascii="Arial" w:cs="Arial" w:eastAsia="Arial" w:hAnsi="Arial"/>
          <w:sz w:val="18"/>
          <w:szCs w:val="18"/>
          <w:b w:val="1"/>
          <w:bCs w:val="1"/>
          <w:color w:val="auto"/>
        </w:rPr>
        <w:t xml:space="preserve"> </w:t>
      </w:r>
      <w:r>
        <w:rPr>
          <w:rFonts w:ascii="Arial" w:cs="Arial" w:eastAsia="Arial" w:hAnsi="Arial"/>
          <w:sz w:val="18"/>
          <w:szCs w:val="18"/>
          <w:color w:val="auto"/>
        </w:rPr>
        <w:t>funds and CLO funds have withdrawn, and may again withdraw, capital from the middle-market, resulting in opportunities for alternative funding sources.</w:t>
      </w:r>
    </w:p>
    <w:p>
      <w:pPr>
        <w:spacing w:after="0" w:line="51" w:lineRule="exact"/>
        <w:rPr>
          <w:rFonts w:ascii="Arial" w:cs="Arial" w:eastAsia="Arial" w:hAnsi="Arial"/>
          <w:sz w:val="18"/>
          <w:szCs w:val="18"/>
          <w:color w:val="auto"/>
        </w:rPr>
      </w:pPr>
    </w:p>
    <w:p>
      <w:pPr>
        <w:ind w:left="660" w:right="20" w:hanging="314"/>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credit market dislocation for middle-market companies improves the risk-reward on our investments. </w:t>
      </w:r>
      <w:r>
        <w:rPr>
          <w:rFonts w:ascii="Arial" w:cs="Arial" w:eastAsia="Arial" w:hAnsi="Arial"/>
          <w:sz w:val="18"/>
          <w:szCs w:val="18"/>
          <w:color w:val="auto"/>
        </w:rPr>
        <w:t>From time to time, market</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have reduced lending to middle-market and non-investment grade borrowers. As a result, there is less competition in our market, more conservative capital structures, higher yields and stronger covenants.</w:t>
      </w:r>
    </w:p>
    <w:p>
      <w:pPr>
        <w:spacing w:after="0" w:line="51" w:lineRule="exact"/>
        <w:rPr>
          <w:rFonts w:ascii="Arial" w:cs="Arial" w:eastAsia="Arial" w:hAnsi="Arial"/>
          <w:sz w:val="18"/>
          <w:szCs w:val="18"/>
          <w:color w:val="auto"/>
        </w:rPr>
      </w:pPr>
    </w:p>
    <w:p>
      <w:pPr>
        <w:ind w:left="660" w:right="140" w:hanging="314"/>
        <w:spacing w:after="0" w:line="301"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funds generally seek to leverage their investments by combining their capital with senior secured debt and/or mezzanine debt provided by other sources, and we believe that our capital is well-positioned to partner with such equity investors.</w:t>
      </w:r>
    </w:p>
    <w:p>
      <w:pPr>
        <w:spacing w:after="0" w:line="22" w:lineRule="exact"/>
        <w:rPr>
          <w:rFonts w:ascii="Arial" w:cs="Arial" w:eastAsia="Arial" w:hAnsi="Arial"/>
          <w:sz w:val="16"/>
          <w:szCs w:val="16"/>
          <w:color w:val="auto"/>
        </w:rPr>
      </w:pPr>
    </w:p>
    <w:p>
      <w:pPr>
        <w:ind w:left="660" w:hanging="314"/>
        <w:spacing w:after="0" w:line="296"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substantial supply of opportunities resulting from maturing loans that seek refinancing. </w:t>
      </w:r>
      <w:r>
        <w:rPr>
          <w:rFonts w:ascii="Arial" w:cs="Arial" w:eastAsia="Arial" w:hAnsi="Arial"/>
          <w:sz w:val="16"/>
          <w:szCs w:val="16"/>
          <w:color w:val="auto"/>
        </w:rPr>
        <w:t>A high volume of financings will</w:t>
      </w:r>
      <w:r>
        <w:rPr>
          <w:rFonts w:ascii="Arial" w:cs="Arial" w:eastAsia="Arial" w:hAnsi="Arial"/>
          <w:sz w:val="16"/>
          <w:szCs w:val="16"/>
          <w:b w:val="1"/>
          <w:bCs w:val="1"/>
          <w:color w:val="auto"/>
        </w:rPr>
        <w:t xml:space="preserve"> </w:t>
      </w:r>
      <w:r>
        <w:rPr>
          <w:rFonts w:ascii="Arial" w:cs="Arial" w:eastAsia="Arial" w:hAnsi="Arial"/>
          <w:sz w:val="16"/>
          <w:szCs w:val="16"/>
          <w:color w:val="auto"/>
        </w:rPr>
        <w:t>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lack of demand offers attractive risk-reward to investors.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Advantages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25" w:lineRule="exact"/>
        <w:rPr>
          <w:sz w:val="20"/>
          <w:szCs w:val="20"/>
          <w:color w:val="auto"/>
        </w:rPr>
      </w:pPr>
    </w:p>
    <w:p>
      <w:pPr>
        <w:ind w:left="1140" w:hanging="335"/>
        <w:spacing w:after="0"/>
        <w:tabs>
          <w:tab w:leader="none" w:pos="114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Experienced Management Team</w:t>
      </w:r>
    </w:p>
    <w:p>
      <w:pPr>
        <w:spacing w:after="0" w:line="90" w:lineRule="exact"/>
        <w:rPr>
          <w:sz w:val="20"/>
          <w:szCs w:val="20"/>
          <w:color w:val="auto"/>
        </w:rPr>
      </w:pPr>
    </w:p>
    <w:p>
      <w:pPr>
        <w:ind w:right="200" w:firstLine="571"/>
        <w:spacing w:after="0" w:line="298" w:lineRule="auto"/>
        <w:rPr>
          <w:sz w:val="20"/>
          <w:szCs w:val="20"/>
          <w:color w:val="auto"/>
        </w:rPr>
      </w:pPr>
      <w:r>
        <w:rPr>
          <w:rFonts w:ascii="Arial" w:cs="Arial" w:eastAsia="Arial" w:hAnsi="Arial"/>
          <w:sz w:val="16"/>
          <w:szCs w:val="16"/>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86"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financial solutions to middle-market companies as a result of specialized due diligence, underwriting capabilities and more extensive ongoing monitoring required as lender.</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40" w:hanging="335"/>
        <w:spacing w:after="0"/>
        <w:tabs>
          <w:tab w:leader="none" w:pos="114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jc w:val="both"/>
        <w:ind w:right="100" w:firstLine="571"/>
        <w:spacing w:after="0" w:line="323" w:lineRule="auto"/>
        <w:rPr>
          <w:sz w:val="20"/>
          <w:szCs w:val="20"/>
          <w:color w:val="auto"/>
        </w:rPr>
      </w:pPr>
      <w:r>
        <w:rPr>
          <w:rFonts w:ascii="Arial" w:cs="Arial" w:eastAsia="Arial" w:hAnsi="Arial"/>
          <w:sz w:val="15"/>
          <w:szCs w:val="15"/>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71"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for more information.</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158"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25" w:lineRule="exact"/>
        <w:rPr>
          <w:sz w:val="20"/>
          <w:szCs w:val="20"/>
          <w:color w:val="auto"/>
        </w:rPr>
      </w:pPr>
    </w:p>
    <w:p>
      <w:pPr>
        <w:ind w:left="1140" w:hanging="335"/>
        <w:spacing w:after="0"/>
        <w:tabs>
          <w:tab w:leader="none" w:pos="1140" w:val="left"/>
        </w:tabs>
        <w:numPr>
          <w:ilvl w:val="0"/>
          <w:numId w:val="3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Ability to Source and Evaluate Transactions through our Investment Adviser’s Proactive, Research Capability and Established Network</w:t>
      </w:r>
    </w:p>
    <w:p>
      <w:pPr>
        <w:spacing w:after="0" w:line="113" w:lineRule="exact"/>
        <w:rPr>
          <w:sz w:val="20"/>
          <w:szCs w:val="20"/>
          <w:color w:val="auto"/>
        </w:rPr>
      </w:pPr>
    </w:p>
    <w:p>
      <w:pPr>
        <w:ind w:right="240" w:firstLine="571"/>
        <w:spacing w:after="0" w:line="255"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97" w:lineRule="exact"/>
        <w:rPr>
          <w:sz w:val="20"/>
          <w:szCs w:val="20"/>
          <w:color w:val="auto"/>
        </w:rPr>
      </w:pPr>
    </w:p>
    <w:p>
      <w:pPr>
        <w:ind w:left="1140" w:hanging="335"/>
        <w:spacing w:after="0"/>
        <w:tabs>
          <w:tab w:leader="none" w:pos="114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240" w:firstLine="571"/>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risk-reward. We can invest in all parts of a capital structure and our Investment Adviser has extensive experience in a wide variety of securities for leveraged companies throughout economic and market cycles.</w:t>
      </w:r>
    </w:p>
    <w:p>
      <w:pPr>
        <w:spacing w:after="0" w:line="113"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105"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jc w:val="both"/>
        <w:ind w:firstLine="571"/>
        <w:spacing w:after="0" w:line="28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However, we believe that from time to time there has been a reduction in the amount of debt capital available to middle-market companies, which we believe has resulted in a less competitive environment for making new investments.</w:t>
      </w:r>
    </w:p>
    <w:p>
      <w:pPr>
        <w:spacing w:after="0" w:line="111"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We maintain a multi-currency $545.0 million Credit Facility which matures in June 2019, and is secured by substantially all of our investment portfolio assets (excluding the assets of our SBIC Funds), under which we had $148.1 million and $50.3 million, respectively, outstanding borrowings with a weighted average interest rate of 2.63% and 2.76% as of December 31, 2016 and September 30, 2016, respectively, excluding the undrawn commitment fees of 0.375%. Pricing of borrowings under our current Credit Facility is set at 225 basis points over LIBOR. As of December 31, 2016 and September 30, 2016, we had $396.9 million and $494.7 million, respectively, of unused borrowing capacity under our Credit Facility subject to regulatory restrictions. We believe that our capital resources will provide us with the flexibility to take advantage of market opportunities when they arise. Our use of leverage, as calculated under the asset coverage requirements of the 1940 Act, may generally range between 60% and 80% of our net assets.</w:t>
      </w:r>
    </w:p>
    <w:p>
      <w:pPr>
        <w:spacing w:after="0" w:line="91"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As of December 31, 2016 and September 30, 2016, our SBIC Funds had $225 million in debt commitments, of which $197.5 million was drawn, with a weighted average interest rate of 3.44% for each period, exclusive of 3.43% of upfront fees. The SBA debentures mature between September 2020 and September 2026. SBA debentures offer competitive terms such as being non-recourse to us, a 10-year maturity, semi-annual interest payments, not requiring principal payments prior to maturity and may be prepaid at any time without penalty. The SBA debentures are secured by all the investment portfolio assets of our SBIC Funds and have a priority claim over such assets relative to all other creditors. See “Regulation” for more information.</w:t>
      </w:r>
    </w:p>
    <w:p>
      <w:pPr>
        <w:spacing w:after="0" w:line="89"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As of December 31, 2016 and September 30, 2016, we had $250.0 million in aggregate principal amount of 2019 Notes outstanding. Interest on the 2019 Notes accrues at a rate of 4.50% per year and is paid semi-annually.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w:t>
      </w:r>
    </w:p>
    <w:p>
      <w:pPr>
        <w:spacing w:after="0" w:line="86"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As of December 31, 2016 and September 30, 2016, we had $71.3 million in aggregate principal amount of 2025 Notes outstanding. Interest on the 2025 Notes accrues at a rate of 6.25% per year and is paid quarterly.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OBJECTIVES AND POLICIES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We seek to create a diversified portfolio that includes senior secured debt, mezzanine debt and, to a lesser extent, equity by targeting an investment size of $10 million to $50 million in securities, on average,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S&amp;P’s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In addition, we expect our debt investments to range in maturity from three to ten years.</w:t>
      </w:r>
    </w:p>
    <w:p>
      <w:pPr>
        <w:spacing w:after="0" w:line="120" w:lineRule="exact"/>
        <w:rPr>
          <w:sz w:val="20"/>
          <w:szCs w:val="20"/>
          <w:color w:val="auto"/>
        </w:rPr>
      </w:pPr>
    </w:p>
    <w:p>
      <w:pPr>
        <w:ind w:right="160" w:firstLine="565"/>
        <w:spacing w:after="0" w:line="254" w:lineRule="auto"/>
        <w:rPr>
          <w:sz w:val="20"/>
          <w:szCs w:val="20"/>
          <w:color w:val="auto"/>
        </w:rPr>
      </w:pPr>
      <w:r>
        <w:rPr>
          <w:rFonts w:ascii="Arial" w:cs="Arial" w:eastAsia="Arial" w:hAnsi="Arial"/>
          <w:sz w:val="18"/>
          <w:szCs w:val="18"/>
          <w:color w:val="auto"/>
        </w:rPr>
        <w:t>Over time, we expect that our portfolio will continue to consist primarily of senior secured debt, mezzanine debt and, to a lesser extent, equity investments in qualifying assets such as private, or thinly traded or small market-capitalization, U.S. middle 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We may acquire investments in the secondary market. See “Regulation—Qualifying Assets” and “Investment Selection Criteria” for more information.</w:t>
      </w:r>
    </w:p>
    <w:p>
      <w:pPr>
        <w:spacing w:after="0" w:line="117" w:lineRule="exact"/>
        <w:rPr>
          <w:sz w:val="20"/>
          <w:szCs w:val="20"/>
          <w:color w:val="auto"/>
        </w:rPr>
      </w:pPr>
    </w:p>
    <w:p>
      <w:pPr>
        <w:ind w:right="120" w:firstLine="571"/>
        <w:spacing w:after="0" w:line="294"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securities. Nevertheless, the effects of changes to our operating policies and strategies may adversely affect our business, our ability to make distributions and the value of our securities.</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Senior Secured Debt</w:t>
      </w:r>
    </w:p>
    <w:p>
      <w:pPr>
        <w:spacing w:after="0" w:line="96"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Structurally, senior secured debt (which we define to include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Structurally, mezzanine debt (which we define to include second lien secured debt and subordinated debt) usually ranks subordinate in priority of payment to senior secured debt. Our second lien secured debt is subordinated debt that benefits from a security interest in the borrower. As such, other creditors may rank senior to us in the event of insolvency. Mezzanine debt ranks senior to common and preferred equity in borrowers’ capital structures. Due to its higher risk profile and often less restrictive covenants as compared to senior secured debt, mezzanine debt generally earns a higher return than senior secured debt. In many cases mezzanine investors receive opportunities to invest directly in the equity securities of borrowers and from time to time may also receive warrants to purchase equity securities. We evaluate these investment opportunities on a case-by-case basis.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We are committed to a value-oriented philosophy used by the senior investment professionals who manage our portfolio and seek to minimize the risk of capital loss without foregoing potential for capital appreciation.</w:t>
      </w:r>
    </w:p>
    <w:p>
      <w:pPr>
        <w:spacing w:after="0" w:line="132"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opportunities and to structure investments efficiently and effectively.</w:t>
      </w:r>
    </w:p>
    <w:p>
      <w:pPr>
        <w:spacing w:after="0" w:line="184" w:lineRule="exact"/>
        <w:rPr>
          <w:sz w:val="20"/>
          <w:szCs w:val="20"/>
          <w:color w:val="auto"/>
        </w:rPr>
      </w:pPr>
    </w:p>
    <w:p>
      <w:pPr>
        <w:ind w:left="1120" w:hanging="437"/>
        <w:spacing w:after="0"/>
        <w:tabs>
          <w:tab w:leader="none" w:pos="112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Leading and defensible competitive market positions</w:t>
      </w:r>
    </w:p>
    <w:p>
      <w:pPr>
        <w:spacing w:after="0" w:line="90"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also seeks to invest in portfolio companies that it believes possess competitive advantages, for example, in scale, scope, customer loyalty, product pricing or product quality as compared to their competitors to protect their market position.</w:t>
      </w:r>
    </w:p>
    <w:p>
      <w:pPr>
        <w:spacing w:after="0" w:line="184" w:lineRule="exact"/>
        <w:rPr>
          <w:sz w:val="20"/>
          <w:szCs w:val="20"/>
          <w:color w:val="auto"/>
        </w:rPr>
      </w:pPr>
    </w:p>
    <w:p>
      <w:pPr>
        <w:ind w:left="1120" w:hanging="437"/>
        <w:spacing w:after="0"/>
        <w:tabs>
          <w:tab w:leader="none" w:pos="112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stable borrowers with positive cash flow</w:t>
      </w:r>
    </w:p>
    <w:p>
      <w:pPr>
        <w:spacing w:after="0" w:line="90"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Our investment philosophy places a premium on fundamental analysis and has a distinct value-orientation. The Investment Adviser invests in portfolio companies it believes to be 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56" w:lineRule="exact"/>
        <w:rPr>
          <w:sz w:val="20"/>
          <w:szCs w:val="20"/>
          <w:color w:val="auto"/>
        </w:rPr>
      </w:pPr>
    </w:p>
    <w:p>
      <w:pPr>
        <w:ind w:left="1120" w:hanging="437"/>
        <w:spacing w:after="0"/>
        <w:tabs>
          <w:tab w:leader="none" w:pos="112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Proven management teams</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181" w:lineRule="exact"/>
        <w:rPr>
          <w:sz w:val="20"/>
          <w:szCs w:val="20"/>
          <w:color w:val="auto"/>
        </w:rPr>
      </w:pPr>
    </w:p>
    <w:p>
      <w:pPr>
        <w:ind w:left="1120" w:hanging="437"/>
        <w:spacing w:after="0"/>
        <w:tabs>
          <w:tab w:leader="none" w:pos="112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sponsorship</w:t>
      </w:r>
    </w:p>
    <w:p>
      <w:pPr>
        <w:spacing w:after="0" w:line="90"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The Investment Adviser may seek to cause us to participate in transactions sponsored by what it believes to be trusted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the ability, and a strong incentive, to contribute additional capital in difficult economic times should financial or operational issues arise so as to maintain their ownership position.</w:t>
      </w:r>
    </w:p>
    <w:p>
      <w:pPr>
        <w:spacing w:after="0" w:line="153" w:lineRule="exact"/>
        <w:rPr>
          <w:sz w:val="20"/>
          <w:szCs w:val="20"/>
          <w:color w:val="auto"/>
        </w:rPr>
      </w:pPr>
    </w:p>
    <w:p>
      <w:pPr>
        <w:ind w:left="1120" w:hanging="437"/>
        <w:spacing w:after="0"/>
        <w:tabs>
          <w:tab w:leader="none" w:pos="112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 in different borrowers, industries and geographies</w:t>
      </w:r>
    </w:p>
    <w:p>
      <w:pPr>
        <w:spacing w:after="0" w:line="90"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The Investment Adviser seeks to invest our assets broadly among portfolio companies, across industries and geographic regions. The Investment Adviser believes that this approach may reduce the risk that a downturn in any one portfolio company, industry or geographic region will have a disproportionate impact on the value of our portfolio, although we are permitted to be non-diversified under the 1940 Act.</w:t>
      </w:r>
    </w:p>
    <w:p>
      <w:pPr>
        <w:spacing w:after="0" w:line="181" w:lineRule="exact"/>
        <w:rPr>
          <w:sz w:val="20"/>
          <w:szCs w:val="20"/>
          <w:color w:val="auto"/>
        </w:rPr>
      </w:pPr>
    </w:p>
    <w:p>
      <w:pPr>
        <w:ind w:left="1120" w:hanging="437"/>
        <w:spacing w:after="0"/>
        <w:tabs>
          <w:tab w:leader="none" w:pos="112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Viable exit strategy</w:t>
      </w:r>
    </w:p>
    <w:p>
      <w:pPr>
        <w:spacing w:after="0" w:line="90"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Due Diligence</w:t>
      </w:r>
    </w:p>
    <w:p>
      <w:pPr>
        <w:spacing w:after="0" w:line="90"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due diligence may include:</w:t>
      </w:r>
    </w:p>
    <w:p>
      <w:pPr>
        <w:spacing w:after="0" w:line="158"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research relating to the portfolio company’s management, industry, markets, products and services and competitors;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 of loan documents; and</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background checks.</w:t>
      </w:r>
    </w:p>
    <w:p>
      <w:pPr>
        <w:spacing w:after="0" w:line="144"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05"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Upon the completion of due diligence on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Rather, they are employees of and receive compensation from our Investment Adviser.</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90"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113" w:lineRule="exact"/>
        <w:rPr>
          <w:sz w:val="20"/>
          <w:szCs w:val="20"/>
          <w:color w:val="auto"/>
        </w:rPr>
      </w:pPr>
    </w:p>
    <w:p>
      <w:pPr>
        <w:ind w:right="140" w:firstLine="571"/>
        <w:spacing w:after="0" w:line="370" w:lineRule="auto"/>
        <w:rPr>
          <w:sz w:val="20"/>
          <w:szCs w:val="20"/>
          <w:color w:val="auto"/>
        </w:rPr>
      </w:pPr>
      <w:r>
        <w:rPr>
          <w:rFonts w:ascii="Arial" w:cs="Arial" w:eastAsia="Arial" w:hAnsi="Arial"/>
          <w:sz w:val="15"/>
          <w:szCs w:val="15"/>
          <w:color w:val="auto"/>
        </w:rPr>
        <w:t>We expect our senior secured debt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35" w:lineRule="exact"/>
        <w:rPr>
          <w:sz w:val="20"/>
          <w:szCs w:val="20"/>
          <w:color w:val="auto"/>
        </w:rPr>
      </w:pPr>
    </w:p>
    <w:p>
      <w:pPr>
        <w:ind w:right="40" w:firstLine="571"/>
        <w:spacing w:after="0" w:line="323" w:lineRule="auto"/>
        <w:rPr>
          <w:sz w:val="20"/>
          <w:szCs w:val="20"/>
          <w:color w:val="auto"/>
        </w:rPr>
      </w:pPr>
      <w:r>
        <w:rPr>
          <w:rFonts w:ascii="Arial" w:cs="Arial" w:eastAsia="Arial" w:hAnsi="Arial"/>
          <w:sz w:val="15"/>
          <w:szCs w:val="15"/>
          <w:color w:val="auto"/>
        </w:rPr>
        <w:t>Typically, our mezzanine debt investments have maturities of three to ten years. Mezzanine debt may take the form of a second priority lien on the assets of a portfolio company and have interest-only payments in the early years with cash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mezzanine debt may be collateralized by a subordinated lien on some or all of the assets of the borrower.</w:t>
      </w:r>
    </w:p>
    <w:p>
      <w:pPr>
        <w:spacing w:after="0" w:line="71" w:lineRule="exact"/>
        <w:rPr>
          <w:sz w:val="20"/>
          <w:szCs w:val="20"/>
          <w:color w:val="auto"/>
        </w:rPr>
      </w:pPr>
    </w:p>
    <w:p>
      <w:pPr>
        <w:ind w:firstLine="342"/>
        <w:spacing w:after="0" w:line="335" w:lineRule="auto"/>
        <w:rPr>
          <w:sz w:val="20"/>
          <w:szCs w:val="20"/>
          <w:color w:val="auto"/>
        </w:rPr>
      </w:pPr>
      <w:r>
        <w:rPr>
          <w:rFonts w:ascii="Arial" w:cs="Arial" w:eastAsia="Arial" w:hAnsi="Arial"/>
          <w:sz w:val="15"/>
          <w:szCs w:val="15"/>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75" w:lineRule="exact"/>
        <w:rPr>
          <w:sz w:val="20"/>
          <w:szCs w:val="20"/>
          <w:color w:val="auto"/>
        </w:rPr>
      </w:pPr>
    </w:p>
    <w:p>
      <w:pPr>
        <w:ind w:left="900" w:right="220" w:hanging="67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requiring a total return on our investments (including both interest in the form of a floor and potential equity appreciation) that compensates us for credit risk;</w:t>
      </w:r>
    </w:p>
    <w:p>
      <w:pPr>
        <w:spacing w:after="0" w:line="118" w:lineRule="exact"/>
        <w:rPr>
          <w:rFonts w:ascii="Arial" w:cs="Arial" w:eastAsia="Arial" w:hAnsi="Arial"/>
          <w:sz w:val="18"/>
          <w:szCs w:val="18"/>
          <w:color w:val="auto"/>
        </w:rPr>
      </w:pPr>
    </w:p>
    <w:p>
      <w:pPr>
        <w:ind w:left="900" w:hanging="67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157" w:lineRule="exact"/>
        <w:rPr>
          <w:rFonts w:ascii="Arial" w:cs="Arial" w:eastAsia="Arial" w:hAnsi="Arial"/>
          <w:sz w:val="18"/>
          <w:szCs w:val="18"/>
          <w:color w:val="auto"/>
        </w:rPr>
      </w:pPr>
    </w:p>
    <w:p>
      <w:pPr>
        <w:jc w:val="both"/>
        <w:ind w:left="900" w:right="320" w:hanging="676"/>
        <w:spacing w:after="0" w:line="306"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89"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expect to hold most of our investments to maturity or repayment, but we may exit certain investments earlier when a liquidity event, such as the sale or refinancing of a portfolio company, takes place. We also may turn over investments to better position the portfolio in light of market conditions.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right="560" w:firstLine="571"/>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also monitors the financial trends of each portfolio company to determine if it is meeting its respective business plan and to assess the appropriate course of action for each portfolio company.</w:t>
      </w:r>
    </w:p>
    <w:p>
      <w:pPr>
        <w:spacing w:after="0" w:line="58" w:lineRule="exact"/>
        <w:rPr>
          <w:sz w:val="20"/>
          <w:szCs w:val="20"/>
          <w:color w:val="auto"/>
        </w:rPr>
      </w:pPr>
    </w:p>
    <w:p>
      <w:pPr>
        <w:ind w:right="340" w:firstLine="571"/>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118" w:lineRule="exact"/>
        <w:rPr>
          <w:sz w:val="20"/>
          <w:szCs w:val="20"/>
          <w:color w:val="auto"/>
        </w:rPr>
      </w:pPr>
    </w:p>
    <w:p>
      <w:pPr>
        <w:ind w:left="900" w:hanging="67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157" w:lineRule="exact"/>
        <w:rPr>
          <w:rFonts w:ascii="Arial" w:cs="Arial" w:eastAsia="Arial" w:hAnsi="Arial"/>
          <w:sz w:val="18"/>
          <w:szCs w:val="18"/>
          <w:color w:val="auto"/>
        </w:rPr>
      </w:pPr>
    </w:p>
    <w:p>
      <w:pPr>
        <w:ind w:left="900" w:right="200" w:hanging="67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requirements and accomplishments;</w:t>
      </w:r>
    </w:p>
    <w:p>
      <w:pPr>
        <w:spacing w:after="0" w:line="118" w:lineRule="exact"/>
        <w:rPr>
          <w:rFonts w:ascii="Arial" w:cs="Arial" w:eastAsia="Arial" w:hAnsi="Arial"/>
          <w:sz w:val="18"/>
          <w:szCs w:val="18"/>
          <w:color w:val="auto"/>
        </w:rPr>
      </w:pPr>
    </w:p>
    <w:p>
      <w:pPr>
        <w:ind w:left="900" w:hanging="67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157" w:lineRule="exact"/>
        <w:rPr>
          <w:rFonts w:ascii="Arial" w:cs="Arial" w:eastAsia="Arial" w:hAnsi="Arial"/>
          <w:sz w:val="18"/>
          <w:szCs w:val="18"/>
          <w:color w:val="auto"/>
        </w:rPr>
      </w:pPr>
    </w:p>
    <w:p>
      <w:pPr>
        <w:ind w:left="900" w:hanging="67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157" w:lineRule="exact"/>
        <w:rPr>
          <w:rFonts w:ascii="Arial" w:cs="Arial" w:eastAsia="Arial" w:hAnsi="Arial"/>
          <w:sz w:val="18"/>
          <w:szCs w:val="18"/>
          <w:color w:val="auto"/>
        </w:rPr>
      </w:pPr>
    </w:p>
    <w:p>
      <w:pPr>
        <w:ind w:left="900" w:hanging="67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 of periodic financial statements and financial projections for portfolio companies.</w:t>
      </w:r>
    </w:p>
    <w:p>
      <w:pPr>
        <w:spacing w:after="0" w:line="144" w:lineRule="exact"/>
        <w:rPr>
          <w:sz w:val="20"/>
          <w:szCs w:val="20"/>
          <w:color w:val="auto"/>
        </w:rPr>
      </w:pPr>
    </w:p>
    <w:p>
      <w:pPr>
        <w:ind w:right="160" w:firstLine="571"/>
        <w:spacing w:after="0" w:line="291" w:lineRule="auto"/>
        <w:rPr>
          <w:sz w:val="20"/>
          <w:szCs w:val="20"/>
          <w:color w:val="auto"/>
        </w:rPr>
      </w:pPr>
      <w:r>
        <w:rPr>
          <w:rFonts w:ascii="Arial" w:cs="Arial" w:eastAsia="Arial" w:hAnsi="Arial"/>
          <w:sz w:val="16"/>
          <w:szCs w:val="16"/>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capital requirements; (6) a portfolio company’s interest and asset coverage; and (7) the relative value of an investment based on a portfolio company’s anticipated cash flow.</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Managerial assistance</w:t>
      </w:r>
    </w:p>
    <w:p>
      <w:pPr>
        <w:spacing w:after="0" w:line="90" w:lineRule="exact"/>
        <w:rPr>
          <w:sz w:val="20"/>
          <w:szCs w:val="20"/>
          <w:color w:val="auto"/>
        </w:rPr>
      </w:pPr>
    </w:p>
    <w:p>
      <w:pPr>
        <w:ind w:right="120" w:firstLine="571"/>
        <w:spacing w:after="0" w:line="268" w:lineRule="auto"/>
        <w:rPr>
          <w:sz w:val="20"/>
          <w:szCs w:val="20"/>
          <w:color w:val="auto"/>
        </w:rPr>
      </w:pPr>
      <w:r>
        <w:rPr>
          <w:rFonts w:ascii="Arial" w:cs="Arial" w:eastAsia="Arial" w:hAnsi="Arial"/>
          <w:sz w:val="18"/>
          <w:szCs w:val="18"/>
          <w:color w:val="auto"/>
        </w:rPr>
        <w:t>We offer managerial assistance to our portfolio companies. As a BDC, we are required to make available such managerial assistance within the meaning of Section 55 of the 1940 Act. See “Regulation” for more information.</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Staffing</w:t>
      </w:r>
    </w:p>
    <w:p>
      <w:pPr>
        <w:spacing w:after="0" w:line="9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Our Portfolio</w:t>
      </w:r>
    </w:p>
    <w:p>
      <w:pPr>
        <w:spacing w:after="0" w:line="117"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Our principal investment focus is to provide senior secured debt and mezzanine debt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9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 Aerospace and Defense</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Energy/Utilities</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 Auto Sector</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Environmental Services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Beverage, Food and Tobacco</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Financial Services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Broadcasting and Entertainment</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Grocery</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Buildings and Real Estate</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Healthcare, Education and Childcare</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Building Materials</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High Tech Industries</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 Business Services</w:t>
            </w:r>
          </w:p>
        </w:tc>
        <w:tc>
          <w:tcPr>
            <w:tcW w:w="5420" w:type="dxa"/>
            <w:vAlign w:val="bottom"/>
            <w:gridSpan w:val="2"/>
          </w:tcPr>
          <w:p>
            <w:pPr>
              <w:ind w:left="800"/>
              <w:spacing w:after="0"/>
              <w:rPr>
                <w:sz w:val="20"/>
                <w:szCs w:val="20"/>
                <w:color w:val="auto"/>
              </w:rPr>
            </w:pPr>
            <w:r>
              <w:rPr>
                <w:rFonts w:ascii="Arial" w:cs="Arial" w:eastAsia="Arial" w:hAnsi="Arial"/>
                <w:sz w:val="18"/>
                <w:szCs w:val="18"/>
                <w:color w:val="auto"/>
                <w:w w:val="90"/>
              </w:rPr>
              <w:t>• Home &amp; Office Furnishings, Housewares &amp; Durable Consumer</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Cable Television</w:t>
            </w:r>
          </w:p>
        </w:tc>
        <w:tc>
          <w:tcPr>
            <w:tcW w:w="90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Products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Capital Equipment</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Hotels, Motels, Inns and Gaming</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Cargo Transportation</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Insurance</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Chemicals, Plastics and Rubber</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Leisure, Amusement, Motion Picture, Entertainment</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Logistics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Consumer Products</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Manufacturing/Basic Industries</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 Consumer Services</w:t>
            </w:r>
          </w:p>
        </w:tc>
        <w:tc>
          <w:tcPr>
            <w:tcW w:w="5420" w:type="dxa"/>
            <w:vAlign w:val="bottom"/>
            <w:gridSpan w:val="2"/>
          </w:tcPr>
          <w:p>
            <w:pPr>
              <w:ind w:left="800"/>
              <w:spacing w:after="0"/>
              <w:rPr>
                <w:sz w:val="20"/>
                <w:szCs w:val="20"/>
                <w:color w:val="auto"/>
              </w:rPr>
            </w:pPr>
            <w:r>
              <w:rPr>
                <w:rFonts w:ascii="Arial" w:cs="Arial" w:eastAsia="Arial" w:hAnsi="Arial"/>
                <w:sz w:val="18"/>
                <w:szCs w:val="18"/>
                <w:color w:val="auto"/>
              </w:rPr>
              <w:t>• Media</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Containers Packaging &amp; Glass</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Mining, Steel, Iron and Non-Precious Metals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Oil and Gas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Diversified/Conglomerate Manufacturing</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Other Media</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Diversified/Conglomerate Services</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Personal, Food and Miscellaneous Services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Diversified Natural Resources, Precious Metals and Minerals</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Printing and Publishing</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Education</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Retail</w:t>
            </w:r>
          </w:p>
        </w:tc>
      </w:tr>
      <w:tr>
        <w:trPr>
          <w:trHeight w:val="222"/>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tcPr>
          <w:p>
            <w:pPr>
              <w:ind w:left="40"/>
              <w:spacing w:after="0"/>
              <w:rPr>
                <w:sz w:val="20"/>
                <w:szCs w:val="20"/>
                <w:color w:val="auto"/>
              </w:rPr>
            </w:pPr>
            <w:r>
              <w:rPr>
                <w:rFonts w:ascii="Arial" w:cs="Arial" w:eastAsia="Arial" w:hAnsi="Arial"/>
                <w:sz w:val="18"/>
                <w:szCs w:val="18"/>
                <w:color w:val="auto"/>
              </w:rPr>
              <w:t>Electronics</w:t>
            </w:r>
          </w:p>
        </w:tc>
        <w:tc>
          <w:tcPr>
            <w:tcW w:w="900" w:type="dxa"/>
            <w:vAlign w:val="bottom"/>
          </w:tcPr>
          <w:p>
            <w:pPr>
              <w:ind w:left="80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Wholesale</w:t>
            </w:r>
          </w:p>
        </w:tc>
      </w:tr>
    </w:tbl>
    <w:p>
      <w:pPr>
        <w:spacing w:after="0" w:line="142" w:lineRule="exact"/>
        <w:rPr>
          <w:sz w:val="20"/>
          <w:szCs w:val="20"/>
          <w:color w:val="auto"/>
        </w:rPr>
      </w:pPr>
    </w:p>
    <w:p>
      <w:pPr>
        <w:ind w:right="760" w:firstLine="571"/>
        <w:spacing w:after="0" w:line="268"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equivalents) as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Portfolio Company</w:t>
            </w:r>
          </w:p>
        </w:tc>
        <w:tc>
          <w:tcPr>
            <w:tcW w:w="2360" w:type="dxa"/>
            <w:vAlign w:val="bottom"/>
          </w:tcPr>
          <w:p>
            <w:pPr>
              <w:spacing w:after="0"/>
              <w:rPr>
                <w:sz w:val="20"/>
                <w:szCs w:val="20"/>
                <w:color w:val="auto"/>
              </w:rPr>
            </w:pPr>
          </w:p>
        </w:tc>
        <w:tc>
          <w:tcPr>
            <w:tcW w:w="1620" w:type="dxa"/>
            <w:vAlign w:val="bottom"/>
            <w:gridSpan w:val="2"/>
          </w:tcPr>
          <w:p>
            <w:pPr>
              <w:spacing w:after="0"/>
              <w:rPr>
                <w:sz w:val="20"/>
                <w:szCs w:val="20"/>
                <w:color w:val="auto"/>
              </w:rPr>
            </w:pPr>
            <w:r>
              <w:rPr>
                <w:rFonts w:ascii="Arial" w:cs="Arial" w:eastAsia="Arial" w:hAnsi="Arial"/>
                <w:sz w:val="18"/>
                <w:szCs w:val="18"/>
                <w:b w:val="1"/>
                <w:bCs w:val="1"/>
                <w:color w:val="auto"/>
                <w:w w:val="98"/>
              </w:rPr>
              <w:t>December 31, 2016</w:t>
            </w:r>
          </w:p>
        </w:tc>
        <w:tc>
          <w:tcPr>
            <w:tcW w:w="340" w:type="dxa"/>
            <w:vAlign w:val="bottom"/>
          </w:tcPr>
          <w:p>
            <w:pPr>
              <w:spacing w:after="0"/>
              <w:rPr>
                <w:sz w:val="20"/>
                <w:szCs w:val="20"/>
                <w:color w:val="auto"/>
              </w:rPr>
            </w:pPr>
          </w:p>
        </w:tc>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Portfolio Company</w:t>
            </w:r>
          </w:p>
        </w:tc>
        <w:tc>
          <w:tcPr>
            <w:tcW w:w="2300" w:type="dxa"/>
            <w:vAlign w:val="bottom"/>
          </w:tcPr>
          <w:p>
            <w:pPr>
              <w:spacing w:after="0"/>
              <w:rPr>
                <w:sz w:val="20"/>
                <w:szCs w:val="20"/>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September 30, 2016</w:t>
            </w:r>
          </w:p>
        </w:tc>
        <w:tc>
          <w:tcPr>
            <w:tcW w:w="0" w:type="dxa"/>
            <w:vAlign w:val="bottom"/>
          </w:tcPr>
          <w:p>
            <w:pPr>
              <w:spacing w:after="0"/>
              <w:rPr>
                <w:sz w:val="1"/>
                <w:szCs w:val="1"/>
                <w:color w:val="auto"/>
              </w:rPr>
            </w:pPr>
          </w:p>
        </w:tc>
      </w:tr>
      <w:tr>
        <w:trPr>
          <w:trHeight w:val="20"/>
        </w:trPr>
        <w:tc>
          <w:tcPr>
            <w:tcW w:w="38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Parq Holdings Limited Partnership</w:t>
            </w: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8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Parq Holdings Limited Partnership</w:t>
            </w: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60" w:type="dxa"/>
            <w:vAlign w:val="bottom"/>
            <w:gridSpan w:val="2"/>
            <w:vMerge w:val="continue"/>
            <w:shd w:val="clear" w:color="auto" w:fill="CCEEFF"/>
          </w:tcPr>
          <w:p>
            <w:pPr>
              <w:spacing w:after="0"/>
              <w:rPr>
                <w:sz w:val="17"/>
                <w:szCs w:val="17"/>
                <w:color w:val="auto"/>
              </w:rPr>
            </w:pPr>
          </w:p>
        </w:tc>
        <w:tc>
          <w:tcPr>
            <w:tcW w:w="1620" w:type="dxa"/>
            <w:vAlign w:val="bottom"/>
            <w:gridSpan w:val="2"/>
            <w:shd w:val="clear" w:color="auto" w:fill="CCEEFF"/>
          </w:tcPr>
          <w:p>
            <w:pPr>
              <w:ind w:left="1340"/>
              <w:spacing w:after="0" w:line="203" w:lineRule="exact"/>
              <w:rPr>
                <w:sz w:val="20"/>
                <w:szCs w:val="20"/>
                <w:color w:val="auto"/>
              </w:rPr>
            </w:pPr>
            <w:r>
              <w:rPr>
                <w:rFonts w:ascii="Arial" w:cs="Arial" w:eastAsia="Arial" w:hAnsi="Arial"/>
                <w:sz w:val="18"/>
                <w:szCs w:val="18"/>
                <w:color w:val="auto"/>
                <w:w w:val="99"/>
              </w:rPr>
              <w:t>6%</w:t>
            </w:r>
          </w:p>
        </w:tc>
        <w:tc>
          <w:tcPr>
            <w:tcW w:w="340" w:type="dxa"/>
            <w:vAlign w:val="bottom"/>
            <w:vMerge w:val="continue"/>
          </w:tcPr>
          <w:p>
            <w:pPr>
              <w:spacing w:after="0"/>
              <w:rPr>
                <w:sz w:val="17"/>
                <w:szCs w:val="17"/>
                <w:color w:val="auto"/>
              </w:rPr>
            </w:pPr>
          </w:p>
        </w:tc>
        <w:tc>
          <w:tcPr>
            <w:tcW w:w="3800" w:type="dxa"/>
            <w:vAlign w:val="bottom"/>
            <w:gridSpan w:val="2"/>
            <w:vMerge w:val="continue"/>
            <w:shd w:val="clear" w:color="auto" w:fill="CCEEFF"/>
          </w:tcPr>
          <w:p>
            <w:pPr>
              <w:spacing w:after="0"/>
              <w:rPr>
                <w:sz w:val="17"/>
                <w:szCs w:val="17"/>
                <w:color w:val="auto"/>
              </w:rPr>
            </w:pPr>
          </w:p>
        </w:tc>
        <w:tc>
          <w:tcPr>
            <w:tcW w:w="1680" w:type="dxa"/>
            <w:vAlign w:val="bottom"/>
            <w:gridSpan w:val="2"/>
            <w:shd w:val="clear" w:color="auto" w:fill="CCEEFF"/>
          </w:tcPr>
          <w:p>
            <w:pPr>
              <w:ind w:left="1400"/>
              <w:spacing w:after="0" w:line="203"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RAM Energy LLC</w:t>
            </w:r>
          </w:p>
        </w:tc>
        <w:tc>
          <w:tcPr>
            <w:tcW w:w="1620" w:type="dxa"/>
            <w:vAlign w:val="bottom"/>
            <w:gridSpan w:val="2"/>
          </w:tcPr>
          <w:p>
            <w:pPr>
              <w:ind w:left="134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RAM Energy LLC</w:t>
            </w:r>
          </w:p>
        </w:tc>
        <w:tc>
          <w:tcPr>
            <w:tcW w:w="1680" w:type="dxa"/>
            <w:vAlign w:val="bottom"/>
            <w:gridSpan w:val="2"/>
          </w:tcPr>
          <w:p>
            <w:pPr>
              <w:ind w:left="14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Legal Services, Inc.</w:t>
            </w:r>
          </w:p>
        </w:tc>
        <w:tc>
          <w:tcPr>
            <w:tcW w:w="162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Affinion Group Holdings, Inc.</w:t>
            </w:r>
          </w:p>
        </w:tc>
        <w:tc>
          <w:tcPr>
            <w:tcW w:w="16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Affinion Group Holdings, Inc.</w:t>
            </w:r>
          </w:p>
        </w:tc>
        <w:tc>
          <w:tcPr>
            <w:tcW w:w="1620" w:type="dxa"/>
            <w:vAlign w:val="bottom"/>
            <w:gridSpan w:val="2"/>
          </w:tcPr>
          <w:p>
            <w:pPr>
              <w:ind w:left="134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Pre-Paid Legal Services, Inc.</w:t>
            </w:r>
          </w:p>
        </w:tc>
        <w:tc>
          <w:tcPr>
            <w:tcW w:w="1680" w:type="dxa"/>
            <w:vAlign w:val="bottom"/>
            <w:gridSpan w:val="2"/>
          </w:tcPr>
          <w:p>
            <w:pPr>
              <w:ind w:left="14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Jacobs Entertainment, Inc.</w:t>
            </w:r>
          </w:p>
        </w:tc>
        <w:tc>
          <w:tcPr>
            <w:tcW w:w="162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Jacobs Entertainment, Inc.</w:t>
            </w:r>
          </w:p>
        </w:tc>
        <w:tc>
          <w:tcPr>
            <w:tcW w:w="16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ETX Energy, LLC</w:t>
            </w:r>
          </w:p>
        </w:tc>
        <w:tc>
          <w:tcPr>
            <w:tcW w:w="1620" w:type="dxa"/>
            <w:vAlign w:val="bottom"/>
            <w:gridSpan w:val="2"/>
          </w:tcPr>
          <w:p>
            <w:pPr>
              <w:ind w:left="13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Novitex Acquisition, LLC</w:t>
            </w:r>
          </w:p>
        </w:tc>
        <w:tc>
          <w:tcPr>
            <w:tcW w:w="1680" w:type="dxa"/>
            <w:vAlign w:val="bottom"/>
            <w:gridSpan w:val="2"/>
          </w:tcPr>
          <w:p>
            <w:pPr>
              <w:ind w:left="14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Novitex Acquisition, LLC</w:t>
            </w:r>
          </w:p>
        </w:tc>
        <w:tc>
          <w:tcPr>
            <w:tcW w:w="162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Cascade Environmental LLC</w:t>
            </w:r>
          </w:p>
        </w:tc>
        <w:tc>
          <w:tcPr>
            <w:tcW w:w="16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Sunborn Oy, Sunborn Saga Oy</w:t>
            </w:r>
          </w:p>
        </w:tc>
        <w:tc>
          <w:tcPr>
            <w:tcW w:w="1620" w:type="dxa"/>
            <w:vAlign w:val="bottom"/>
            <w:gridSpan w:val="2"/>
          </w:tcPr>
          <w:p>
            <w:pPr>
              <w:ind w:left="13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w w:val="93"/>
              </w:rPr>
              <w:t>ETX Energy, LLC (f/k/a New Gulf Resources, LLC)</w:t>
            </w:r>
          </w:p>
        </w:tc>
        <w:tc>
          <w:tcPr>
            <w:tcW w:w="1680" w:type="dxa"/>
            <w:vAlign w:val="bottom"/>
            <w:gridSpan w:val="2"/>
          </w:tcPr>
          <w:p>
            <w:pPr>
              <w:ind w:left="14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Cascade Environmental LLC</w:t>
            </w:r>
          </w:p>
        </w:tc>
        <w:tc>
          <w:tcPr>
            <w:tcW w:w="162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Howard Berger Co. LLC</w:t>
            </w:r>
          </w:p>
        </w:tc>
        <w:tc>
          <w:tcPr>
            <w:tcW w:w="16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8"/>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Acre Operating Company, LLC</w:t>
            </w:r>
          </w:p>
        </w:tc>
        <w:tc>
          <w:tcPr>
            <w:tcW w:w="1620" w:type="dxa"/>
            <w:vAlign w:val="bottom"/>
            <w:gridSpan w:val="2"/>
          </w:tcPr>
          <w:p>
            <w:pPr>
              <w:ind w:left="13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LSF9 Atlantis Holdings, LLC</w:t>
            </w:r>
          </w:p>
        </w:tc>
        <w:tc>
          <w:tcPr>
            <w:tcW w:w="1680" w:type="dxa"/>
            <w:vAlign w:val="bottom"/>
            <w:gridSpan w:val="2"/>
          </w:tcPr>
          <w:p>
            <w:pPr>
              <w:ind w:left="14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Industry</w:t>
            </w:r>
          </w:p>
        </w:tc>
        <w:tc>
          <w:tcPr>
            <w:tcW w:w="318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December 31, 2016</w:t>
            </w:r>
          </w:p>
        </w:tc>
        <w:tc>
          <w:tcPr>
            <w:tcW w:w="340" w:type="dxa"/>
            <w:vAlign w:val="bottom"/>
          </w:tcPr>
          <w:p>
            <w:pPr>
              <w:spacing w:after="0"/>
              <w:rPr>
                <w:sz w:val="20"/>
                <w:szCs w:val="20"/>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Industry</w:t>
            </w:r>
          </w:p>
        </w:tc>
        <w:tc>
          <w:tcPr>
            <w:tcW w:w="312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September 30, 2016</w:t>
            </w:r>
          </w:p>
        </w:tc>
        <w:tc>
          <w:tcPr>
            <w:tcW w:w="0" w:type="dxa"/>
            <w:vAlign w:val="bottom"/>
          </w:tcPr>
          <w:p>
            <w:pPr>
              <w:spacing w:after="0"/>
              <w:rPr>
                <w:sz w:val="1"/>
                <w:szCs w:val="1"/>
                <w:color w:val="auto"/>
              </w:rPr>
            </w:pPr>
          </w:p>
        </w:tc>
      </w:tr>
      <w:tr>
        <w:trPr>
          <w:trHeight w:val="20"/>
        </w:trPr>
        <w:tc>
          <w:tcPr>
            <w:tcW w:w="38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Hotels, Motels, Inns and Gaming</w:t>
            </w: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8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Hotels, Motels, Inns and Gaming</w:t>
            </w: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60" w:type="dxa"/>
            <w:vAlign w:val="bottom"/>
            <w:gridSpan w:val="2"/>
            <w:vMerge w:val="continue"/>
            <w:shd w:val="clear" w:color="auto" w:fill="CCEEFF"/>
          </w:tcPr>
          <w:p>
            <w:pPr>
              <w:spacing w:after="0"/>
              <w:rPr>
                <w:sz w:val="17"/>
                <w:szCs w:val="17"/>
                <w:color w:val="auto"/>
              </w:rPr>
            </w:pPr>
          </w:p>
        </w:tc>
        <w:tc>
          <w:tcPr>
            <w:tcW w:w="16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17%</w:t>
            </w:r>
          </w:p>
        </w:tc>
        <w:tc>
          <w:tcPr>
            <w:tcW w:w="340" w:type="dxa"/>
            <w:vAlign w:val="bottom"/>
            <w:vMerge w:val="continue"/>
          </w:tcPr>
          <w:p>
            <w:pPr>
              <w:spacing w:after="0"/>
              <w:rPr>
                <w:sz w:val="17"/>
                <w:szCs w:val="17"/>
                <w:color w:val="auto"/>
              </w:rPr>
            </w:pPr>
          </w:p>
        </w:tc>
        <w:tc>
          <w:tcPr>
            <w:tcW w:w="3800" w:type="dxa"/>
            <w:vAlign w:val="bottom"/>
            <w:gridSpan w:val="2"/>
            <w:vMerge w:val="continue"/>
            <w:shd w:val="clear" w:color="auto" w:fill="CCEEFF"/>
          </w:tcPr>
          <w:p>
            <w:pPr>
              <w:spacing w:after="0"/>
              <w:rPr>
                <w:sz w:val="17"/>
                <w:szCs w:val="17"/>
                <w:color w:val="auto"/>
              </w:rPr>
            </w:pPr>
          </w:p>
        </w:tc>
        <w:tc>
          <w:tcPr>
            <w:tcW w:w="16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Consumer Products</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Consumer Products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Personal, Food and Miscellaneous Services</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Personal, Food and Miscellaneous Services</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Business Services</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Business Services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Aerospace and Defense</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Distribution</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Energy/Utilities</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Energy/Utilities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Environmental Services</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Aerospace and Defense</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Financial Services</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Environmental Services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Electronics</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Media</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Oil and Gas</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Oil and Gas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505"/>
        </w:trPr>
        <w:tc>
          <w:tcPr>
            <w:tcW w:w="6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64</w:t>
            </w:r>
          </w:p>
        </w:tc>
        <w:tc>
          <w:tcPr>
            <w:tcW w:w="6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certain of the current senior investment professionals of the Investment Adviser and Administrator, serve as officers and directors of PennantPark Floating Rate Capital Ltd.,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Where co-investment is unavailable or inappropriate, the Investment Adviser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27"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160" w:firstLine="571"/>
        <w:spacing w:after="0" w:line="255"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at December 31, 2016.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December 31, 2016 Consolidated Financial Statements included elsewhere in this prospectus.</w:t>
      </w:r>
    </w:p>
    <w:p>
      <w:pPr>
        <w:spacing w:after="0" w:line="143"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Substantially all of our investments (except those of our SBIC Funds) are pledged as collateral under our Credit Facility. Unless otherwise noted, we held no voting board membership on any of our portfolio companies.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6"/>
              </w:rPr>
              <w:t>Type of Investment,</w:t>
            </w:r>
          </w:p>
        </w:tc>
        <w:tc>
          <w:tcPr>
            <w:tcW w:w="13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2"/>
              </w:rPr>
              <w:t>Voting</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5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540" w:type="dxa"/>
            <w:vAlign w:val="bottom"/>
            <w:gridSpan w:val="2"/>
            <w:vMerge w:val="continue"/>
          </w:tcPr>
          <w:p>
            <w:pPr>
              <w:spacing w:after="0"/>
              <w:rPr>
                <w:sz w:val="11"/>
                <w:szCs w:val="11"/>
                <w:color w:val="auto"/>
              </w:rPr>
            </w:pPr>
          </w:p>
        </w:tc>
        <w:tc>
          <w:tcPr>
            <w:tcW w:w="130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84"/>
              </w:rPr>
              <w:t>Percentage</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2"/>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and Addrdss of Portfolio Company</w:t>
            </w:r>
          </w:p>
        </w:tc>
        <w:tc>
          <w:tcPr>
            <w:tcW w:w="1720" w:type="dxa"/>
            <w:vAlign w:val="bottom"/>
          </w:tcPr>
          <w:p>
            <w:pPr>
              <w:spacing w:after="0"/>
              <w:rPr>
                <w:sz w:val="15"/>
                <w:szCs w:val="15"/>
                <w:color w:val="auto"/>
              </w:rPr>
            </w:pPr>
          </w:p>
        </w:tc>
        <w:tc>
          <w:tcPr>
            <w:tcW w:w="2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Nature of Business</w:t>
            </w:r>
          </w:p>
        </w:tc>
        <w:tc>
          <w:tcPr>
            <w:tcW w:w="2540" w:type="dxa"/>
            <w:vAlign w:val="bottom"/>
            <w:gridSpan w:val="2"/>
          </w:tcPr>
          <w:p>
            <w:pPr>
              <w:jc w:val="center"/>
              <w:ind w:right="360"/>
              <w:spacing w:after="0" w:line="162" w:lineRule="exact"/>
              <w:rPr>
                <w:sz w:val="20"/>
                <w:szCs w:val="20"/>
                <w:color w:val="auto"/>
              </w:rPr>
            </w:pPr>
            <w:r>
              <w:rPr>
                <w:rFonts w:ascii="Arial" w:cs="Arial" w:eastAsia="Arial" w:hAnsi="Arial"/>
                <w:sz w:val="12"/>
                <w:szCs w:val="12"/>
                <w:b w:val="1"/>
                <w:bCs w:val="1"/>
                <w:color w:val="auto"/>
              </w:rPr>
              <w:t>Interest</w:t>
            </w:r>
            <w:r>
              <w:rPr>
                <w:rFonts w:ascii="Arial" w:cs="Arial" w:eastAsia="Arial" w:hAnsi="Arial"/>
                <w:sz w:val="18"/>
                <w:szCs w:val="18"/>
                <w:b w:val="1"/>
                <w:bCs w:val="1"/>
                <w:color w:val="auto"/>
                <w:vertAlign w:val="superscript"/>
              </w:rPr>
              <w:t>(1)</w:t>
            </w:r>
            <w:r>
              <w:rPr>
                <w:rFonts w:ascii="Arial" w:cs="Arial" w:eastAsia="Arial" w:hAnsi="Arial"/>
                <w:sz w:val="12"/>
                <w:szCs w:val="12"/>
                <w:b w:val="1"/>
                <w:bCs w:val="1"/>
                <w:color w:val="auto"/>
              </w:rPr>
              <w:t>, Maturity</w:t>
            </w:r>
          </w:p>
        </w:tc>
        <w:tc>
          <w:tcPr>
            <w:tcW w:w="1300" w:type="dxa"/>
            <w:vAlign w:val="bottom"/>
            <w:gridSpan w:val="2"/>
          </w:tcPr>
          <w:p>
            <w:pPr>
              <w:jc w:val="center"/>
              <w:ind w:right="540"/>
              <w:spacing w:after="0" w:line="162" w:lineRule="exact"/>
              <w:rPr>
                <w:sz w:val="20"/>
                <w:szCs w:val="20"/>
                <w:color w:val="auto"/>
              </w:rPr>
            </w:pPr>
            <w:r>
              <w:rPr>
                <w:rFonts w:ascii="Arial" w:cs="Arial" w:eastAsia="Arial" w:hAnsi="Arial"/>
                <w:sz w:val="12"/>
                <w:szCs w:val="12"/>
                <w:b w:val="1"/>
                <w:bCs w:val="1"/>
                <w:color w:val="auto"/>
                <w:w w:val="99"/>
              </w:rPr>
              <w:t>Ownership</w:t>
            </w:r>
            <w:r>
              <w:rPr>
                <w:rFonts w:ascii="Arial" w:cs="Arial" w:eastAsia="Arial" w:hAnsi="Arial"/>
                <w:sz w:val="18"/>
                <w:szCs w:val="18"/>
                <w:b w:val="1"/>
                <w:bCs w:val="1"/>
                <w:color w:val="auto"/>
                <w:w w:val="99"/>
                <w:vertAlign w:val="superscript"/>
              </w:rPr>
              <w:t>(2)</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2"/>
              </w:rPr>
              <w:t>(in thousands)</w:t>
            </w:r>
          </w:p>
        </w:tc>
        <w:tc>
          <w:tcPr>
            <w:tcW w:w="0" w:type="dxa"/>
            <w:vAlign w:val="bottom"/>
          </w:tcPr>
          <w:p>
            <w:pPr>
              <w:spacing w:after="0"/>
              <w:rPr>
                <w:sz w:val="1"/>
                <w:szCs w:val="1"/>
                <w:color w:val="auto"/>
              </w:rPr>
            </w:pPr>
          </w:p>
        </w:tc>
      </w:tr>
      <w:tr>
        <w:trPr>
          <w:trHeight w:val="190"/>
        </w:trPr>
        <w:tc>
          <w:tcPr>
            <w:tcW w:w="42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Companies Less than 5% Owned</w:t>
            </w:r>
          </w:p>
        </w:tc>
        <w:tc>
          <w:tcPr>
            <w:tcW w:w="20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1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60" w:type="dxa"/>
            <w:vAlign w:val="bottom"/>
            <w:gridSpan w:val="2"/>
          </w:tcPr>
          <w:p>
            <w:pPr>
              <w:spacing w:after="0"/>
              <w:rPr>
                <w:sz w:val="20"/>
                <w:szCs w:val="20"/>
                <w:color w:val="auto"/>
              </w:rPr>
            </w:pPr>
            <w:r>
              <w:rPr>
                <w:rFonts w:ascii="Arial" w:cs="Arial" w:eastAsia="Arial" w:hAnsi="Arial"/>
                <w:sz w:val="18"/>
                <w:szCs w:val="18"/>
                <w:color w:val="auto"/>
              </w:rPr>
              <w:t>Acre Operating Company</w:t>
            </w:r>
          </w:p>
        </w:tc>
        <w:tc>
          <w:tcPr>
            <w:tcW w:w="24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Electronics</w:t>
            </w:r>
          </w:p>
        </w:tc>
        <w:tc>
          <w:tcPr>
            <w:tcW w:w="254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Second Lien Secured Debt,</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   38,121</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300 State Street</w:t>
            </w: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L+950, 12/12/2023</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New London, CT 06320</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AH Holdings, Inc.</w:t>
            </w:r>
          </w:p>
        </w:tc>
        <w:tc>
          <w:tcPr>
            <w:tcW w:w="24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Healthcare, Education and</w:t>
            </w:r>
          </w:p>
        </w:tc>
        <w:tc>
          <w:tcPr>
            <w:tcW w:w="25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9"/>
              </w:rPr>
              <w:t>Preferred Equity</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10039 Bissonnet Street, Ste. 250</w:t>
            </w:r>
          </w:p>
        </w:tc>
        <w:tc>
          <w:tcPr>
            <w:tcW w:w="24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9"/>
              </w:rPr>
              <w:t>Childcare</w:t>
            </w:r>
          </w:p>
        </w:tc>
        <w:tc>
          <w:tcPr>
            <w:tcW w:w="25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4"/>
              </w:rPr>
              <w:t>Warrants</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77036</w:t>
            </w:r>
          </w:p>
        </w:tc>
        <w:tc>
          <w:tcPr>
            <w:tcW w:w="20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60" w:type="dxa"/>
            <w:vAlign w:val="bottom"/>
            <w:gridSpan w:val="2"/>
          </w:tcPr>
          <w:p>
            <w:pPr>
              <w:spacing w:after="0"/>
              <w:rPr>
                <w:sz w:val="20"/>
                <w:szCs w:val="20"/>
                <w:color w:val="auto"/>
              </w:rPr>
            </w:pPr>
            <w:r>
              <w:rPr>
                <w:rFonts w:ascii="Arial" w:cs="Arial" w:eastAsia="Arial" w:hAnsi="Arial"/>
                <w:sz w:val="18"/>
                <w:szCs w:val="18"/>
                <w:color w:val="auto"/>
              </w:rPr>
              <w:t>Alegeus Technologies, LLC</w:t>
            </w:r>
          </w:p>
        </w:tc>
        <w:tc>
          <w:tcPr>
            <w:tcW w:w="244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Financial Services</w:t>
            </w:r>
          </w:p>
        </w:tc>
        <w:tc>
          <w:tcPr>
            <w:tcW w:w="254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Subordinated Debt,</w:t>
            </w: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0.5%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10,016</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(Alegeus Technologies Holdings Corp.)</w:t>
            </w: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L+1,200, 02/15/2019</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1601 Trapelo Rd.</w:t>
            </w: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Preferred Equity</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Waltham, MA 02451</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4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Common Equity</w:t>
            </w: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 Gaming I, LLC</w:t>
            </w:r>
          </w:p>
        </w:tc>
        <w:tc>
          <w:tcPr>
            <w:tcW w:w="24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9"/>
              </w:rPr>
              <w:t>Hotels, Motels, Inns and</w:t>
            </w:r>
          </w:p>
        </w:tc>
        <w:tc>
          <w:tcPr>
            <w:tcW w:w="25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9"/>
              </w:rPr>
              <w:t>First Lien Secured Debt,</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23,118</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6680 Amelia Earhart Court</w:t>
            </w:r>
          </w:p>
        </w:tc>
        <w:tc>
          <w:tcPr>
            <w:tcW w:w="24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8"/>
              </w:rPr>
              <w:t>Gaming</w:t>
            </w:r>
          </w:p>
        </w:tc>
        <w:tc>
          <w:tcPr>
            <w:tcW w:w="25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0"/>
              </w:rPr>
              <w:t>L+825, 12/21/2020</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 Vegas, NV 89119</w:t>
            </w:r>
          </w:p>
        </w:tc>
        <w:tc>
          <w:tcPr>
            <w:tcW w:w="20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60" w:type="dxa"/>
            <w:vAlign w:val="bottom"/>
            <w:gridSpan w:val="2"/>
          </w:tcPr>
          <w:p>
            <w:pPr>
              <w:spacing w:after="0"/>
              <w:rPr>
                <w:sz w:val="20"/>
                <w:szCs w:val="20"/>
                <w:color w:val="auto"/>
              </w:rPr>
            </w:pPr>
            <w:r>
              <w:rPr>
                <w:rFonts w:ascii="Arial" w:cs="Arial" w:eastAsia="Arial" w:hAnsi="Arial"/>
                <w:sz w:val="18"/>
                <w:szCs w:val="18"/>
                <w:color w:val="auto"/>
              </w:rPr>
              <w:t>ASP LCG Holdings, Inc.</w:t>
            </w:r>
          </w:p>
        </w:tc>
        <w:tc>
          <w:tcPr>
            <w:tcW w:w="24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Education</w:t>
            </w:r>
          </w:p>
        </w:tc>
        <w:tc>
          <w:tcPr>
            <w:tcW w:w="2540" w:type="dxa"/>
            <w:vAlign w:val="bottom"/>
            <w:gridSpan w:val="2"/>
          </w:tcPr>
          <w:p>
            <w:pPr>
              <w:jc w:val="center"/>
              <w:ind w:right="360"/>
              <w:spacing w:after="0"/>
              <w:rPr>
                <w:sz w:val="20"/>
                <w:szCs w:val="20"/>
                <w:color w:val="auto"/>
              </w:rPr>
            </w:pPr>
            <w:r>
              <w:rPr>
                <w:rFonts w:ascii="Arial" w:cs="Arial" w:eastAsia="Arial" w:hAnsi="Arial"/>
                <w:sz w:val="18"/>
                <w:szCs w:val="18"/>
                <w:color w:val="auto"/>
                <w:w w:val="84"/>
              </w:rPr>
              <w:t>Warrants</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21333 Haggerty Road, Ste. 300</w:t>
            </w: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Novi, MI 48375</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Autumn Games, LLC</w:t>
            </w:r>
          </w:p>
        </w:tc>
        <w:tc>
          <w:tcPr>
            <w:tcW w:w="24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Broadcasting and</w:t>
            </w:r>
          </w:p>
        </w:tc>
        <w:tc>
          <w:tcPr>
            <w:tcW w:w="25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2"/>
              </w:rPr>
              <w:t>Common Equity</w:t>
            </w: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 Thompson St.</w:t>
            </w:r>
          </w:p>
        </w:tc>
        <w:tc>
          <w:tcPr>
            <w:tcW w:w="24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9"/>
              </w:rPr>
              <w:t>Entertainment</w:t>
            </w:r>
          </w:p>
        </w:tc>
        <w:tc>
          <w:tcPr>
            <w:tcW w:w="2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10012</w:t>
            </w:r>
          </w:p>
        </w:tc>
        <w:tc>
          <w:tcPr>
            <w:tcW w:w="20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60" w:type="dxa"/>
            <w:vAlign w:val="bottom"/>
            <w:gridSpan w:val="2"/>
          </w:tcPr>
          <w:p>
            <w:pPr>
              <w:spacing w:after="0"/>
              <w:rPr>
                <w:sz w:val="20"/>
                <w:szCs w:val="20"/>
                <w:color w:val="auto"/>
              </w:rPr>
            </w:pPr>
            <w:r>
              <w:rPr>
                <w:rFonts w:ascii="Arial" w:cs="Arial" w:eastAsia="Arial" w:hAnsi="Arial"/>
                <w:sz w:val="18"/>
                <w:szCs w:val="18"/>
                <w:color w:val="auto"/>
              </w:rPr>
              <w:t>Balboa Capital Corporation</w:t>
            </w:r>
          </w:p>
        </w:tc>
        <w:tc>
          <w:tcPr>
            <w:tcW w:w="244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Financial Services</w:t>
            </w:r>
          </w:p>
        </w:tc>
        <w:tc>
          <w:tcPr>
            <w:tcW w:w="254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Second Lien Secured Debt,</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28,500</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2010 Main Street, Suite 1100</w:t>
            </w: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13.75% fixed, 03/04/2022</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Irvine, CA 92614</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Broder Bros., Co.</w:t>
            </w:r>
          </w:p>
        </w:tc>
        <w:tc>
          <w:tcPr>
            <w:tcW w:w="24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6"/>
              </w:rPr>
              <w:t>Consumer Products</w:t>
            </w:r>
          </w:p>
        </w:tc>
        <w:tc>
          <w:tcPr>
            <w:tcW w:w="25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9"/>
              </w:rPr>
              <w:t>First Lien Secured Debt,</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18,281</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Six Neshaminy Interplex, 6 Floor</w:t>
            </w:r>
          </w:p>
        </w:tc>
        <w:tc>
          <w:tcPr>
            <w:tcW w:w="2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0"/>
              </w:rPr>
              <w:t>Tranche A (L+575,</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Trevose, PA 19053</w:t>
            </w:r>
          </w:p>
        </w:tc>
        <w:tc>
          <w:tcPr>
            <w:tcW w:w="2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06/03/2021),</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9"/>
              </w:rPr>
              <w:t>Tranche B (L+1,225,</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06/03/2021)</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260" w:type="dxa"/>
            <w:vAlign w:val="bottom"/>
            <w:gridSpan w:val="2"/>
          </w:tcPr>
          <w:p>
            <w:pPr>
              <w:spacing w:after="0"/>
              <w:rPr>
                <w:sz w:val="20"/>
                <w:szCs w:val="20"/>
                <w:color w:val="auto"/>
              </w:rPr>
            </w:pPr>
            <w:r>
              <w:rPr>
                <w:rFonts w:ascii="Arial" w:cs="Arial" w:eastAsia="Arial" w:hAnsi="Arial"/>
                <w:sz w:val="18"/>
                <w:szCs w:val="18"/>
                <w:color w:val="auto"/>
              </w:rPr>
              <w:t>Cardinal Logistics Holdings LLC</w:t>
            </w:r>
          </w:p>
        </w:tc>
        <w:tc>
          <w:tcPr>
            <w:tcW w:w="24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Cargo Transport</w:t>
            </w:r>
          </w:p>
        </w:tc>
        <w:tc>
          <w:tcPr>
            <w:tcW w:w="254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Second Lien Secured Debt,</w:t>
            </w: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0.4%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(Intermediate Transportation 100, LLC)</w:t>
            </w: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 03/01/2017</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12404 Park Central Dr., Ste. 300</w:t>
            </w: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4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Common Equity</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Dallas, TX 75251</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Cascade Environmental LLC</w:t>
            </w:r>
          </w:p>
        </w:tc>
        <w:tc>
          <w:tcPr>
            <w:tcW w:w="24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8"/>
              </w:rPr>
              <w:t>Environmental Services</w:t>
            </w:r>
          </w:p>
        </w:tc>
        <w:tc>
          <w:tcPr>
            <w:tcW w:w="25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7"/>
              </w:rPr>
              <w:t>Subordinated Debt,</w:t>
            </w: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38,431</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17270 Woodinville-Redmond Road</w:t>
            </w:r>
          </w:p>
        </w:tc>
        <w:tc>
          <w:tcPr>
            <w:tcW w:w="2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9"/>
              </w:rPr>
              <w:t>12.0% fixed, 08/20/2021</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Woodinville, WA 98072</w:t>
            </w:r>
          </w:p>
        </w:tc>
        <w:tc>
          <w:tcPr>
            <w:tcW w:w="20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5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2"/>
              </w:rPr>
              <w:t>Common Equity</w:t>
            </w:r>
          </w:p>
        </w:tc>
        <w:tc>
          <w:tcPr>
            <w:tcW w:w="7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2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80" w:type="dxa"/>
            <w:vAlign w:val="bottom"/>
          </w:tcPr>
          <w:p>
            <w:pPr>
              <w:jc w:val="right"/>
              <w:ind w:right="454"/>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6"/>
              </w:rPr>
              <w:t>Type of Investment,</w:t>
            </w:r>
          </w:p>
        </w:tc>
        <w:tc>
          <w:tcPr>
            <w:tcW w:w="1240" w:type="dxa"/>
            <w:vAlign w:val="bottom"/>
            <w:gridSpan w:val="2"/>
          </w:tcPr>
          <w:p>
            <w:pPr>
              <w:jc w:val="center"/>
              <w:ind w:right="438"/>
              <w:spacing w:after="0"/>
              <w:rPr>
                <w:sz w:val="20"/>
                <w:szCs w:val="20"/>
                <w:color w:val="auto"/>
              </w:rPr>
            </w:pPr>
            <w:r>
              <w:rPr>
                <w:rFonts w:ascii="Arial" w:cs="Arial" w:eastAsia="Arial" w:hAnsi="Arial"/>
                <w:sz w:val="14"/>
                <w:szCs w:val="14"/>
                <w:b w:val="1"/>
                <w:bCs w:val="1"/>
                <w:color w:val="auto"/>
                <w:w w:val="87"/>
              </w:rPr>
              <w:t>Voting</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5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0" w:type="dxa"/>
            <w:vAlign w:val="bottom"/>
            <w:gridSpan w:val="2"/>
            <w:vMerge w:val="continue"/>
          </w:tcPr>
          <w:p>
            <w:pPr>
              <w:spacing w:after="0"/>
              <w:rPr>
                <w:sz w:val="11"/>
                <w:szCs w:val="11"/>
                <w:color w:val="auto"/>
              </w:rPr>
            </w:pPr>
          </w:p>
        </w:tc>
        <w:tc>
          <w:tcPr>
            <w:tcW w:w="1240" w:type="dxa"/>
            <w:vAlign w:val="bottom"/>
            <w:gridSpan w:val="2"/>
          </w:tcPr>
          <w:p>
            <w:pPr>
              <w:jc w:val="center"/>
              <w:ind w:right="398"/>
              <w:spacing w:after="0" w:line="135" w:lineRule="exact"/>
              <w:rPr>
                <w:sz w:val="20"/>
                <w:szCs w:val="20"/>
                <w:color w:val="auto"/>
              </w:rPr>
            </w:pPr>
            <w:r>
              <w:rPr>
                <w:rFonts w:ascii="Arial" w:cs="Arial" w:eastAsia="Arial" w:hAnsi="Arial"/>
                <w:sz w:val="14"/>
                <w:szCs w:val="14"/>
                <w:b w:val="1"/>
                <w:bCs w:val="1"/>
                <w:color w:val="auto"/>
                <w:w w:val="82"/>
              </w:rPr>
              <w:t>Percentage</w:t>
            </w:r>
          </w:p>
        </w:tc>
        <w:tc>
          <w:tcPr>
            <w:tcW w:w="86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2"/>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and Addrdss of Portfolio Company</w:t>
            </w:r>
          </w:p>
        </w:tc>
        <w:tc>
          <w:tcPr>
            <w:tcW w:w="1740" w:type="dxa"/>
            <w:vAlign w:val="bottom"/>
          </w:tcPr>
          <w:p>
            <w:pPr>
              <w:spacing w:after="0"/>
              <w:rPr>
                <w:sz w:val="15"/>
                <w:szCs w:val="15"/>
                <w:color w:val="auto"/>
              </w:rPr>
            </w:pPr>
          </w:p>
        </w:tc>
        <w:tc>
          <w:tcPr>
            <w:tcW w:w="2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Nature of Business</w:t>
            </w:r>
          </w:p>
        </w:tc>
        <w:tc>
          <w:tcPr>
            <w:tcW w:w="2600" w:type="dxa"/>
            <w:vAlign w:val="bottom"/>
            <w:gridSpan w:val="2"/>
          </w:tcPr>
          <w:p>
            <w:pPr>
              <w:jc w:val="center"/>
              <w:ind w:right="280"/>
              <w:spacing w:after="0" w:line="162" w:lineRule="exact"/>
              <w:rPr>
                <w:sz w:val="20"/>
                <w:szCs w:val="20"/>
                <w:color w:val="auto"/>
              </w:rPr>
            </w:pPr>
            <w:r>
              <w:rPr>
                <w:rFonts w:ascii="Arial" w:cs="Arial" w:eastAsia="Arial" w:hAnsi="Arial"/>
                <w:sz w:val="12"/>
                <w:szCs w:val="12"/>
                <w:b w:val="1"/>
                <w:bCs w:val="1"/>
                <w:color w:val="auto"/>
              </w:rPr>
              <w:t>Interest</w:t>
            </w:r>
            <w:r>
              <w:rPr>
                <w:rFonts w:ascii="Arial" w:cs="Arial" w:eastAsia="Arial" w:hAnsi="Arial"/>
                <w:sz w:val="18"/>
                <w:szCs w:val="18"/>
                <w:b w:val="1"/>
                <w:bCs w:val="1"/>
                <w:color w:val="auto"/>
                <w:vertAlign w:val="superscript"/>
              </w:rPr>
              <w:t>(1)</w:t>
            </w:r>
            <w:r>
              <w:rPr>
                <w:rFonts w:ascii="Arial" w:cs="Arial" w:eastAsia="Arial" w:hAnsi="Arial"/>
                <w:sz w:val="12"/>
                <w:szCs w:val="12"/>
                <w:b w:val="1"/>
                <w:bCs w:val="1"/>
                <w:color w:val="auto"/>
              </w:rPr>
              <w:t>, Maturity</w:t>
            </w:r>
          </w:p>
        </w:tc>
        <w:tc>
          <w:tcPr>
            <w:tcW w:w="1240" w:type="dxa"/>
            <w:vAlign w:val="bottom"/>
            <w:gridSpan w:val="2"/>
          </w:tcPr>
          <w:p>
            <w:pPr>
              <w:jc w:val="center"/>
              <w:ind w:right="398"/>
              <w:spacing w:after="0" w:line="162" w:lineRule="exact"/>
              <w:rPr>
                <w:sz w:val="20"/>
                <w:szCs w:val="20"/>
                <w:color w:val="auto"/>
              </w:rPr>
            </w:pPr>
            <w:r>
              <w:rPr>
                <w:rFonts w:ascii="Arial" w:cs="Arial" w:eastAsia="Arial" w:hAnsi="Arial"/>
                <w:sz w:val="12"/>
                <w:szCs w:val="12"/>
                <w:b w:val="1"/>
                <w:bCs w:val="1"/>
                <w:color w:val="auto"/>
              </w:rPr>
              <w:t>Ownership</w:t>
            </w:r>
            <w:r>
              <w:rPr>
                <w:rFonts w:ascii="Arial" w:cs="Arial" w:eastAsia="Arial" w:hAnsi="Arial"/>
                <w:sz w:val="18"/>
                <w:szCs w:val="18"/>
                <w:b w:val="1"/>
                <w:bCs w:val="1"/>
                <w:color w:val="auto"/>
                <w:vertAlign w:val="superscript"/>
              </w:rPr>
              <w:t>(2)</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111"/>
        </w:trPr>
        <w:tc>
          <w:tcPr>
            <w:tcW w:w="2540" w:type="dxa"/>
            <w:vAlign w:val="bottom"/>
            <w:tcBorders>
              <w:top w:val="single" w:sz="8" w:color="CCEEFF"/>
            </w:tcBorders>
            <w:shd w:val="clear" w:color="auto" w:fill="CCEEFF"/>
          </w:tcPr>
          <w:p>
            <w:pPr>
              <w:spacing w:after="0" w:line="111" w:lineRule="exact"/>
              <w:rPr>
                <w:sz w:val="20"/>
                <w:szCs w:val="20"/>
                <w:color w:val="auto"/>
              </w:rPr>
            </w:pPr>
            <w:r>
              <w:rPr>
                <w:rFonts w:ascii="Arial" w:cs="Arial" w:eastAsia="Arial" w:hAnsi="Arial"/>
                <w:sz w:val="12"/>
                <w:szCs w:val="12"/>
                <w:color w:val="auto"/>
              </w:rPr>
              <w:t>CI (Galls) Prime Investment Holdings, LLC</w:t>
            </w:r>
          </w:p>
        </w:tc>
        <w:tc>
          <w:tcPr>
            <w:tcW w:w="1740" w:type="dxa"/>
            <w:vAlign w:val="bottom"/>
            <w:tcBorders>
              <w:top w:val="single" w:sz="8" w:color="CCEEFF"/>
            </w:tcBorders>
            <w:shd w:val="clear" w:color="auto" w:fill="CCEEFF"/>
          </w:tcPr>
          <w:p>
            <w:pPr>
              <w:spacing w:after="0"/>
              <w:rPr>
                <w:sz w:val="9"/>
                <w:szCs w:val="9"/>
                <w:color w:val="auto"/>
              </w:rPr>
            </w:pPr>
          </w:p>
        </w:tc>
        <w:tc>
          <w:tcPr>
            <w:tcW w:w="2160" w:type="dxa"/>
            <w:vAlign w:val="bottom"/>
            <w:tcBorders>
              <w:top w:val="single" w:sz="8" w:color="auto"/>
            </w:tcBorders>
            <w:shd w:val="clear" w:color="auto" w:fill="CCEEFF"/>
          </w:tcPr>
          <w:p>
            <w:pPr>
              <w:jc w:val="center"/>
              <w:spacing w:after="0" w:line="111" w:lineRule="exact"/>
              <w:rPr>
                <w:sz w:val="20"/>
                <w:szCs w:val="20"/>
                <w:color w:val="auto"/>
              </w:rPr>
            </w:pPr>
            <w:r>
              <w:rPr>
                <w:rFonts w:ascii="Arial" w:cs="Arial" w:eastAsia="Arial" w:hAnsi="Arial"/>
                <w:sz w:val="12"/>
                <w:szCs w:val="12"/>
                <w:color w:val="auto"/>
              </w:rPr>
              <w:t>Distribution</w:t>
            </w:r>
          </w:p>
        </w:tc>
        <w:tc>
          <w:tcPr>
            <w:tcW w:w="280" w:type="dxa"/>
            <w:vAlign w:val="bottom"/>
            <w:tcBorders>
              <w:top w:val="single" w:sz="8" w:color="CCEEFF"/>
            </w:tcBorders>
            <w:shd w:val="clear" w:color="auto" w:fill="CCEEFF"/>
          </w:tcPr>
          <w:p>
            <w:pPr>
              <w:spacing w:after="0"/>
              <w:rPr>
                <w:sz w:val="9"/>
                <w:szCs w:val="9"/>
                <w:color w:val="auto"/>
              </w:rPr>
            </w:pPr>
          </w:p>
        </w:tc>
        <w:tc>
          <w:tcPr>
            <w:tcW w:w="2320" w:type="dxa"/>
            <w:vAlign w:val="bottom"/>
            <w:tcBorders>
              <w:top w:val="single" w:sz="8" w:color="auto"/>
            </w:tcBorders>
            <w:shd w:val="clear" w:color="auto" w:fill="CCEEFF"/>
          </w:tcPr>
          <w:p>
            <w:pPr>
              <w:jc w:val="center"/>
              <w:spacing w:after="0" w:line="111" w:lineRule="exact"/>
              <w:rPr>
                <w:sz w:val="20"/>
                <w:szCs w:val="20"/>
                <w:color w:val="auto"/>
              </w:rPr>
            </w:pPr>
            <w:r>
              <w:rPr>
                <w:rFonts w:ascii="Arial" w:cs="Arial" w:eastAsia="Arial" w:hAnsi="Arial"/>
                <w:sz w:val="12"/>
                <w:szCs w:val="12"/>
                <w:color w:val="auto"/>
              </w:rPr>
              <w:t>Common Equity</w:t>
            </w:r>
          </w:p>
        </w:tc>
        <w:tc>
          <w:tcPr>
            <w:tcW w:w="28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ind w:left="600"/>
              <w:spacing w:after="0" w:line="111" w:lineRule="exact"/>
              <w:rPr>
                <w:sz w:val="20"/>
                <w:szCs w:val="20"/>
                <w:color w:val="auto"/>
              </w:rPr>
            </w:pPr>
            <w:r>
              <w:rPr>
                <w:rFonts w:ascii="Arial" w:cs="Arial" w:eastAsia="Arial" w:hAnsi="Arial"/>
                <w:sz w:val="12"/>
                <w:szCs w:val="12"/>
                <w:color w:val="auto"/>
                <w:w w:val="95"/>
              </w:rPr>
              <w:t>3.1</w:t>
            </w:r>
          </w:p>
        </w:tc>
        <w:tc>
          <w:tcPr>
            <w:tcW w:w="460" w:type="dxa"/>
            <w:vAlign w:val="bottom"/>
            <w:tcBorders>
              <w:top w:val="single" w:sz="8" w:color="CCEEFF"/>
            </w:tcBorders>
            <w:shd w:val="clear" w:color="auto" w:fill="CCEEFF"/>
          </w:tcPr>
          <w:p>
            <w:pPr>
              <w:jc w:val="right"/>
              <w:ind w:right="298"/>
              <w:spacing w:after="0" w:line="111" w:lineRule="exact"/>
              <w:rPr>
                <w:sz w:val="20"/>
                <w:szCs w:val="20"/>
                <w:color w:val="auto"/>
              </w:rPr>
            </w:pPr>
            <w:r>
              <w:rPr>
                <w:rFonts w:ascii="Arial" w:cs="Arial" w:eastAsia="Arial" w:hAnsi="Arial"/>
                <w:sz w:val="12"/>
                <w:szCs w:val="12"/>
                <w:color w:val="auto"/>
                <w:w w:val="74"/>
              </w:rPr>
              <w:t>%</w:t>
            </w:r>
          </w:p>
        </w:tc>
        <w:tc>
          <w:tcPr>
            <w:tcW w:w="82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4,002</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1340 Russell Cave Road</w:t>
            </w:r>
          </w:p>
        </w:tc>
        <w:tc>
          <w:tcPr>
            <w:tcW w:w="174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Lexington, KY 40505</w:t>
            </w:r>
          </w:p>
        </w:tc>
        <w:tc>
          <w:tcPr>
            <w:tcW w:w="174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540" w:type="dxa"/>
            <w:vAlign w:val="bottom"/>
          </w:tcPr>
          <w:p>
            <w:pPr>
              <w:spacing w:after="0" w:line="138" w:lineRule="exact"/>
              <w:rPr>
                <w:sz w:val="20"/>
                <w:szCs w:val="20"/>
                <w:color w:val="auto"/>
              </w:rPr>
            </w:pPr>
            <w:r>
              <w:rPr>
                <w:rFonts w:ascii="Arial" w:cs="Arial" w:eastAsia="Arial" w:hAnsi="Arial"/>
                <w:sz w:val="14"/>
                <w:szCs w:val="14"/>
                <w:color w:val="auto"/>
              </w:rPr>
              <w:t>Convergint Technologies Holdings, LLC</w:t>
            </w:r>
          </w:p>
        </w:tc>
        <w:tc>
          <w:tcPr>
            <w:tcW w:w="1740" w:type="dxa"/>
            <w:vAlign w:val="bottom"/>
          </w:tcPr>
          <w:p>
            <w:pPr>
              <w:spacing w:after="0"/>
              <w:rPr>
                <w:sz w:val="11"/>
                <w:szCs w:val="11"/>
                <w:color w:val="auto"/>
              </w:rPr>
            </w:pPr>
          </w:p>
        </w:tc>
        <w:tc>
          <w:tcPr>
            <w:tcW w:w="2440" w:type="dxa"/>
            <w:vAlign w:val="bottom"/>
            <w:gridSpan w:val="2"/>
          </w:tcPr>
          <w:p>
            <w:pPr>
              <w:jc w:val="center"/>
              <w:ind w:right="280"/>
              <w:spacing w:after="0" w:line="138" w:lineRule="exact"/>
              <w:rPr>
                <w:sz w:val="20"/>
                <w:szCs w:val="20"/>
                <w:color w:val="auto"/>
              </w:rPr>
            </w:pPr>
            <w:r>
              <w:rPr>
                <w:rFonts w:ascii="Arial" w:cs="Arial" w:eastAsia="Arial" w:hAnsi="Arial"/>
                <w:sz w:val="14"/>
                <w:szCs w:val="14"/>
                <w:color w:val="auto"/>
                <w:w w:val="87"/>
              </w:rPr>
              <w:t>Electronics</w:t>
            </w:r>
          </w:p>
        </w:tc>
        <w:tc>
          <w:tcPr>
            <w:tcW w:w="2600" w:type="dxa"/>
            <w:vAlign w:val="bottom"/>
            <w:gridSpan w:val="2"/>
          </w:tcPr>
          <w:p>
            <w:pPr>
              <w:jc w:val="center"/>
              <w:ind w:right="280"/>
              <w:spacing w:after="0" w:line="138" w:lineRule="exact"/>
              <w:rPr>
                <w:sz w:val="20"/>
                <w:szCs w:val="20"/>
                <w:color w:val="auto"/>
              </w:rPr>
            </w:pPr>
            <w:r>
              <w:rPr>
                <w:rFonts w:ascii="Arial" w:cs="Arial" w:eastAsia="Arial" w:hAnsi="Arial"/>
                <w:sz w:val="14"/>
                <w:szCs w:val="14"/>
                <w:color w:val="auto"/>
                <w:w w:val="86"/>
              </w:rPr>
              <w:t>Preferred Equity</w:t>
            </w:r>
          </w:p>
        </w:tc>
        <w:tc>
          <w:tcPr>
            <w:tcW w:w="1240" w:type="dxa"/>
            <w:vAlign w:val="bottom"/>
            <w:gridSpan w:val="2"/>
          </w:tcPr>
          <w:p>
            <w:pPr>
              <w:ind w:left="600"/>
              <w:spacing w:after="0" w:line="138" w:lineRule="exact"/>
              <w:rPr>
                <w:sz w:val="20"/>
                <w:szCs w:val="20"/>
                <w:color w:val="auto"/>
              </w:rPr>
            </w:pPr>
            <w:r>
              <w:rPr>
                <w:rFonts w:ascii="Arial" w:cs="Arial" w:eastAsia="Arial" w:hAnsi="Arial"/>
                <w:sz w:val="14"/>
                <w:szCs w:val="14"/>
                <w:color w:val="auto"/>
              </w:rPr>
              <w:t>1.3%</w:t>
            </w:r>
          </w:p>
        </w:tc>
        <w:tc>
          <w:tcPr>
            <w:tcW w:w="820" w:type="dxa"/>
            <w:vAlign w:val="bottom"/>
          </w:tcPr>
          <w:p>
            <w:pPr>
              <w:jc w:val="right"/>
              <w:spacing w:after="0" w:line="138" w:lineRule="exact"/>
              <w:rPr>
                <w:sz w:val="20"/>
                <w:szCs w:val="20"/>
                <w:color w:val="auto"/>
              </w:rPr>
            </w:pPr>
            <w:r>
              <w:rPr>
                <w:rFonts w:ascii="Arial" w:cs="Arial" w:eastAsia="Arial" w:hAnsi="Arial"/>
                <w:sz w:val="14"/>
                <w:szCs w:val="14"/>
                <w:color w:val="auto"/>
              </w:rPr>
              <w:t>5,487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line="149" w:lineRule="exact"/>
              <w:rPr>
                <w:sz w:val="20"/>
                <w:szCs w:val="20"/>
                <w:color w:val="auto"/>
              </w:rPr>
            </w:pPr>
            <w:r>
              <w:rPr>
                <w:rFonts w:ascii="Arial" w:cs="Arial" w:eastAsia="Arial" w:hAnsi="Arial"/>
                <w:sz w:val="14"/>
                <w:szCs w:val="14"/>
                <w:color w:val="auto"/>
              </w:rPr>
              <w:t>1651 Wilkening Rd.</w:t>
            </w:r>
          </w:p>
        </w:tc>
        <w:tc>
          <w:tcPr>
            <w:tcW w:w="17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Common Equity</w:t>
            </w: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tcPr>
          <w:p>
            <w:pPr>
              <w:spacing w:after="0"/>
              <w:rPr>
                <w:sz w:val="20"/>
                <w:szCs w:val="20"/>
                <w:color w:val="auto"/>
              </w:rPr>
            </w:pPr>
            <w:r>
              <w:rPr>
                <w:rFonts w:ascii="Arial" w:cs="Arial" w:eastAsia="Arial" w:hAnsi="Arial"/>
                <w:sz w:val="14"/>
                <w:szCs w:val="14"/>
                <w:color w:val="auto"/>
              </w:rPr>
              <w:t>Schaumburg, IL 60173</w:t>
            </w:r>
          </w:p>
        </w:tc>
        <w:tc>
          <w:tcPr>
            <w:tcW w:w="1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54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Credit Infonet, Inc.</w:t>
            </w:r>
          </w:p>
        </w:tc>
        <w:tc>
          <w:tcPr>
            <w:tcW w:w="174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jc w:val="center"/>
              <w:ind w:right="280"/>
              <w:spacing w:after="0" w:line="139" w:lineRule="exact"/>
              <w:rPr>
                <w:sz w:val="20"/>
                <w:szCs w:val="20"/>
                <w:color w:val="auto"/>
              </w:rPr>
            </w:pPr>
            <w:r>
              <w:rPr>
                <w:rFonts w:ascii="Arial" w:cs="Arial" w:eastAsia="Arial" w:hAnsi="Arial"/>
                <w:sz w:val="14"/>
                <w:szCs w:val="14"/>
                <w:color w:val="auto"/>
                <w:w w:val="85"/>
              </w:rPr>
              <w:t>Personal, Food and Miscelleneous</w:t>
            </w:r>
          </w:p>
        </w:tc>
        <w:tc>
          <w:tcPr>
            <w:tcW w:w="2600" w:type="dxa"/>
            <w:vAlign w:val="bottom"/>
            <w:gridSpan w:val="2"/>
            <w:shd w:val="clear" w:color="auto" w:fill="CCEEFF"/>
          </w:tcPr>
          <w:p>
            <w:pPr>
              <w:jc w:val="center"/>
              <w:ind w:right="280"/>
              <w:spacing w:after="0" w:line="139" w:lineRule="exact"/>
              <w:rPr>
                <w:sz w:val="20"/>
                <w:szCs w:val="20"/>
                <w:color w:val="auto"/>
              </w:rPr>
            </w:pPr>
            <w:r>
              <w:rPr>
                <w:rFonts w:ascii="Arial" w:cs="Arial" w:eastAsia="Arial" w:hAnsi="Arial"/>
                <w:sz w:val="14"/>
                <w:szCs w:val="14"/>
                <w:color w:val="auto"/>
                <w:w w:val="86"/>
              </w:rPr>
              <w:t>Subordinated Debt,</w:t>
            </w:r>
          </w:p>
        </w:tc>
        <w:tc>
          <w:tcPr>
            <w:tcW w:w="1240" w:type="dxa"/>
            <w:vAlign w:val="bottom"/>
            <w:gridSpan w:val="2"/>
            <w:shd w:val="clear" w:color="auto" w:fill="CCEEFF"/>
          </w:tcPr>
          <w:p>
            <w:pPr>
              <w:ind w:left="580"/>
              <w:spacing w:after="0" w:line="13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10,789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4540 Honeywell Court</w:t>
            </w:r>
          </w:p>
        </w:tc>
        <w:tc>
          <w:tcPr>
            <w:tcW w:w="174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5"/>
              </w:rPr>
              <w:t>Services</w:t>
            </w:r>
          </w:p>
        </w:tc>
        <w:tc>
          <w:tcPr>
            <w:tcW w:w="26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0"/>
              </w:rPr>
              <w:t>13.25% fixed (PIK 2.00%),</w:t>
            </w: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Dayton, OH 45424</w:t>
            </w:r>
          </w:p>
        </w:tc>
        <w:tc>
          <w:tcPr>
            <w:tcW w:w="174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10/26/2018</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540" w:type="dxa"/>
            <w:vAlign w:val="bottom"/>
          </w:tcPr>
          <w:p>
            <w:pPr>
              <w:spacing w:after="0" w:line="138" w:lineRule="exact"/>
              <w:rPr>
                <w:sz w:val="20"/>
                <w:szCs w:val="20"/>
                <w:color w:val="auto"/>
              </w:rPr>
            </w:pPr>
            <w:r>
              <w:rPr>
                <w:rFonts w:ascii="Arial" w:cs="Arial" w:eastAsia="Arial" w:hAnsi="Arial"/>
                <w:sz w:val="14"/>
                <w:szCs w:val="14"/>
                <w:color w:val="auto"/>
                <w:w w:val="96"/>
              </w:rPr>
              <w:t>East Valley Tourist Development Authority</w:t>
            </w:r>
          </w:p>
        </w:tc>
        <w:tc>
          <w:tcPr>
            <w:tcW w:w="1740" w:type="dxa"/>
            <w:vAlign w:val="bottom"/>
          </w:tcPr>
          <w:p>
            <w:pPr>
              <w:spacing w:after="0"/>
              <w:rPr>
                <w:sz w:val="11"/>
                <w:szCs w:val="11"/>
                <w:color w:val="auto"/>
              </w:rPr>
            </w:pPr>
          </w:p>
        </w:tc>
        <w:tc>
          <w:tcPr>
            <w:tcW w:w="2440" w:type="dxa"/>
            <w:vAlign w:val="bottom"/>
            <w:gridSpan w:val="2"/>
          </w:tcPr>
          <w:p>
            <w:pPr>
              <w:jc w:val="center"/>
              <w:ind w:right="280"/>
              <w:spacing w:after="0" w:line="138" w:lineRule="exact"/>
              <w:rPr>
                <w:sz w:val="20"/>
                <w:szCs w:val="20"/>
                <w:color w:val="auto"/>
              </w:rPr>
            </w:pPr>
            <w:r>
              <w:rPr>
                <w:rFonts w:ascii="Arial" w:cs="Arial" w:eastAsia="Arial" w:hAnsi="Arial"/>
                <w:sz w:val="14"/>
                <w:szCs w:val="14"/>
                <w:color w:val="auto"/>
                <w:w w:val="88"/>
              </w:rPr>
              <w:t>Hotels, Motels, Inns and Gaming</w:t>
            </w:r>
          </w:p>
        </w:tc>
        <w:tc>
          <w:tcPr>
            <w:tcW w:w="2600" w:type="dxa"/>
            <w:vAlign w:val="bottom"/>
            <w:gridSpan w:val="2"/>
          </w:tcPr>
          <w:p>
            <w:pPr>
              <w:jc w:val="center"/>
              <w:ind w:right="280"/>
              <w:spacing w:after="0" w:line="138" w:lineRule="exact"/>
              <w:rPr>
                <w:sz w:val="20"/>
                <w:szCs w:val="20"/>
                <w:color w:val="auto"/>
              </w:rPr>
            </w:pPr>
            <w:r>
              <w:rPr>
                <w:rFonts w:ascii="Arial" w:cs="Arial" w:eastAsia="Arial" w:hAnsi="Arial"/>
                <w:sz w:val="14"/>
                <w:szCs w:val="14"/>
                <w:color w:val="auto"/>
                <w:w w:val="87"/>
              </w:rPr>
              <w:t>First Lien Secured Debt,</w:t>
            </w:r>
          </w:p>
        </w:tc>
        <w:tc>
          <w:tcPr>
            <w:tcW w:w="1240" w:type="dxa"/>
            <w:vAlign w:val="bottom"/>
            <w:gridSpan w:val="2"/>
          </w:tcPr>
          <w:p>
            <w:pPr>
              <w:ind w:left="580"/>
              <w:spacing w:after="0" w:line="138"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38" w:lineRule="exact"/>
              <w:rPr>
                <w:sz w:val="20"/>
                <w:szCs w:val="20"/>
                <w:color w:val="auto"/>
              </w:rPr>
            </w:pPr>
            <w:r>
              <w:rPr>
                <w:rFonts w:ascii="Arial" w:cs="Arial" w:eastAsia="Arial" w:hAnsi="Arial"/>
                <w:sz w:val="14"/>
                <w:szCs w:val="14"/>
                <w:color w:val="auto"/>
              </w:rPr>
              <w:t>15,000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line="149" w:lineRule="exact"/>
              <w:rPr>
                <w:sz w:val="20"/>
                <w:szCs w:val="20"/>
                <w:color w:val="auto"/>
              </w:rPr>
            </w:pPr>
            <w:r>
              <w:rPr>
                <w:rFonts w:ascii="Arial" w:cs="Arial" w:eastAsia="Arial" w:hAnsi="Arial"/>
                <w:sz w:val="14"/>
                <w:szCs w:val="14"/>
                <w:color w:val="auto"/>
              </w:rPr>
              <w:t>84-245 Indio Springs Parkway</w:t>
            </w:r>
          </w:p>
        </w:tc>
        <w:tc>
          <w:tcPr>
            <w:tcW w:w="17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8"/>
              </w:rPr>
              <w:t>L+800, 01/17/2022</w:t>
            </w: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tcPr>
          <w:p>
            <w:pPr>
              <w:spacing w:after="0"/>
              <w:rPr>
                <w:sz w:val="20"/>
                <w:szCs w:val="20"/>
                <w:color w:val="auto"/>
              </w:rPr>
            </w:pPr>
            <w:r>
              <w:rPr>
                <w:rFonts w:ascii="Arial" w:cs="Arial" w:eastAsia="Arial" w:hAnsi="Arial"/>
                <w:sz w:val="14"/>
                <w:szCs w:val="14"/>
                <w:color w:val="auto"/>
              </w:rPr>
              <w:t>Indio, CA 92203</w:t>
            </w:r>
          </w:p>
        </w:tc>
        <w:tc>
          <w:tcPr>
            <w:tcW w:w="1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54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e.l.f. Beauty, Inc.</w:t>
            </w:r>
          </w:p>
        </w:tc>
        <w:tc>
          <w:tcPr>
            <w:tcW w:w="174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jc w:val="center"/>
              <w:ind w:right="260"/>
              <w:spacing w:after="0" w:line="139" w:lineRule="exact"/>
              <w:rPr>
                <w:sz w:val="20"/>
                <w:szCs w:val="20"/>
                <w:color w:val="auto"/>
              </w:rPr>
            </w:pPr>
            <w:r>
              <w:rPr>
                <w:rFonts w:ascii="Arial" w:cs="Arial" w:eastAsia="Arial" w:hAnsi="Arial"/>
                <w:sz w:val="14"/>
                <w:szCs w:val="14"/>
                <w:color w:val="auto"/>
                <w:w w:val="85"/>
              </w:rPr>
              <w:t>Consumer Products</w:t>
            </w:r>
          </w:p>
        </w:tc>
        <w:tc>
          <w:tcPr>
            <w:tcW w:w="2600" w:type="dxa"/>
            <w:vAlign w:val="bottom"/>
            <w:gridSpan w:val="2"/>
            <w:shd w:val="clear" w:color="auto" w:fill="CCEEFF"/>
          </w:tcPr>
          <w:p>
            <w:pPr>
              <w:jc w:val="center"/>
              <w:ind w:right="260"/>
              <w:spacing w:after="0" w:line="139" w:lineRule="exact"/>
              <w:rPr>
                <w:sz w:val="20"/>
                <w:szCs w:val="20"/>
                <w:color w:val="auto"/>
              </w:rPr>
            </w:pPr>
            <w:r>
              <w:rPr>
                <w:rFonts w:ascii="Arial" w:cs="Arial" w:eastAsia="Arial" w:hAnsi="Arial"/>
                <w:sz w:val="14"/>
                <w:szCs w:val="14"/>
                <w:color w:val="auto"/>
                <w:w w:val="90"/>
              </w:rPr>
              <w:t>Common Equity</w:t>
            </w:r>
          </w:p>
        </w:tc>
        <w:tc>
          <w:tcPr>
            <w:tcW w:w="1240" w:type="dxa"/>
            <w:vAlign w:val="bottom"/>
            <w:gridSpan w:val="2"/>
            <w:shd w:val="clear" w:color="auto" w:fill="CCEEFF"/>
          </w:tcPr>
          <w:p>
            <w:pPr>
              <w:ind w:left="600"/>
              <w:spacing w:after="0" w:line="139" w:lineRule="exact"/>
              <w:rPr>
                <w:sz w:val="20"/>
                <w:szCs w:val="20"/>
                <w:color w:val="auto"/>
              </w:rPr>
            </w:pPr>
            <w:r>
              <w:rPr>
                <w:rFonts w:ascii="Arial" w:cs="Arial" w:eastAsia="Arial" w:hAnsi="Arial"/>
                <w:sz w:val="14"/>
                <w:szCs w:val="14"/>
                <w:color w:val="auto"/>
              </w:rPr>
              <w:t>2.1%</w:t>
            </w:r>
          </w:p>
        </w:tc>
        <w:tc>
          <w:tcPr>
            <w:tcW w:w="8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26,371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(f/k/a J. A. Cosmetics US, Inc.)</w:t>
            </w:r>
          </w:p>
        </w:tc>
        <w:tc>
          <w:tcPr>
            <w:tcW w:w="174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345 California Street, Ste. 3300</w:t>
            </w:r>
          </w:p>
        </w:tc>
        <w:tc>
          <w:tcPr>
            <w:tcW w:w="174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San Francisco, CA 94104</w:t>
            </w:r>
          </w:p>
        </w:tc>
        <w:tc>
          <w:tcPr>
            <w:tcW w:w="174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540" w:type="dxa"/>
            <w:vAlign w:val="bottom"/>
          </w:tcPr>
          <w:p>
            <w:pPr>
              <w:spacing w:after="0" w:line="138" w:lineRule="exact"/>
              <w:rPr>
                <w:sz w:val="20"/>
                <w:szCs w:val="20"/>
                <w:color w:val="auto"/>
              </w:rPr>
            </w:pPr>
            <w:r>
              <w:rPr>
                <w:rFonts w:ascii="Arial" w:cs="Arial" w:eastAsia="Arial" w:hAnsi="Arial"/>
                <w:sz w:val="10"/>
                <w:szCs w:val="10"/>
                <w:color w:val="auto"/>
              </w:rPr>
              <w:t>Goldsun Trading Limited</w:t>
            </w:r>
            <w:r>
              <w:rPr>
                <w:rFonts w:ascii="Arial" w:cs="Arial" w:eastAsia="Arial" w:hAnsi="Arial"/>
                <w:sz w:val="15"/>
                <w:szCs w:val="15"/>
                <w:color w:val="auto"/>
                <w:vertAlign w:val="superscript"/>
              </w:rPr>
              <w:t>(6)</w:t>
            </w:r>
          </w:p>
        </w:tc>
        <w:tc>
          <w:tcPr>
            <w:tcW w:w="1740" w:type="dxa"/>
            <w:vAlign w:val="bottom"/>
          </w:tcPr>
          <w:p>
            <w:pPr>
              <w:spacing w:after="0"/>
              <w:rPr>
                <w:sz w:val="11"/>
                <w:szCs w:val="11"/>
                <w:color w:val="auto"/>
              </w:rPr>
            </w:pPr>
          </w:p>
        </w:tc>
        <w:tc>
          <w:tcPr>
            <w:tcW w:w="2440" w:type="dxa"/>
            <w:vAlign w:val="bottom"/>
            <w:gridSpan w:val="2"/>
          </w:tcPr>
          <w:p>
            <w:pPr>
              <w:jc w:val="center"/>
              <w:ind w:right="280"/>
              <w:spacing w:after="0" w:line="138" w:lineRule="exact"/>
              <w:rPr>
                <w:sz w:val="20"/>
                <w:szCs w:val="20"/>
                <w:color w:val="auto"/>
              </w:rPr>
            </w:pPr>
            <w:r>
              <w:rPr>
                <w:rFonts w:ascii="Arial" w:cs="Arial" w:eastAsia="Arial" w:hAnsi="Arial"/>
                <w:sz w:val="14"/>
                <w:szCs w:val="14"/>
                <w:color w:val="auto"/>
                <w:w w:val="87"/>
              </w:rPr>
              <w:t>Healthcare, Education and Childcare</w:t>
            </w:r>
          </w:p>
        </w:tc>
        <w:tc>
          <w:tcPr>
            <w:tcW w:w="2600" w:type="dxa"/>
            <w:vAlign w:val="bottom"/>
            <w:gridSpan w:val="2"/>
          </w:tcPr>
          <w:p>
            <w:pPr>
              <w:jc w:val="center"/>
              <w:ind w:right="280"/>
              <w:spacing w:after="0" w:line="138" w:lineRule="exact"/>
              <w:rPr>
                <w:sz w:val="20"/>
                <w:szCs w:val="20"/>
                <w:color w:val="auto"/>
              </w:rPr>
            </w:pPr>
            <w:r>
              <w:rPr>
                <w:rFonts w:ascii="Arial" w:cs="Arial" w:eastAsia="Arial" w:hAnsi="Arial"/>
                <w:sz w:val="14"/>
                <w:szCs w:val="14"/>
                <w:color w:val="auto"/>
                <w:w w:val="86"/>
              </w:rPr>
              <w:t>Subordinated Debt,</w:t>
            </w:r>
          </w:p>
        </w:tc>
        <w:tc>
          <w:tcPr>
            <w:tcW w:w="1240" w:type="dxa"/>
            <w:vAlign w:val="bottom"/>
            <w:gridSpan w:val="2"/>
          </w:tcPr>
          <w:p>
            <w:pPr>
              <w:ind w:left="580"/>
              <w:spacing w:after="0" w:line="138"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38" w:lineRule="exact"/>
              <w:rPr>
                <w:sz w:val="20"/>
                <w:szCs w:val="20"/>
                <w:color w:val="auto"/>
              </w:rPr>
            </w:pPr>
            <w:r>
              <w:rPr>
                <w:rFonts w:ascii="Arial" w:cs="Arial" w:eastAsia="Arial" w:hAnsi="Arial"/>
                <w:sz w:val="14"/>
                <w:szCs w:val="14"/>
                <w:color w:val="auto"/>
              </w:rPr>
              <w:t>10,506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line="149" w:lineRule="exact"/>
              <w:rPr>
                <w:sz w:val="20"/>
                <w:szCs w:val="20"/>
                <w:color w:val="auto"/>
              </w:rPr>
            </w:pPr>
            <w:r>
              <w:rPr>
                <w:rFonts w:ascii="Arial" w:cs="Arial" w:eastAsia="Arial" w:hAnsi="Arial"/>
                <w:sz w:val="14"/>
                <w:szCs w:val="14"/>
                <w:color w:val="auto"/>
              </w:rPr>
              <w:t>First Floor, Millennium House</w:t>
            </w:r>
          </w:p>
        </w:tc>
        <w:tc>
          <w:tcPr>
            <w:tcW w:w="17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L+1,000 (PIK 6.00%), 02/19/2018</w:t>
            </w: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line="149" w:lineRule="exact"/>
              <w:rPr>
                <w:sz w:val="20"/>
                <w:szCs w:val="20"/>
                <w:color w:val="auto"/>
              </w:rPr>
            </w:pPr>
            <w:r>
              <w:rPr>
                <w:rFonts w:ascii="Arial" w:cs="Arial" w:eastAsia="Arial" w:hAnsi="Arial"/>
                <w:sz w:val="14"/>
                <w:szCs w:val="14"/>
                <w:color w:val="auto"/>
              </w:rPr>
              <w:t>Victoria Road, Douglas, Isle of Man</w:t>
            </w:r>
          </w:p>
        </w:tc>
        <w:tc>
          <w:tcPr>
            <w:tcW w:w="17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tcPr>
          <w:p>
            <w:pPr>
              <w:spacing w:after="0"/>
              <w:rPr>
                <w:sz w:val="20"/>
                <w:szCs w:val="20"/>
                <w:color w:val="auto"/>
              </w:rPr>
            </w:pPr>
            <w:r>
              <w:rPr>
                <w:rFonts w:ascii="Arial" w:cs="Arial" w:eastAsia="Arial" w:hAnsi="Arial"/>
                <w:sz w:val="14"/>
                <w:szCs w:val="14"/>
                <w:color w:val="auto"/>
              </w:rPr>
              <w:t>IM2 4RW</w:t>
            </w:r>
          </w:p>
        </w:tc>
        <w:tc>
          <w:tcPr>
            <w:tcW w:w="1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54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Harbortouch Payments, LLC</w:t>
            </w:r>
          </w:p>
        </w:tc>
        <w:tc>
          <w:tcPr>
            <w:tcW w:w="174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jc w:val="center"/>
              <w:ind w:right="280"/>
              <w:spacing w:after="0" w:line="139" w:lineRule="exact"/>
              <w:rPr>
                <w:sz w:val="20"/>
                <w:szCs w:val="20"/>
                <w:color w:val="auto"/>
              </w:rPr>
            </w:pPr>
            <w:r>
              <w:rPr>
                <w:rFonts w:ascii="Arial" w:cs="Arial" w:eastAsia="Arial" w:hAnsi="Arial"/>
                <w:sz w:val="14"/>
                <w:szCs w:val="14"/>
                <w:color w:val="auto"/>
                <w:w w:val="87"/>
              </w:rPr>
              <w:t>Financial Services</w:t>
            </w:r>
          </w:p>
        </w:tc>
        <w:tc>
          <w:tcPr>
            <w:tcW w:w="2600" w:type="dxa"/>
            <w:vAlign w:val="bottom"/>
            <w:gridSpan w:val="2"/>
            <w:shd w:val="clear" w:color="auto" w:fill="CCEEFF"/>
          </w:tcPr>
          <w:p>
            <w:pPr>
              <w:jc w:val="center"/>
              <w:ind w:right="280"/>
              <w:spacing w:after="0" w:line="139" w:lineRule="exact"/>
              <w:rPr>
                <w:sz w:val="20"/>
                <w:szCs w:val="20"/>
                <w:color w:val="auto"/>
              </w:rPr>
            </w:pPr>
            <w:r>
              <w:rPr>
                <w:rFonts w:ascii="Arial" w:cs="Arial" w:eastAsia="Arial" w:hAnsi="Arial"/>
                <w:sz w:val="14"/>
                <w:szCs w:val="14"/>
                <w:color w:val="auto"/>
                <w:w w:val="86"/>
              </w:rPr>
              <w:t>Second Lien Secured Debt,</w:t>
            </w:r>
          </w:p>
        </w:tc>
        <w:tc>
          <w:tcPr>
            <w:tcW w:w="1240" w:type="dxa"/>
            <w:vAlign w:val="bottom"/>
            <w:gridSpan w:val="2"/>
            <w:shd w:val="clear" w:color="auto" w:fill="CCEEFF"/>
          </w:tcPr>
          <w:p>
            <w:pPr>
              <w:ind w:left="580"/>
              <w:spacing w:after="0" w:line="13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22,163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2202 N. Irving Street</w:t>
            </w:r>
          </w:p>
        </w:tc>
        <w:tc>
          <w:tcPr>
            <w:tcW w:w="174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88"/>
              </w:rPr>
              <w:t>L+950, 10/11/2024</w:t>
            </w: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Allentown, PA 18109</w:t>
            </w:r>
          </w:p>
        </w:tc>
        <w:tc>
          <w:tcPr>
            <w:tcW w:w="174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540" w:type="dxa"/>
            <w:vAlign w:val="bottom"/>
          </w:tcPr>
          <w:p>
            <w:pPr>
              <w:spacing w:after="0" w:line="138" w:lineRule="exact"/>
              <w:rPr>
                <w:sz w:val="20"/>
                <w:szCs w:val="20"/>
                <w:color w:val="auto"/>
              </w:rPr>
            </w:pPr>
            <w:r>
              <w:rPr>
                <w:rFonts w:ascii="Arial" w:cs="Arial" w:eastAsia="Arial" w:hAnsi="Arial"/>
                <w:sz w:val="14"/>
                <w:szCs w:val="14"/>
                <w:color w:val="auto"/>
              </w:rPr>
              <w:t>Hollander Sleep Products, LLC</w:t>
            </w:r>
          </w:p>
        </w:tc>
        <w:tc>
          <w:tcPr>
            <w:tcW w:w="1740" w:type="dxa"/>
            <w:vAlign w:val="bottom"/>
          </w:tcPr>
          <w:p>
            <w:pPr>
              <w:spacing w:after="0"/>
              <w:rPr>
                <w:sz w:val="11"/>
                <w:szCs w:val="11"/>
                <w:color w:val="auto"/>
              </w:rPr>
            </w:pPr>
          </w:p>
        </w:tc>
        <w:tc>
          <w:tcPr>
            <w:tcW w:w="2440" w:type="dxa"/>
            <w:vAlign w:val="bottom"/>
            <w:gridSpan w:val="2"/>
          </w:tcPr>
          <w:p>
            <w:pPr>
              <w:jc w:val="center"/>
              <w:ind w:right="260"/>
              <w:spacing w:after="0" w:line="138" w:lineRule="exact"/>
              <w:rPr>
                <w:sz w:val="20"/>
                <w:szCs w:val="20"/>
                <w:color w:val="auto"/>
              </w:rPr>
            </w:pPr>
            <w:r>
              <w:rPr>
                <w:rFonts w:ascii="Arial" w:cs="Arial" w:eastAsia="Arial" w:hAnsi="Arial"/>
                <w:sz w:val="14"/>
                <w:szCs w:val="14"/>
                <w:color w:val="auto"/>
                <w:w w:val="85"/>
              </w:rPr>
              <w:t>Consumer Products</w:t>
            </w:r>
          </w:p>
        </w:tc>
        <w:tc>
          <w:tcPr>
            <w:tcW w:w="2600" w:type="dxa"/>
            <w:vAlign w:val="bottom"/>
            <w:gridSpan w:val="2"/>
          </w:tcPr>
          <w:p>
            <w:pPr>
              <w:jc w:val="center"/>
              <w:ind w:right="280"/>
              <w:spacing w:after="0" w:line="138" w:lineRule="exact"/>
              <w:rPr>
                <w:sz w:val="20"/>
                <w:szCs w:val="20"/>
                <w:color w:val="auto"/>
              </w:rPr>
            </w:pPr>
            <w:r>
              <w:rPr>
                <w:rFonts w:ascii="Arial" w:cs="Arial" w:eastAsia="Arial" w:hAnsi="Arial"/>
                <w:sz w:val="14"/>
                <w:szCs w:val="14"/>
                <w:color w:val="auto"/>
                <w:w w:val="87"/>
              </w:rPr>
              <w:t>First Lien Secured Debt,</w:t>
            </w:r>
          </w:p>
        </w:tc>
        <w:tc>
          <w:tcPr>
            <w:tcW w:w="1240" w:type="dxa"/>
            <w:vAlign w:val="bottom"/>
            <w:gridSpan w:val="2"/>
          </w:tcPr>
          <w:p>
            <w:pPr>
              <w:ind w:left="580"/>
              <w:spacing w:after="0" w:line="138"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38" w:lineRule="exact"/>
              <w:rPr>
                <w:sz w:val="20"/>
                <w:szCs w:val="20"/>
                <w:color w:val="auto"/>
              </w:rPr>
            </w:pPr>
            <w:r>
              <w:rPr>
                <w:rFonts w:ascii="Arial" w:cs="Arial" w:eastAsia="Arial" w:hAnsi="Arial"/>
                <w:sz w:val="14"/>
                <w:szCs w:val="14"/>
                <w:color w:val="auto"/>
              </w:rPr>
              <w:t>4,285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line="149" w:lineRule="exact"/>
              <w:rPr>
                <w:sz w:val="20"/>
                <w:szCs w:val="20"/>
                <w:color w:val="auto"/>
              </w:rPr>
            </w:pPr>
            <w:r>
              <w:rPr>
                <w:rFonts w:ascii="Arial" w:cs="Arial" w:eastAsia="Arial" w:hAnsi="Arial"/>
                <w:sz w:val="14"/>
                <w:szCs w:val="14"/>
                <w:color w:val="auto"/>
              </w:rPr>
              <w:t>6501 Congress Avenue, Ste. 300</w:t>
            </w:r>
          </w:p>
        </w:tc>
        <w:tc>
          <w:tcPr>
            <w:tcW w:w="17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8"/>
              </w:rPr>
              <w:t>L+800, 10/21/2020</w:t>
            </w: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tcPr>
          <w:p>
            <w:pPr>
              <w:spacing w:after="0"/>
              <w:rPr>
                <w:sz w:val="20"/>
                <w:szCs w:val="20"/>
                <w:color w:val="auto"/>
              </w:rPr>
            </w:pPr>
            <w:r>
              <w:rPr>
                <w:rFonts w:ascii="Arial" w:cs="Arial" w:eastAsia="Arial" w:hAnsi="Arial"/>
                <w:sz w:val="14"/>
                <w:szCs w:val="14"/>
                <w:color w:val="auto"/>
              </w:rPr>
              <w:t>Boca Raton, FL 33487</w:t>
            </w:r>
          </w:p>
        </w:tc>
        <w:tc>
          <w:tcPr>
            <w:tcW w:w="1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54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Howard Berger Co. LLC</w:t>
            </w:r>
          </w:p>
        </w:tc>
        <w:tc>
          <w:tcPr>
            <w:tcW w:w="174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jc w:val="center"/>
              <w:ind w:right="280"/>
              <w:spacing w:after="0" w:line="139" w:lineRule="exact"/>
              <w:rPr>
                <w:sz w:val="20"/>
                <w:szCs w:val="20"/>
                <w:color w:val="auto"/>
              </w:rPr>
            </w:pPr>
            <w:r>
              <w:rPr>
                <w:rFonts w:ascii="Arial" w:cs="Arial" w:eastAsia="Arial" w:hAnsi="Arial"/>
                <w:sz w:val="14"/>
                <w:szCs w:val="14"/>
                <w:color w:val="auto"/>
                <w:w w:val="91"/>
              </w:rPr>
              <w:t>Distribution</w:t>
            </w:r>
          </w:p>
        </w:tc>
        <w:tc>
          <w:tcPr>
            <w:tcW w:w="2600" w:type="dxa"/>
            <w:vAlign w:val="bottom"/>
            <w:gridSpan w:val="2"/>
            <w:shd w:val="clear" w:color="auto" w:fill="CCEEFF"/>
          </w:tcPr>
          <w:p>
            <w:pPr>
              <w:jc w:val="center"/>
              <w:ind w:right="280"/>
              <w:spacing w:after="0" w:line="139" w:lineRule="exact"/>
              <w:rPr>
                <w:sz w:val="20"/>
                <w:szCs w:val="20"/>
                <w:color w:val="auto"/>
              </w:rPr>
            </w:pPr>
            <w:r>
              <w:rPr>
                <w:rFonts w:ascii="Arial" w:cs="Arial" w:eastAsia="Arial" w:hAnsi="Arial"/>
                <w:sz w:val="14"/>
                <w:szCs w:val="14"/>
                <w:color w:val="auto"/>
                <w:w w:val="86"/>
              </w:rPr>
              <w:t>Second Lien Secured Debt,</w:t>
            </w:r>
          </w:p>
        </w:tc>
        <w:tc>
          <w:tcPr>
            <w:tcW w:w="1240" w:type="dxa"/>
            <w:vAlign w:val="bottom"/>
            <w:gridSpan w:val="2"/>
            <w:shd w:val="clear" w:color="auto" w:fill="CCEEFF"/>
          </w:tcPr>
          <w:p>
            <w:pPr>
              <w:ind w:left="580"/>
              <w:spacing w:after="0" w:line="13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36,713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324 Half Acre Road #A</w:t>
            </w:r>
          </w:p>
        </w:tc>
        <w:tc>
          <w:tcPr>
            <w:tcW w:w="174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0"/>
              </w:rPr>
              <w:t>L+1,000, 09/30/2020</w:t>
            </w: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Cranbury, NJ 08512</w:t>
            </w:r>
          </w:p>
        </w:tc>
        <w:tc>
          <w:tcPr>
            <w:tcW w:w="174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540" w:type="dxa"/>
            <w:vAlign w:val="bottom"/>
          </w:tcPr>
          <w:p>
            <w:pPr>
              <w:spacing w:after="0" w:line="138" w:lineRule="exact"/>
              <w:rPr>
                <w:sz w:val="20"/>
                <w:szCs w:val="20"/>
                <w:color w:val="auto"/>
              </w:rPr>
            </w:pPr>
            <w:r>
              <w:rPr>
                <w:rFonts w:ascii="Arial" w:cs="Arial" w:eastAsia="Arial" w:hAnsi="Arial"/>
                <w:sz w:val="14"/>
                <w:szCs w:val="14"/>
                <w:color w:val="auto"/>
              </w:rPr>
              <w:t>HW Holdco, LLC</w:t>
            </w:r>
          </w:p>
        </w:tc>
        <w:tc>
          <w:tcPr>
            <w:tcW w:w="1740" w:type="dxa"/>
            <w:vAlign w:val="bottom"/>
          </w:tcPr>
          <w:p>
            <w:pPr>
              <w:spacing w:after="0"/>
              <w:rPr>
                <w:sz w:val="11"/>
                <w:szCs w:val="11"/>
                <w:color w:val="auto"/>
              </w:rPr>
            </w:pPr>
          </w:p>
        </w:tc>
        <w:tc>
          <w:tcPr>
            <w:tcW w:w="2440" w:type="dxa"/>
            <w:vAlign w:val="bottom"/>
            <w:gridSpan w:val="2"/>
          </w:tcPr>
          <w:p>
            <w:pPr>
              <w:jc w:val="center"/>
              <w:ind w:right="280"/>
              <w:spacing w:after="0" w:line="138" w:lineRule="exact"/>
              <w:rPr>
                <w:sz w:val="20"/>
                <w:szCs w:val="20"/>
                <w:color w:val="auto"/>
              </w:rPr>
            </w:pPr>
            <w:r>
              <w:rPr>
                <w:rFonts w:ascii="Arial" w:cs="Arial" w:eastAsia="Arial" w:hAnsi="Arial"/>
                <w:sz w:val="14"/>
                <w:szCs w:val="14"/>
                <w:color w:val="auto"/>
                <w:w w:val="88"/>
              </w:rPr>
              <w:t>Other Media</w:t>
            </w:r>
          </w:p>
        </w:tc>
        <w:tc>
          <w:tcPr>
            <w:tcW w:w="2600" w:type="dxa"/>
            <w:vAlign w:val="bottom"/>
            <w:gridSpan w:val="2"/>
          </w:tcPr>
          <w:p>
            <w:pPr>
              <w:jc w:val="center"/>
              <w:ind w:right="280"/>
              <w:spacing w:after="0" w:line="138" w:lineRule="exact"/>
              <w:rPr>
                <w:sz w:val="20"/>
                <w:szCs w:val="20"/>
                <w:color w:val="auto"/>
              </w:rPr>
            </w:pPr>
            <w:r>
              <w:rPr>
                <w:rFonts w:ascii="Arial" w:cs="Arial" w:eastAsia="Arial" w:hAnsi="Arial"/>
                <w:sz w:val="14"/>
                <w:szCs w:val="14"/>
                <w:color w:val="auto"/>
                <w:w w:val="86"/>
              </w:rPr>
              <w:t>Preferred Equity</w:t>
            </w:r>
          </w:p>
        </w:tc>
        <w:tc>
          <w:tcPr>
            <w:tcW w:w="1240" w:type="dxa"/>
            <w:vAlign w:val="bottom"/>
            <w:gridSpan w:val="2"/>
          </w:tcPr>
          <w:p>
            <w:pPr>
              <w:ind w:left="600"/>
              <w:spacing w:after="0" w:line="138" w:lineRule="exact"/>
              <w:rPr>
                <w:sz w:val="20"/>
                <w:szCs w:val="20"/>
                <w:color w:val="auto"/>
              </w:rPr>
            </w:pPr>
            <w:r>
              <w:rPr>
                <w:rFonts w:ascii="Arial" w:cs="Arial" w:eastAsia="Arial" w:hAnsi="Arial"/>
                <w:sz w:val="14"/>
                <w:szCs w:val="14"/>
                <w:color w:val="auto"/>
              </w:rPr>
              <w:t>2.2%</w:t>
            </w:r>
          </w:p>
        </w:tc>
        <w:tc>
          <w:tcPr>
            <w:tcW w:w="820" w:type="dxa"/>
            <w:vAlign w:val="bottom"/>
          </w:tcPr>
          <w:p>
            <w:pPr>
              <w:jc w:val="right"/>
              <w:spacing w:after="0" w:line="138" w:lineRule="exact"/>
              <w:rPr>
                <w:sz w:val="20"/>
                <w:szCs w:val="20"/>
                <w:color w:val="auto"/>
              </w:rPr>
            </w:pPr>
            <w:r>
              <w:rPr>
                <w:rFonts w:ascii="Arial" w:cs="Arial" w:eastAsia="Arial" w:hAnsi="Arial"/>
                <w:sz w:val="14"/>
                <w:szCs w:val="14"/>
                <w:color w:val="auto"/>
              </w:rPr>
              <w:t>3,918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line="149" w:lineRule="exact"/>
              <w:rPr>
                <w:sz w:val="20"/>
                <w:szCs w:val="20"/>
                <w:color w:val="auto"/>
              </w:rPr>
            </w:pPr>
            <w:r>
              <w:rPr>
                <w:rFonts w:ascii="Arial" w:cs="Arial" w:eastAsia="Arial" w:hAnsi="Arial"/>
                <w:sz w:val="14"/>
                <w:szCs w:val="14"/>
                <w:color w:val="auto"/>
              </w:rPr>
              <w:t>One Thomas Circle, NW, Ste. 600</w:t>
            </w:r>
          </w:p>
        </w:tc>
        <w:tc>
          <w:tcPr>
            <w:tcW w:w="17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Common Equity</w:t>
            </w: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tcPr>
          <w:p>
            <w:pPr>
              <w:spacing w:after="0"/>
              <w:rPr>
                <w:sz w:val="20"/>
                <w:szCs w:val="20"/>
                <w:color w:val="auto"/>
              </w:rPr>
            </w:pPr>
            <w:r>
              <w:rPr>
                <w:rFonts w:ascii="Arial" w:cs="Arial" w:eastAsia="Arial" w:hAnsi="Arial"/>
                <w:sz w:val="14"/>
                <w:szCs w:val="14"/>
                <w:color w:val="auto"/>
              </w:rPr>
              <w:t>Washington, DC 20005</w:t>
            </w:r>
          </w:p>
        </w:tc>
        <w:tc>
          <w:tcPr>
            <w:tcW w:w="1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54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Interior Specialists, Inc.</w:t>
            </w:r>
          </w:p>
        </w:tc>
        <w:tc>
          <w:tcPr>
            <w:tcW w:w="174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jc w:val="center"/>
              <w:ind w:right="260"/>
              <w:spacing w:after="0" w:line="139" w:lineRule="exact"/>
              <w:rPr>
                <w:sz w:val="20"/>
                <w:szCs w:val="20"/>
                <w:color w:val="auto"/>
              </w:rPr>
            </w:pPr>
            <w:r>
              <w:rPr>
                <w:rFonts w:ascii="Arial" w:cs="Arial" w:eastAsia="Arial" w:hAnsi="Arial"/>
                <w:sz w:val="14"/>
                <w:szCs w:val="14"/>
                <w:color w:val="auto"/>
                <w:w w:val="92"/>
              </w:rPr>
              <w:t>Building Materials</w:t>
            </w:r>
          </w:p>
        </w:tc>
        <w:tc>
          <w:tcPr>
            <w:tcW w:w="2600" w:type="dxa"/>
            <w:vAlign w:val="bottom"/>
            <w:gridSpan w:val="2"/>
            <w:shd w:val="clear" w:color="auto" w:fill="CCEEFF"/>
          </w:tcPr>
          <w:p>
            <w:pPr>
              <w:jc w:val="center"/>
              <w:ind w:right="280"/>
              <w:spacing w:after="0" w:line="139" w:lineRule="exact"/>
              <w:rPr>
                <w:sz w:val="20"/>
                <w:szCs w:val="20"/>
                <w:color w:val="auto"/>
              </w:rPr>
            </w:pPr>
            <w:r>
              <w:rPr>
                <w:rFonts w:ascii="Arial" w:cs="Arial" w:eastAsia="Arial" w:hAnsi="Arial"/>
                <w:sz w:val="14"/>
                <w:szCs w:val="14"/>
                <w:color w:val="auto"/>
                <w:w w:val="87"/>
              </w:rPr>
              <w:t>First Lien Secured Debt,</w:t>
            </w:r>
          </w:p>
        </w:tc>
        <w:tc>
          <w:tcPr>
            <w:tcW w:w="1240" w:type="dxa"/>
            <w:vAlign w:val="bottom"/>
            <w:gridSpan w:val="2"/>
            <w:shd w:val="clear" w:color="auto" w:fill="CCEEFF"/>
          </w:tcPr>
          <w:p>
            <w:pPr>
              <w:ind w:left="600"/>
              <w:spacing w:after="0" w:line="139" w:lineRule="exact"/>
              <w:rPr>
                <w:sz w:val="20"/>
                <w:szCs w:val="20"/>
                <w:color w:val="auto"/>
              </w:rPr>
            </w:pPr>
            <w:r>
              <w:rPr>
                <w:rFonts w:ascii="Arial" w:cs="Arial" w:eastAsia="Arial" w:hAnsi="Arial"/>
                <w:sz w:val="14"/>
                <w:szCs w:val="14"/>
                <w:color w:val="auto"/>
              </w:rPr>
              <w:t>0.3%</w:t>
            </w:r>
          </w:p>
        </w:tc>
        <w:tc>
          <w:tcPr>
            <w:tcW w:w="8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25,272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(Faraday Holdings, LLC)</w:t>
            </w:r>
          </w:p>
        </w:tc>
        <w:tc>
          <w:tcPr>
            <w:tcW w:w="174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88"/>
              </w:rPr>
              <w:t>L+800, 06/30/2020</w:t>
            </w: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1630 Faraday Avenue</w:t>
            </w:r>
          </w:p>
        </w:tc>
        <w:tc>
          <w:tcPr>
            <w:tcW w:w="174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0"/>
              </w:rPr>
              <w:t>Common Equity</w:t>
            </w: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Carlsbad, CA 92008</w:t>
            </w:r>
          </w:p>
        </w:tc>
        <w:tc>
          <w:tcPr>
            <w:tcW w:w="174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540" w:type="dxa"/>
            <w:vAlign w:val="bottom"/>
          </w:tcPr>
          <w:p>
            <w:pPr>
              <w:spacing w:after="0" w:line="138" w:lineRule="exact"/>
              <w:rPr>
                <w:sz w:val="20"/>
                <w:szCs w:val="20"/>
                <w:color w:val="auto"/>
              </w:rPr>
            </w:pPr>
            <w:r>
              <w:rPr>
                <w:rFonts w:ascii="Arial" w:cs="Arial" w:eastAsia="Arial" w:hAnsi="Arial"/>
                <w:sz w:val="14"/>
                <w:szCs w:val="14"/>
                <w:color w:val="auto"/>
              </w:rPr>
              <w:t>Jacobs Entertainment, Inc.</w:t>
            </w:r>
          </w:p>
        </w:tc>
        <w:tc>
          <w:tcPr>
            <w:tcW w:w="1740" w:type="dxa"/>
            <w:vAlign w:val="bottom"/>
          </w:tcPr>
          <w:p>
            <w:pPr>
              <w:spacing w:after="0"/>
              <w:rPr>
                <w:sz w:val="11"/>
                <w:szCs w:val="11"/>
                <w:color w:val="auto"/>
              </w:rPr>
            </w:pPr>
          </w:p>
        </w:tc>
        <w:tc>
          <w:tcPr>
            <w:tcW w:w="2440" w:type="dxa"/>
            <w:vAlign w:val="bottom"/>
            <w:gridSpan w:val="2"/>
          </w:tcPr>
          <w:p>
            <w:pPr>
              <w:jc w:val="center"/>
              <w:ind w:right="280"/>
              <w:spacing w:after="0" w:line="138" w:lineRule="exact"/>
              <w:rPr>
                <w:sz w:val="20"/>
                <w:szCs w:val="20"/>
                <w:color w:val="auto"/>
              </w:rPr>
            </w:pPr>
            <w:r>
              <w:rPr>
                <w:rFonts w:ascii="Arial" w:cs="Arial" w:eastAsia="Arial" w:hAnsi="Arial"/>
                <w:sz w:val="14"/>
                <w:szCs w:val="14"/>
                <w:color w:val="auto"/>
                <w:w w:val="88"/>
              </w:rPr>
              <w:t>Hotels, Motels, Inns and Gaming</w:t>
            </w:r>
          </w:p>
        </w:tc>
        <w:tc>
          <w:tcPr>
            <w:tcW w:w="2600" w:type="dxa"/>
            <w:vAlign w:val="bottom"/>
            <w:gridSpan w:val="2"/>
          </w:tcPr>
          <w:p>
            <w:pPr>
              <w:jc w:val="center"/>
              <w:ind w:right="280"/>
              <w:spacing w:after="0" w:line="138" w:lineRule="exact"/>
              <w:rPr>
                <w:sz w:val="20"/>
                <w:szCs w:val="20"/>
                <w:color w:val="auto"/>
              </w:rPr>
            </w:pPr>
            <w:r>
              <w:rPr>
                <w:rFonts w:ascii="Arial" w:cs="Arial" w:eastAsia="Arial" w:hAnsi="Arial"/>
                <w:sz w:val="14"/>
                <w:szCs w:val="14"/>
                <w:color w:val="auto"/>
                <w:w w:val="86"/>
              </w:rPr>
              <w:t>Second Lien Secured Debt,</w:t>
            </w:r>
          </w:p>
        </w:tc>
        <w:tc>
          <w:tcPr>
            <w:tcW w:w="1240" w:type="dxa"/>
            <w:vAlign w:val="bottom"/>
            <w:gridSpan w:val="2"/>
          </w:tcPr>
          <w:p>
            <w:pPr>
              <w:ind w:left="580"/>
              <w:spacing w:after="0" w:line="138"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38" w:lineRule="exact"/>
              <w:rPr>
                <w:sz w:val="20"/>
                <w:szCs w:val="20"/>
                <w:color w:val="auto"/>
              </w:rPr>
            </w:pPr>
            <w:r>
              <w:rPr>
                <w:rFonts w:ascii="Arial" w:cs="Arial" w:eastAsia="Arial" w:hAnsi="Arial"/>
                <w:sz w:val="14"/>
                <w:szCs w:val="14"/>
                <w:color w:val="auto"/>
              </w:rPr>
              <w:t>50,740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line="149" w:lineRule="exact"/>
              <w:rPr>
                <w:sz w:val="20"/>
                <w:szCs w:val="20"/>
                <w:color w:val="auto"/>
              </w:rPr>
            </w:pPr>
            <w:r>
              <w:rPr>
                <w:rFonts w:ascii="Arial" w:cs="Arial" w:eastAsia="Arial" w:hAnsi="Arial"/>
                <w:sz w:val="14"/>
                <w:szCs w:val="14"/>
                <w:color w:val="auto"/>
              </w:rPr>
              <w:t>17301 W. Colfax Ave., Ste. 250</w:t>
            </w:r>
          </w:p>
        </w:tc>
        <w:tc>
          <w:tcPr>
            <w:tcW w:w="17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L+1,175, 10/29/2019</w:t>
            </w: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tcPr>
          <w:p>
            <w:pPr>
              <w:spacing w:after="0"/>
              <w:rPr>
                <w:sz w:val="20"/>
                <w:szCs w:val="20"/>
                <w:color w:val="auto"/>
              </w:rPr>
            </w:pPr>
            <w:r>
              <w:rPr>
                <w:rFonts w:ascii="Arial" w:cs="Arial" w:eastAsia="Arial" w:hAnsi="Arial"/>
                <w:sz w:val="14"/>
                <w:szCs w:val="14"/>
                <w:color w:val="auto"/>
              </w:rPr>
              <w:t>Golden, CO 80401</w:t>
            </w:r>
          </w:p>
        </w:tc>
        <w:tc>
          <w:tcPr>
            <w:tcW w:w="1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54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Juniper Landscaping of Florida, LLC</w:t>
            </w:r>
          </w:p>
        </w:tc>
        <w:tc>
          <w:tcPr>
            <w:tcW w:w="174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jc w:val="center"/>
              <w:ind w:right="280"/>
              <w:spacing w:after="0" w:line="139" w:lineRule="exact"/>
              <w:rPr>
                <w:sz w:val="20"/>
                <w:szCs w:val="20"/>
                <w:color w:val="auto"/>
              </w:rPr>
            </w:pPr>
            <w:r>
              <w:rPr>
                <w:rFonts w:ascii="Arial" w:cs="Arial" w:eastAsia="Arial" w:hAnsi="Arial"/>
                <w:sz w:val="14"/>
                <w:szCs w:val="14"/>
                <w:color w:val="auto"/>
                <w:w w:val="85"/>
              </w:rPr>
              <w:t>Personal, Food and Miscelleneous</w:t>
            </w:r>
          </w:p>
        </w:tc>
        <w:tc>
          <w:tcPr>
            <w:tcW w:w="2600" w:type="dxa"/>
            <w:vAlign w:val="bottom"/>
            <w:gridSpan w:val="2"/>
            <w:shd w:val="clear" w:color="auto" w:fill="CCEEFF"/>
          </w:tcPr>
          <w:p>
            <w:pPr>
              <w:jc w:val="center"/>
              <w:ind w:right="260"/>
              <w:spacing w:after="0" w:line="138" w:lineRule="exact"/>
              <w:rPr>
                <w:sz w:val="20"/>
                <w:szCs w:val="20"/>
                <w:color w:val="auto"/>
              </w:rPr>
            </w:pPr>
            <w:r>
              <w:rPr>
                <w:rFonts w:ascii="Arial" w:cs="Arial" w:eastAsia="Arial" w:hAnsi="Arial"/>
                <w:sz w:val="11"/>
                <w:szCs w:val="11"/>
                <w:color w:val="auto"/>
              </w:rPr>
              <w:t>First Lien Secured Debt</w:t>
            </w:r>
            <w:r>
              <w:rPr>
                <w:rFonts w:ascii="Arial" w:cs="Arial" w:eastAsia="Arial" w:hAnsi="Arial"/>
                <w:sz w:val="16"/>
                <w:szCs w:val="16"/>
                <w:color w:val="auto"/>
                <w:vertAlign w:val="superscript"/>
              </w:rPr>
              <w:t>(4)</w:t>
            </w:r>
            <w:r>
              <w:rPr>
                <w:rFonts w:ascii="Arial" w:cs="Arial" w:eastAsia="Arial" w:hAnsi="Arial"/>
                <w:sz w:val="11"/>
                <w:szCs w:val="11"/>
                <w:color w:val="auto"/>
              </w:rPr>
              <w:t>,</w:t>
            </w:r>
          </w:p>
        </w:tc>
        <w:tc>
          <w:tcPr>
            <w:tcW w:w="1240" w:type="dxa"/>
            <w:vAlign w:val="bottom"/>
            <w:gridSpan w:val="2"/>
            <w:shd w:val="clear" w:color="auto" w:fill="CCEEFF"/>
          </w:tcPr>
          <w:p>
            <w:pPr>
              <w:ind w:left="600"/>
              <w:spacing w:after="0" w:line="139" w:lineRule="exact"/>
              <w:rPr>
                <w:sz w:val="20"/>
                <w:szCs w:val="20"/>
                <w:color w:val="auto"/>
              </w:rPr>
            </w:pPr>
            <w:r>
              <w:rPr>
                <w:rFonts w:ascii="Arial" w:cs="Arial" w:eastAsia="Arial" w:hAnsi="Arial"/>
                <w:sz w:val="14"/>
                <w:szCs w:val="14"/>
                <w:color w:val="auto"/>
              </w:rPr>
              <w:t>4.0%</w:t>
            </w:r>
          </w:p>
        </w:tc>
        <w:tc>
          <w:tcPr>
            <w:tcW w:w="8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14,910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(ZS Juniper L.P.)</w:t>
            </w:r>
          </w:p>
        </w:tc>
        <w:tc>
          <w:tcPr>
            <w:tcW w:w="174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5"/>
              </w:rPr>
              <w:t>Services</w:t>
            </w:r>
          </w:p>
        </w:tc>
        <w:tc>
          <w:tcPr>
            <w:tcW w:w="26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88"/>
              </w:rPr>
              <w:t>L+950, 12/22/2021</w:t>
            </w: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5880 Staley Road</w:t>
            </w:r>
          </w:p>
        </w:tc>
        <w:tc>
          <w:tcPr>
            <w:tcW w:w="174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0"/>
              </w:rPr>
              <w:t>Common Equity</w:t>
            </w: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Fort Myers, FL 33905</w:t>
            </w:r>
          </w:p>
        </w:tc>
        <w:tc>
          <w:tcPr>
            <w:tcW w:w="174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540" w:type="dxa"/>
            <w:vAlign w:val="bottom"/>
          </w:tcPr>
          <w:p>
            <w:pPr>
              <w:spacing w:after="0" w:line="138" w:lineRule="exact"/>
              <w:rPr>
                <w:sz w:val="20"/>
                <w:szCs w:val="20"/>
                <w:color w:val="auto"/>
              </w:rPr>
            </w:pPr>
            <w:r>
              <w:rPr>
                <w:rFonts w:ascii="Arial" w:cs="Arial" w:eastAsia="Arial" w:hAnsi="Arial"/>
                <w:sz w:val="14"/>
                <w:szCs w:val="14"/>
                <w:color w:val="auto"/>
              </w:rPr>
              <w:t>Kadmon Holdings, Inc.</w:t>
            </w:r>
          </w:p>
        </w:tc>
        <w:tc>
          <w:tcPr>
            <w:tcW w:w="1740" w:type="dxa"/>
            <w:vAlign w:val="bottom"/>
          </w:tcPr>
          <w:p>
            <w:pPr>
              <w:spacing w:after="0"/>
              <w:rPr>
                <w:sz w:val="11"/>
                <w:szCs w:val="11"/>
                <w:color w:val="auto"/>
              </w:rPr>
            </w:pPr>
          </w:p>
        </w:tc>
        <w:tc>
          <w:tcPr>
            <w:tcW w:w="2440" w:type="dxa"/>
            <w:vAlign w:val="bottom"/>
            <w:gridSpan w:val="2"/>
          </w:tcPr>
          <w:p>
            <w:pPr>
              <w:jc w:val="center"/>
              <w:ind w:right="280"/>
              <w:spacing w:after="0" w:line="138" w:lineRule="exact"/>
              <w:rPr>
                <w:sz w:val="20"/>
                <w:szCs w:val="20"/>
                <w:color w:val="auto"/>
              </w:rPr>
            </w:pPr>
            <w:r>
              <w:rPr>
                <w:rFonts w:ascii="Arial" w:cs="Arial" w:eastAsia="Arial" w:hAnsi="Arial"/>
                <w:sz w:val="14"/>
                <w:szCs w:val="14"/>
                <w:color w:val="auto"/>
                <w:w w:val="87"/>
              </w:rPr>
              <w:t>Healthcare, Education and Childcare</w:t>
            </w:r>
          </w:p>
        </w:tc>
        <w:tc>
          <w:tcPr>
            <w:tcW w:w="2600" w:type="dxa"/>
            <w:vAlign w:val="bottom"/>
            <w:gridSpan w:val="2"/>
          </w:tcPr>
          <w:p>
            <w:pPr>
              <w:jc w:val="center"/>
              <w:ind w:right="260"/>
              <w:spacing w:after="0" w:line="138" w:lineRule="exact"/>
              <w:rPr>
                <w:sz w:val="20"/>
                <w:szCs w:val="20"/>
                <w:color w:val="auto"/>
              </w:rPr>
            </w:pPr>
            <w:r>
              <w:rPr>
                <w:rFonts w:ascii="Arial" w:cs="Arial" w:eastAsia="Arial" w:hAnsi="Arial"/>
                <w:sz w:val="14"/>
                <w:szCs w:val="14"/>
                <w:color w:val="auto"/>
                <w:w w:val="90"/>
              </w:rPr>
              <w:t>Common Equity</w:t>
            </w:r>
          </w:p>
        </w:tc>
        <w:tc>
          <w:tcPr>
            <w:tcW w:w="1240" w:type="dxa"/>
            <w:vAlign w:val="bottom"/>
            <w:gridSpan w:val="2"/>
          </w:tcPr>
          <w:p>
            <w:pPr>
              <w:ind w:left="600"/>
              <w:spacing w:after="0" w:line="138" w:lineRule="exact"/>
              <w:rPr>
                <w:sz w:val="20"/>
                <w:szCs w:val="20"/>
                <w:color w:val="auto"/>
              </w:rPr>
            </w:pPr>
            <w:r>
              <w:rPr>
                <w:rFonts w:ascii="Arial" w:cs="Arial" w:eastAsia="Arial" w:hAnsi="Arial"/>
                <w:sz w:val="14"/>
                <w:szCs w:val="14"/>
                <w:color w:val="auto"/>
              </w:rPr>
              <w:t>2.3%</w:t>
            </w:r>
          </w:p>
        </w:tc>
        <w:tc>
          <w:tcPr>
            <w:tcW w:w="820" w:type="dxa"/>
            <w:vAlign w:val="bottom"/>
          </w:tcPr>
          <w:p>
            <w:pPr>
              <w:jc w:val="right"/>
              <w:spacing w:after="0" w:line="138" w:lineRule="exact"/>
              <w:rPr>
                <w:sz w:val="20"/>
                <w:szCs w:val="20"/>
                <w:color w:val="auto"/>
              </w:rPr>
            </w:pPr>
            <w:r>
              <w:rPr>
                <w:rFonts w:ascii="Arial" w:cs="Arial" w:eastAsia="Arial" w:hAnsi="Arial"/>
                <w:sz w:val="14"/>
                <w:szCs w:val="14"/>
                <w:color w:val="auto"/>
              </w:rPr>
              <w:t>1,348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line="149" w:lineRule="exact"/>
              <w:rPr>
                <w:sz w:val="20"/>
                <w:szCs w:val="20"/>
                <w:color w:val="auto"/>
              </w:rPr>
            </w:pPr>
            <w:r>
              <w:rPr>
                <w:rFonts w:ascii="Arial" w:cs="Arial" w:eastAsia="Arial" w:hAnsi="Arial"/>
                <w:sz w:val="14"/>
                <w:szCs w:val="14"/>
                <w:color w:val="auto"/>
              </w:rPr>
              <w:t>Alexandria Center for Life Sciences</w:t>
            </w:r>
          </w:p>
        </w:tc>
        <w:tc>
          <w:tcPr>
            <w:tcW w:w="17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line="149" w:lineRule="exact"/>
              <w:rPr>
                <w:sz w:val="20"/>
                <w:szCs w:val="20"/>
                <w:color w:val="auto"/>
              </w:rPr>
            </w:pPr>
            <w:r>
              <w:rPr>
                <w:rFonts w:ascii="Arial" w:cs="Arial" w:eastAsia="Arial" w:hAnsi="Arial"/>
                <w:sz w:val="14"/>
                <w:szCs w:val="14"/>
                <w:color w:val="auto"/>
              </w:rPr>
              <w:t>450 East 29 Street, 5 Floor</w:t>
            </w:r>
          </w:p>
        </w:tc>
        <w:tc>
          <w:tcPr>
            <w:tcW w:w="17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tcPr>
          <w:p>
            <w:pPr>
              <w:spacing w:after="0"/>
              <w:rPr>
                <w:sz w:val="20"/>
                <w:szCs w:val="20"/>
                <w:color w:val="auto"/>
              </w:rPr>
            </w:pPr>
            <w:r>
              <w:rPr>
                <w:rFonts w:ascii="Arial" w:cs="Arial" w:eastAsia="Arial" w:hAnsi="Arial"/>
                <w:sz w:val="14"/>
                <w:szCs w:val="14"/>
                <w:color w:val="auto"/>
              </w:rPr>
              <w:t>New York, NY 10016</w:t>
            </w:r>
          </w:p>
        </w:tc>
        <w:tc>
          <w:tcPr>
            <w:tcW w:w="1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54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K2 Pure Solutions NoCal, L.P.</w:t>
            </w:r>
          </w:p>
        </w:tc>
        <w:tc>
          <w:tcPr>
            <w:tcW w:w="174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jc w:val="center"/>
              <w:ind w:right="280"/>
              <w:spacing w:after="0" w:line="139" w:lineRule="exact"/>
              <w:rPr>
                <w:sz w:val="20"/>
                <w:szCs w:val="20"/>
                <w:color w:val="auto"/>
              </w:rPr>
            </w:pPr>
            <w:r>
              <w:rPr>
                <w:rFonts w:ascii="Arial" w:cs="Arial" w:eastAsia="Arial" w:hAnsi="Arial"/>
                <w:sz w:val="14"/>
                <w:szCs w:val="14"/>
                <w:color w:val="auto"/>
                <w:w w:val="86"/>
              </w:rPr>
              <w:t>Chemicals, Plastics and Rubber</w:t>
            </w:r>
          </w:p>
        </w:tc>
        <w:tc>
          <w:tcPr>
            <w:tcW w:w="2600" w:type="dxa"/>
            <w:vAlign w:val="bottom"/>
            <w:gridSpan w:val="2"/>
            <w:shd w:val="clear" w:color="auto" w:fill="CCEEFF"/>
          </w:tcPr>
          <w:p>
            <w:pPr>
              <w:jc w:val="center"/>
              <w:ind w:right="280"/>
              <w:spacing w:after="0" w:line="139" w:lineRule="exact"/>
              <w:rPr>
                <w:sz w:val="20"/>
                <w:szCs w:val="20"/>
                <w:color w:val="auto"/>
              </w:rPr>
            </w:pPr>
            <w:r>
              <w:rPr>
                <w:rFonts w:ascii="Arial" w:cs="Arial" w:eastAsia="Arial" w:hAnsi="Arial"/>
                <w:sz w:val="14"/>
                <w:szCs w:val="14"/>
                <w:color w:val="auto"/>
                <w:w w:val="87"/>
              </w:rPr>
              <w:t>First Lien Secured Debt,</w:t>
            </w:r>
          </w:p>
        </w:tc>
        <w:tc>
          <w:tcPr>
            <w:tcW w:w="1240" w:type="dxa"/>
            <w:vAlign w:val="bottom"/>
            <w:gridSpan w:val="2"/>
            <w:shd w:val="clear" w:color="auto" w:fill="CCEEFF"/>
          </w:tcPr>
          <w:p>
            <w:pPr>
              <w:ind w:left="580"/>
              <w:spacing w:after="0" w:line="13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14,251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3515 Massillion Road, Ste. 290</w:t>
            </w:r>
          </w:p>
        </w:tc>
        <w:tc>
          <w:tcPr>
            <w:tcW w:w="174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88"/>
              </w:rPr>
              <w:t>L+900, 02/19/2021</w:t>
            </w: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Uniontown, OH 44685</w:t>
            </w:r>
          </w:p>
        </w:tc>
        <w:tc>
          <w:tcPr>
            <w:tcW w:w="174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540" w:type="dxa"/>
            <w:vAlign w:val="bottom"/>
          </w:tcPr>
          <w:p>
            <w:pPr>
              <w:spacing w:after="0" w:line="138" w:lineRule="exact"/>
              <w:rPr>
                <w:sz w:val="20"/>
                <w:szCs w:val="20"/>
                <w:color w:val="auto"/>
              </w:rPr>
            </w:pPr>
            <w:r>
              <w:rPr>
                <w:rFonts w:ascii="Arial" w:cs="Arial" w:eastAsia="Arial" w:hAnsi="Arial"/>
                <w:sz w:val="14"/>
                <w:szCs w:val="14"/>
                <w:color w:val="auto"/>
              </w:rPr>
              <w:t>LaMi Acquistion, LLC</w:t>
            </w:r>
          </w:p>
        </w:tc>
        <w:tc>
          <w:tcPr>
            <w:tcW w:w="1740" w:type="dxa"/>
            <w:vAlign w:val="bottom"/>
          </w:tcPr>
          <w:p>
            <w:pPr>
              <w:spacing w:after="0"/>
              <w:rPr>
                <w:sz w:val="11"/>
                <w:szCs w:val="11"/>
                <w:color w:val="auto"/>
              </w:rPr>
            </w:pPr>
          </w:p>
        </w:tc>
        <w:tc>
          <w:tcPr>
            <w:tcW w:w="2440" w:type="dxa"/>
            <w:vAlign w:val="bottom"/>
            <w:gridSpan w:val="2"/>
          </w:tcPr>
          <w:p>
            <w:pPr>
              <w:jc w:val="center"/>
              <w:ind w:right="280"/>
              <w:spacing w:after="0" w:line="138" w:lineRule="exact"/>
              <w:rPr>
                <w:sz w:val="20"/>
                <w:szCs w:val="20"/>
                <w:color w:val="auto"/>
              </w:rPr>
            </w:pPr>
            <w:r>
              <w:rPr>
                <w:rFonts w:ascii="Arial" w:cs="Arial" w:eastAsia="Arial" w:hAnsi="Arial"/>
                <w:sz w:val="14"/>
                <w:szCs w:val="14"/>
                <w:color w:val="auto"/>
                <w:w w:val="91"/>
              </w:rPr>
              <w:t>Distribution</w:t>
            </w:r>
          </w:p>
        </w:tc>
        <w:tc>
          <w:tcPr>
            <w:tcW w:w="2600" w:type="dxa"/>
            <w:vAlign w:val="bottom"/>
            <w:gridSpan w:val="2"/>
          </w:tcPr>
          <w:p>
            <w:pPr>
              <w:jc w:val="center"/>
              <w:ind w:right="260"/>
              <w:spacing w:after="0" w:line="138" w:lineRule="exact"/>
              <w:rPr>
                <w:sz w:val="20"/>
                <w:szCs w:val="20"/>
                <w:color w:val="auto"/>
              </w:rPr>
            </w:pPr>
            <w:r>
              <w:rPr>
                <w:rFonts w:ascii="Arial" w:cs="Arial" w:eastAsia="Arial" w:hAnsi="Arial"/>
                <w:sz w:val="14"/>
                <w:szCs w:val="14"/>
                <w:color w:val="auto"/>
                <w:w w:val="90"/>
              </w:rPr>
              <w:t>Common Equity</w:t>
            </w:r>
          </w:p>
        </w:tc>
        <w:tc>
          <w:tcPr>
            <w:tcW w:w="1240" w:type="dxa"/>
            <w:vAlign w:val="bottom"/>
            <w:gridSpan w:val="2"/>
          </w:tcPr>
          <w:p>
            <w:pPr>
              <w:ind w:left="600"/>
              <w:spacing w:after="0" w:line="138" w:lineRule="exact"/>
              <w:rPr>
                <w:sz w:val="20"/>
                <w:szCs w:val="20"/>
                <w:color w:val="auto"/>
              </w:rPr>
            </w:pPr>
            <w:r>
              <w:rPr>
                <w:rFonts w:ascii="Arial" w:cs="Arial" w:eastAsia="Arial" w:hAnsi="Arial"/>
                <w:sz w:val="14"/>
                <w:szCs w:val="14"/>
                <w:color w:val="auto"/>
              </w:rPr>
              <w:t>1.6%</w:t>
            </w:r>
          </w:p>
        </w:tc>
        <w:tc>
          <w:tcPr>
            <w:tcW w:w="820" w:type="dxa"/>
            <w:vAlign w:val="bottom"/>
          </w:tcPr>
          <w:p>
            <w:pPr>
              <w:jc w:val="right"/>
              <w:spacing w:after="0" w:line="138" w:lineRule="exact"/>
              <w:rPr>
                <w:sz w:val="20"/>
                <w:szCs w:val="20"/>
                <w:color w:val="auto"/>
              </w:rPr>
            </w:pPr>
            <w:r>
              <w:rPr>
                <w:rFonts w:ascii="Arial" w:cs="Arial" w:eastAsia="Arial" w:hAnsi="Arial"/>
                <w:sz w:val="14"/>
                <w:szCs w:val="14"/>
                <w:color w:val="auto"/>
              </w:rPr>
              <w:t>533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line="149" w:lineRule="exact"/>
              <w:rPr>
                <w:sz w:val="20"/>
                <w:szCs w:val="20"/>
                <w:color w:val="auto"/>
              </w:rPr>
            </w:pPr>
            <w:r>
              <w:rPr>
                <w:rFonts w:ascii="Arial" w:cs="Arial" w:eastAsia="Arial" w:hAnsi="Arial"/>
                <w:sz w:val="14"/>
                <w:szCs w:val="14"/>
                <w:color w:val="auto"/>
              </w:rPr>
              <w:t>860 Welsh Road</w:t>
            </w:r>
          </w:p>
        </w:tc>
        <w:tc>
          <w:tcPr>
            <w:tcW w:w="17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tcPr>
          <w:p>
            <w:pPr>
              <w:spacing w:after="0"/>
              <w:rPr>
                <w:sz w:val="20"/>
                <w:szCs w:val="20"/>
                <w:color w:val="auto"/>
              </w:rPr>
            </w:pPr>
            <w:r>
              <w:rPr>
                <w:rFonts w:ascii="Arial" w:cs="Arial" w:eastAsia="Arial" w:hAnsi="Arial"/>
                <w:sz w:val="14"/>
                <w:szCs w:val="14"/>
                <w:color w:val="auto"/>
              </w:rPr>
              <w:t>Huntingdon Valley, PA 19006</w:t>
            </w:r>
          </w:p>
        </w:tc>
        <w:tc>
          <w:tcPr>
            <w:tcW w:w="1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54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Lariat ecoserv Co-invest Holdings, LLC</w:t>
            </w:r>
          </w:p>
        </w:tc>
        <w:tc>
          <w:tcPr>
            <w:tcW w:w="174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jc w:val="center"/>
              <w:ind w:right="260"/>
              <w:spacing w:after="0" w:line="139" w:lineRule="exact"/>
              <w:rPr>
                <w:sz w:val="20"/>
                <w:szCs w:val="20"/>
                <w:color w:val="auto"/>
              </w:rPr>
            </w:pPr>
            <w:r>
              <w:rPr>
                <w:rFonts w:ascii="Arial" w:cs="Arial" w:eastAsia="Arial" w:hAnsi="Arial"/>
                <w:sz w:val="14"/>
                <w:szCs w:val="14"/>
                <w:color w:val="auto"/>
                <w:w w:val="88"/>
              </w:rPr>
              <w:t>Environmental Services</w:t>
            </w:r>
          </w:p>
        </w:tc>
        <w:tc>
          <w:tcPr>
            <w:tcW w:w="2600" w:type="dxa"/>
            <w:vAlign w:val="bottom"/>
            <w:gridSpan w:val="2"/>
            <w:shd w:val="clear" w:color="auto" w:fill="CCEEFF"/>
          </w:tcPr>
          <w:p>
            <w:pPr>
              <w:jc w:val="center"/>
              <w:ind w:right="260"/>
              <w:spacing w:after="0" w:line="139" w:lineRule="exact"/>
              <w:rPr>
                <w:sz w:val="20"/>
                <w:szCs w:val="20"/>
                <w:color w:val="auto"/>
              </w:rPr>
            </w:pPr>
            <w:r>
              <w:rPr>
                <w:rFonts w:ascii="Arial" w:cs="Arial" w:eastAsia="Arial" w:hAnsi="Arial"/>
                <w:sz w:val="14"/>
                <w:szCs w:val="14"/>
                <w:color w:val="auto"/>
                <w:w w:val="90"/>
              </w:rPr>
              <w:t>Common Equity</w:t>
            </w:r>
          </w:p>
        </w:tc>
        <w:tc>
          <w:tcPr>
            <w:tcW w:w="1240" w:type="dxa"/>
            <w:vAlign w:val="bottom"/>
            <w:gridSpan w:val="2"/>
            <w:shd w:val="clear" w:color="auto" w:fill="CCEEFF"/>
          </w:tcPr>
          <w:p>
            <w:pPr>
              <w:ind w:left="580"/>
              <w:spacing w:after="0" w:line="138" w:lineRule="exact"/>
              <w:rPr>
                <w:sz w:val="20"/>
                <w:szCs w:val="20"/>
                <w:color w:val="auto"/>
              </w:rPr>
            </w:pPr>
            <w:r>
              <w:rPr>
                <w:rFonts w:ascii="Arial" w:cs="Arial" w:eastAsia="Arial" w:hAnsi="Arial"/>
                <w:sz w:val="16"/>
                <w:szCs w:val="16"/>
                <w:color w:val="auto"/>
                <w:vertAlign w:val="subscript"/>
              </w:rPr>
              <w:t>—</w:t>
            </w:r>
            <w:r>
              <w:rPr>
                <w:rFonts w:ascii="Arial" w:cs="Arial" w:eastAsia="Arial" w:hAnsi="Arial"/>
                <w:sz w:val="8"/>
                <w:szCs w:val="8"/>
                <w:color w:val="auto"/>
              </w:rPr>
              <w:t xml:space="preserve"> (3)</w:t>
            </w:r>
          </w:p>
        </w:tc>
        <w:tc>
          <w:tcPr>
            <w:tcW w:w="860" w:type="dxa"/>
            <w:vAlign w:val="bottom"/>
            <w:gridSpan w:val="2"/>
            <w:shd w:val="clear" w:color="auto" w:fill="CCEEFF"/>
          </w:tcPr>
          <w:p>
            <w:pPr>
              <w:ind w:left="620"/>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1331 17th Street, Ste. 812</w:t>
            </w:r>
          </w:p>
        </w:tc>
        <w:tc>
          <w:tcPr>
            <w:tcW w:w="174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Denver, CO 80202</w:t>
            </w:r>
          </w:p>
        </w:tc>
        <w:tc>
          <w:tcPr>
            <w:tcW w:w="174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6"/>
              </w:rPr>
              <w:t>Type of Investment,</w:t>
            </w: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Voting</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5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560" w:type="dxa"/>
            <w:vAlign w:val="bottom"/>
            <w:gridSpan w:val="2"/>
            <w:vMerge w:val="continue"/>
          </w:tcPr>
          <w:p>
            <w:pPr>
              <w:spacing w:after="0"/>
              <w:rPr>
                <w:sz w:val="11"/>
                <w:szCs w:val="11"/>
                <w:color w:val="auto"/>
              </w:rPr>
            </w:pPr>
          </w:p>
        </w:tc>
        <w:tc>
          <w:tcPr>
            <w:tcW w:w="132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84"/>
              </w:rPr>
              <w:t>Percentage</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2"/>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and Addrdss of Portfolio Company</w:t>
            </w:r>
          </w:p>
        </w:tc>
        <w:tc>
          <w:tcPr>
            <w:tcW w:w="1740" w:type="dxa"/>
            <w:vAlign w:val="bottom"/>
          </w:tcPr>
          <w:p>
            <w:pPr>
              <w:spacing w:after="0"/>
              <w:rPr>
                <w:sz w:val="15"/>
                <w:szCs w:val="15"/>
                <w:color w:val="auto"/>
              </w:rPr>
            </w:pPr>
          </w:p>
        </w:tc>
        <w:tc>
          <w:tcPr>
            <w:tcW w:w="2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Nature of Business</w:t>
            </w:r>
          </w:p>
        </w:tc>
        <w:tc>
          <w:tcPr>
            <w:tcW w:w="2560" w:type="dxa"/>
            <w:vAlign w:val="bottom"/>
            <w:gridSpan w:val="2"/>
          </w:tcPr>
          <w:p>
            <w:pPr>
              <w:jc w:val="center"/>
              <w:ind w:right="340"/>
              <w:spacing w:after="0" w:line="162" w:lineRule="exact"/>
              <w:rPr>
                <w:sz w:val="20"/>
                <w:szCs w:val="20"/>
                <w:color w:val="auto"/>
              </w:rPr>
            </w:pPr>
            <w:r>
              <w:rPr>
                <w:rFonts w:ascii="Arial" w:cs="Arial" w:eastAsia="Arial" w:hAnsi="Arial"/>
                <w:sz w:val="12"/>
                <w:szCs w:val="12"/>
                <w:b w:val="1"/>
                <w:bCs w:val="1"/>
                <w:color w:val="auto"/>
              </w:rPr>
              <w:t>Interest</w:t>
            </w:r>
            <w:r>
              <w:rPr>
                <w:rFonts w:ascii="Arial" w:cs="Arial" w:eastAsia="Arial" w:hAnsi="Arial"/>
                <w:sz w:val="18"/>
                <w:szCs w:val="18"/>
                <w:b w:val="1"/>
                <w:bCs w:val="1"/>
                <w:color w:val="auto"/>
                <w:vertAlign w:val="superscript"/>
              </w:rPr>
              <w:t>(1)</w:t>
            </w:r>
            <w:r>
              <w:rPr>
                <w:rFonts w:ascii="Arial" w:cs="Arial" w:eastAsia="Arial" w:hAnsi="Arial"/>
                <w:sz w:val="12"/>
                <w:szCs w:val="12"/>
                <w:b w:val="1"/>
                <w:bCs w:val="1"/>
                <w:color w:val="auto"/>
              </w:rPr>
              <w:t>, Maturity</w:t>
            </w:r>
          </w:p>
        </w:tc>
        <w:tc>
          <w:tcPr>
            <w:tcW w:w="1320" w:type="dxa"/>
            <w:vAlign w:val="bottom"/>
            <w:gridSpan w:val="2"/>
          </w:tcPr>
          <w:p>
            <w:pPr>
              <w:jc w:val="center"/>
              <w:ind w:right="560"/>
              <w:spacing w:after="0" w:line="162" w:lineRule="exact"/>
              <w:rPr>
                <w:sz w:val="20"/>
                <w:szCs w:val="20"/>
                <w:color w:val="auto"/>
              </w:rPr>
            </w:pPr>
            <w:r>
              <w:rPr>
                <w:rFonts w:ascii="Arial" w:cs="Arial" w:eastAsia="Arial" w:hAnsi="Arial"/>
                <w:sz w:val="12"/>
                <w:szCs w:val="12"/>
                <w:b w:val="1"/>
                <w:bCs w:val="1"/>
                <w:color w:val="auto"/>
                <w:w w:val="99"/>
              </w:rPr>
              <w:t>Ownership</w:t>
            </w:r>
            <w:r>
              <w:rPr>
                <w:rFonts w:ascii="Arial" w:cs="Arial" w:eastAsia="Arial" w:hAnsi="Arial"/>
                <w:sz w:val="18"/>
                <w:szCs w:val="18"/>
                <w:b w:val="1"/>
                <w:bCs w:val="1"/>
                <w:color w:val="auto"/>
                <w:w w:val="99"/>
                <w:vertAlign w:val="superscript"/>
              </w:rPr>
              <w:t>(2)</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2"/>
              </w:rPr>
              <w:t>(in thousands)</w:t>
            </w:r>
          </w:p>
        </w:tc>
        <w:tc>
          <w:tcPr>
            <w:tcW w:w="0" w:type="dxa"/>
            <w:vAlign w:val="bottom"/>
          </w:tcPr>
          <w:p>
            <w:pPr>
              <w:spacing w:after="0"/>
              <w:rPr>
                <w:sz w:val="1"/>
                <w:szCs w:val="1"/>
                <w:color w:val="auto"/>
              </w:rPr>
            </w:pPr>
          </w:p>
        </w:tc>
      </w:tr>
      <w:tr>
        <w:trPr>
          <w:trHeight w:val="181"/>
        </w:trPr>
        <w:tc>
          <w:tcPr>
            <w:tcW w:w="42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LSF9 Atlantis Holdings, LLC</w:t>
            </w:r>
          </w:p>
        </w:tc>
        <w:tc>
          <w:tcPr>
            <w:tcW w:w="20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Retail</w:t>
            </w:r>
          </w:p>
        </w:tc>
        <w:tc>
          <w:tcPr>
            <w:tcW w:w="340" w:type="dxa"/>
            <w:vAlign w:val="bottom"/>
            <w:tcBorders>
              <w:top w:val="single" w:sz="8" w:color="CCEEFF"/>
            </w:tcBorders>
            <w:shd w:val="clear" w:color="auto" w:fill="CCEEFF"/>
          </w:tcPr>
          <w:p>
            <w:pPr>
              <w:spacing w:after="0"/>
              <w:rPr>
                <w:sz w:val="15"/>
                <w:szCs w:val="15"/>
                <w:color w:val="auto"/>
              </w:rPr>
            </w:pPr>
          </w:p>
        </w:tc>
        <w:tc>
          <w:tcPr>
            <w:tcW w:w="22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First Lien Secured Debt,</w:t>
            </w:r>
          </w:p>
        </w:tc>
        <w:tc>
          <w:tcPr>
            <w:tcW w:w="3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ind w:left="500"/>
              <w:spacing w:after="0" w:line="182"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37,899</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775 Prairie Center Drive, Suite 420</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0"/>
              </w:rPr>
              <w:t>L+900, 01/15/2021</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Eden Prairie, MN 55344</w:t>
            </w:r>
          </w:p>
        </w:tc>
        <w:tc>
          <w:tcPr>
            <w:tcW w:w="2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80" w:type="dxa"/>
            <w:vAlign w:val="bottom"/>
            <w:gridSpan w:val="2"/>
          </w:tcPr>
          <w:p>
            <w:pPr>
              <w:spacing w:after="0"/>
              <w:rPr>
                <w:sz w:val="20"/>
                <w:szCs w:val="20"/>
                <w:color w:val="auto"/>
              </w:rPr>
            </w:pPr>
            <w:r>
              <w:rPr>
                <w:rFonts w:ascii="Arial" w:cs="Arial" w:eastAsia="Arial" w:hAnsi="Arial"/>
                <w:sz w:val="18"/>
                <w:szCs w:val="18"/>
                <w:color w:val="auto"/>
              </w:rPr>
              <w:t>MailSouth, Inc.</w:t>
            </w:r>
          </w:p>
        </w:tc>
        <w:tc>
          <w:tcPr>
            <w:tcW w:w="23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Printing and Publishing</w:t>
            </w:r>
          </w:p>
        </w:tc>
        <w:tc>
          <w:tcPr>
            <w:tcW w:w="256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Second Lien Secured Debt,</w:t>
            </w:r>
          </w:p>
        </w:tc>
        <w:tc>
          <w:tcPr>
            <w:tcW w:w="13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26,425</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5901 Highway 52 East</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L+1,050, 10/22/2021</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Helena, AL 35080</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Montreign Operating Company, LLC</w:t>
            </w:r>
          </w:p>
        </w:tc>
        <w:tc>
          <w:tcPr>
            <w:tcW w:w="23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Hotels, Motels, Inns and</w:t>
            </w:r>
          </w:p>
        </w:tc>
        <w:tc>
          <w:tcPr>
            <w:tcW w:w="25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First Lien Secured Debt,</w:t>
            </w:r>
          </w:p>
        </w:tc>
        <w:tc>
          <w:tcPr>
            <w:tcW w:w="13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23,979</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204 State Route 17b</w:t>
            </w:r>
          </w:p>
        </w:tc>
        <w:tc>
          <w:tcPr>
            <w:tcW w:w="23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Gaming</w:t>
            </w:r>
          </w:p>
        </w:tc>
        <w:tc>
          <w:tcPr>
            <w:tcW w:w="2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0"/>
              </w:rPr>
              <w:t>L+825, 01/24/2023</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Monticello, NY 12701</w:t>
            </w:r>
          </w:p>
        </w:tc>
        <w:tc>
          <w:tcPr>
            <w:tcW w:w="2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80" w:type="dxa"/>
            <w:vAlign w:val="bottom"/>
            <w:gridSpan w:val="2"/>
          </w:tcPr>
          <w:p>
            <w:pPr>
              <w:spacing w:after="0"/>
              <w:rPr>
                <w:sz w:val="20"/>
                <w:szCs w:val="20"/>
                <w:color w:val="auto"/>
              </w:rPr>
            </w:pPr>
            <w:r>
              <w:rPr>
                <w:rFonts w:ascii="Arial" w:cs="Arial" w:eastAsia="Arial" w:hAnsi="Arial"/>
                <w:sz w:val="18"/>
                <w:szCs w:val="18"/>
                <w:color w:val="auto"/>
              </w:rPr>
              <w:t>Novitex Acquisition, LLC</w:t>
            </w:r>
          </w:p>
        </w:tc>
        <w:tc>
          <w:tcPr>
            <w:tcW w:w="238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Business Services</w:t>
            </w:r>
          </w:p>
        </w:tc>
        <w:tc>
          <w:tcPr>
            <w:tcW w:w="256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Second Lien Secured Debt,</w:t>
            </w:r>
          </w:p>
        </w:tc>
        <w:tc>
          <w:tcPr>
            <w:tcW w:w="13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44,625</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1 Elmcroft Road</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L+1,100, 07/07/2021</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Stamford, CT 06926</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Parq Holdings Limited Partnership</w:t>
            </w:r>
            <w:r>
              <w:rPr>
                <w:rFonts w:ascii="Arial" w:cs="Arial" w:eastAsia="Arial" w:hAnsi="Arial"/>
                <w:sz w:val="11"/>
                <w:szCs w:val="11"/>
                <w:color w:val="auto"/>
              </w:rPr>
              <w:t>(6)</w:t>
            </w:r>
          </w:p>
        </w:tc>
        <w:tc>
          <w:tcPr>
            <w:tcW w:w="23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Hotels, Motels, Inns and</w:t>
            </w:r>
          </w:p>
        </w:tc>
        <w:tc>
          <w:tcPr>
            <w:tcW w:w="2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Second Lien Secured Debt,</w:t>
            </w:r>
          </w:p>
        </w:tc>
        <w:tc>
          <w:tcPr>
            <w:tcW w:w="13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77,624</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Paragon Gaming, Inc.</w:t>
            </w:r>
          </w:p>
        </w:tc>
        <w:tc>
          <w:tcPr>
            <w:tcW w:w="23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Gaming</w:t>
            </w:r>
          </w:p>
        </w:tc>
        <w:tc>
          <w:tcPr>
            <w:tcW w:w="25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0"/>
              </w:rPr>
              <w:t>L+1,200, 12/17/2021</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6650 Via Austi Parkway, Suite 150</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 Vegas, NV 89119</w:t>
            </w:r>
          </w:p>
        </w:tc>
        <w:tc>
          <w:tcPr>
            <w:tcW w:w="2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80" w:type="dxa"/>
            <w:vAlign w:val="bottom"/>
            <w:gridSpan w:val="2"/>
          </w:tcPr>
          <w:p>
            <w:pPr>
              <w:spacing w:after="0"/>
              <w:rPr>
                <w:sz w:val="20"/>
                <w:szCs w:val="20"/>
                <w:color w:val="auto"/>
              </w:rPr>
            </w:pPr>
            <w:r>
              <w:rPr>
                <w:rFonts w:ascii="Arial" w:cs="Arial" w:eastAsia="Arial" w:hAnsi="Arial"/>
                <w:sz w:val="18"/>
                <w:szCs w:val="18"/>
                <w:color w:val="auto"/>
              </w:rPr>
              <w:t>Patriot National, Inc.</w:t>
            </w:r>
          </w:p>
        </w:tc>
        <w:tc>
          <w:tcPr>
            <w:tcW w:w="238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Insurance</w:t>
            </w:r>
          </w:p>
        </w:tc>
        <w:tc>
          <w:tcPr>
            <w:tcW w:w="25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Common Equity</w:t>
            </w: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rPr>
              <w:t>0.4%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401 E. Las Olas Blvd., Ste. 1650</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Fort Lauderdale, FL 33301</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Legal Services, Inc.</w:t>
            </w:r>
          </w:p>
        </w:tc>
        <w:tc>
          <w:tcPr>
            <w:tcW w:w="23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6"/>
              </w:rPr>
              <w:t>Personal, Food and</w:t>
            </w:r>
          </w:p>
        </w:tc>
        <w:tc>
          <w:tcPr>
            <w:tcW w:w="2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Second Lien Secured Debt,</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70,362</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(MidOcean PPL Holdings, Inc.)</w:t>
            </w:r>
          </w:p>
        </w:tc>
        <w:tc>
          <w:tcPr>
            <w:tcW w:w="23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Miscellaneous Services</w:t>
            </w:r>
          </w:p>
        </w:tc>
        <w:tc>
          <w:tcPr>
            <w:tcW w:w="2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0"/>
              </w:rPr>
              <w:t>L+900, 07/01/2020</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Pre-Paid Way</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0"/>
              </w:rPr>
              <w:t>Common Equity</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 OK 74820</w:t>
            </w:r>
          </w:p>
        </w:tc>
        <w:tc>
          <w:tcPr>
            <w:tcW w:w="2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80" w:type="dxa"/>
            <w:vAlign w:val="bottom"/>
            <w:gridSpan w:val="2"/>
          </w:tcPr>
          <w:p>
            <w:pPr>
              <w:spacing w:after="0"/>
              <w:rPr>
                <w:sz w:val="20"/>
                <w:szCs w:val="20"/>
                <w:color w:val="auto"/>
              </w:rPr>
            </w:pPr>
            <w:r>
              <w:rPr>
                <w:rFonts w:ascii="Arial" w:cs="Arial" w:eastAsia="Arial" w:hAnsi="Arial"/>
                <w:sz w:val="18"/>
                <w:szCs w:val="18"/>
                <w:color w:val="auto"/>
              </w:rPr>
              <w:t>Prince Mineral Holdings Corp.</w:t>
            </w:r>
          </w:p>
        </w:tc>
        <w:tc>
          <w:tcPr>
            <w:tcW w:w="23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Mining, Steel, Iron and</w:t>
            </w:r>
          </w:p>
        </w:tc>
        <w:tc>
          <w:tcPr>
            <w:tcW w:w="25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First Lien Secured Debt,</w:t>
            </w:r>
          </w:p>
        </w:tc>
        <w:tc>
          <w:tcPr>
            <w:tcW w:w="13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13,929</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14 East 44th Street</w:t>
            </w:r>
          </w:p>
        </w:tc>
        <w:tc>
          <w:tcPr>
            <w:tcW w:w="23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Non-Precious Metals</w:t>
            </w:r>
          </w:p>
        </w:tc>
        <w:tc>
          <w:tcPr>
            <w:tcW w:w="25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11.50% fixed, 12/16/2019</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New York, NY 10020</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Randall-Reilly, LLC</w:t>
            </w:r>
          </w:p>
        </w:tc>
        <w:tc>
          <w:tcPr>
            <w:tcW w:w="23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Other Media</w:t>
            </w:r>
          </w:p>
        </w:tc>
        <w:tc>
          <w:tcPr>
            <w:tcW w:w="2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Subordinated Debt,</w:t>
            </w:r>
          </w:p>
        </w:tc>
        <w:tc>
          <w:tcPr>
            <w:tcW w:w="13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26,326</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3200 Rice Mine Road NE</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12.50% fixed, 04/15/2020</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Tuscaloosa, AL 35406</w:t>
            </w:r>
          </w:p>
        </w:tc>
        <w:tc>
          <w:tcPr>
            <w:tcW w:w="2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80" w:type="dxa"/>
            <w:vAlign w:val="bottom"/>
            <w:gridSpan w:val="2"/>
          </w:tcPr>
          <w:p>
            <w:pPr>
              <w:spacing w:after="0"/>
              <w:rPr>
                <w:sz w:val="20"/>
                <w:szCs w:val="20"/>
                <w:color w:val="auto"/>
              </w:rPr>
            </w:pPr>
            <w:r>
              <w:rPr>
                <w:rFonts w:ascii="Arial" w:cs="Arial" w:eastAsia="Arial" w:hAnsi="Arial"/>
                <w:sz w:val="18"/>
                <w:szCs w:val="18"/>
                <w:color w:val="auto"/>
              </w:rPr>
              <w:t>Robertshaw US Holding Corp.</w:t>
            </w:r>
          </w:p>
        </w:tc>
        <w:tc>
          <w:tcPr>
            <w:tcW w:w="23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Electronics</w:t>
            </w:r>
          </w:p>
        </w:tc>
        <w:tc>
          <w:tcPr>
            <w:tcW w:w="25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First Lien Secured Debt,</w:t>
            </w:r>
          </w:p>
        </w:tc>
        <w:tc>
          <w:tcPr>
            <w:tcW w:w="13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15,711</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191 East North Avenue</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L+700, 06/18/2019</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Carol Stream, IL 60188</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Roto Holdings, Inc.</w:t>
            </w:r>
          </w:p>
        </w:tc>
        <w:tc>
          <w:tcPr>
            <w:tcW w:w="23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Manufacturing /</w:t>
            </w:r>
          </w:p>
        </w:tc>
        <w:tc>
          <w:tcPr>
            <w:tcW w:w="2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Subordinated Debt,</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16,189</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800 Howerton Lane</w:t>
            </w:r>
          </w:p>
        </w:tc>
        <w:tc>
          <w:tcPr>
            <w:tcW w:w="23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Basic Industries</w:t>
            </w:r>
          </w:p>
        </w:tc>
        <w:tc>
          <w:tcPr>
            <w:tcW w:w="25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11.00% fixed, 05/13/2021</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Eureka, MO 63025</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9"/>
              </w:rPr>
              <w:t>Preferred Equity</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0"/>
              </w:rPr>
              <w:t>Common Equity</w:t>
            </w:r>
          </w:p>
        </w:tc>
        <w:tc>
          <w:tcPr>
            <w:tcW w:w="7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80" w:type="dxa"/>
            <w:vAlign w:val="bottom"/>
            <w:gridSpan w:val="2"/>
          </w:tcPr>
          <w:p>
            <w:pPr>
              <w:spacing w:after="0"/>
              <w:rPr>
                <w:sz w:val="20"/>
                <w:szCs w:val="20"/>
                <w:color w:val="auto"/>
              </w:rPr>
            </w:pPr>
            <w:r>
              <w:rPr>
                <w:rFonts w:ascii="Arial" w:cs="Arial" w:eastAsia="Arial" w:hAnsi="Arial"/>
                <w:sz w:val="18"/>
                <w:szCs w:val="18"/>
                <w:color w:val="auto"/>
              </w:rPr>
              <w:t>Sonny’s Enterprises, LLC</w:t>
            </w:r>
          </w:p>
        </w:tc>
        <w:tc>
          <w:tcPr>
            <w:tcW w:w="23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Manufacturing / Basic</w:t>
            </w:r>
          </w:p>
        </w:tc>
        <w:tc>
          <w:tcPr>
            <w:tcW w:w="256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Subordinated Debt,</w:t>
            </w:r>
          </w:p>
        </w:tc>
        <w:tc>
          <w:tcPr>
            <w:tcW w:w="13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13,034</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5605 Hiatus Road</w:t>
            </w:r>
          </w:p>
        </w:tc>
        <w:tc>
          <w:tcPr>
            <w:tcW w:w="238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Industries</w:t>
            </w:r>
          </w:p>
        </w:tc>
        <w:tc>
          <w:tcPr>
            <w:tcW w:w="25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11.00% fixed, 06/01/2023</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Tamarac, FL 33321</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Sotera Defense Solutions, Inc.</w:t>
            </w:r>
          </w:p>
        </w:tc>
        <w:tc>
          <w:tcPr>
            <w:tcW w:w="23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5"/>
              </w:rPr>
              <w:t>Aerospace and Defense</w:t>
            </w:r>
          </w:p>
        </w:tc>
        <w:tc>
          <w:tcPr>
            <w:tcW w:w="25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First Lien Secured Debt,</w:t>
            </w:r>
          </w:p>
        </w:tc>
        <w:tc>
          <w:tcPr>
            <w:tcW w:w="13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36,981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2121 Cooperative Way, Ste. 400</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0"/>
              </w:rPr>
              <w:t>L+750, 04/21/2017</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Herndon, VA 20171</w:t>
            </w:r>
          </w:p>
        </w:tc>
        <w:tc>
          <w:tcPr>
            <w:tcW w:w="2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80" w:type="dxa"/>
            <w:vAlign w:val="bottom"/>
            <w:gridSpan w:val="2"/>
          </w:tcPr>
          <w:p>
            <w:pPr>
              <w:spacing w:after="0"/>
              <w:rPr>
                <w:sz w:val="20"/>
                <w:szCs w:val="20"/>
                <w:color w:val="auto"/>
              </w:rPr>
            </w:pPr>
            <w:r>
              <w:rPr>
                <w:rFonts w:ascii="Arial" w:cs="Arial" w:eastAsia="Arial" w:hAnsi="Arial"/>
                <w:sz w:val="18"/>
                <w:szCs w:val="18"/>
                <w:color w:val="auto"/>
              </w:rPr>
              <w:t>Sunborn Oy, Sunborn Saga Oy</w:t>
            </w:r>
            <w:r>
              <w:rPr>
                <w:rFonts w:ascii="Arial" w:cs="Arial" w:eastAsia="Arial" w:hAnsi="Arial"/>
                <w:sz w:val="11"/>
                <w:szCs w:val="11"/>
                <w:color w:val="auto"/>
              </w:rPr>
              <w:t>(6)</w:t>
            </w:r>
          </w:p>
        </w:tc>
        <w:tc>
          <w:tcPr>
            <w:tcW w:w="23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Hotels, Motels, Inns and</w:t>
            </w:r>
          </w:p>
        </w:tc>
        <w:tc>
          <w:tcPr>
            <w:tcW w:w="25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First Lien Secured Debt,</w:t>
            </w:r>
          </w:p>
        </w:tc>
        <w:tc>
          <w:tcPr>
            <w:tcW w:w="13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39,993</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Juhana Herttuan puistokatu 23, FI-20100</w:t>
            </w:r>
          </w:p>
        </w:tc>
        <w:tc>
          <w:tcPr>
            <w:tcW w:w="23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Gaming</w:t>
            </w:r>
          </w:p>
        </w:tc>
        <w:tc>
          <w:tcPr>
            <w:tcW w:w="25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L+1,050 (PIK 350),</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Turku, Finland</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07/01/2019</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Triad Manufacturing, Inc.</w:t>
            </w:r>
          </w:p>
        </w:tc>
        <w:tc>
          <w:tcPr>
            <w:tcW w:w="23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0"/>
              </w:rPr>
              <w:t>Manufacturing / Basic</w:t>
            </w:r>
          </w:p>
        </w:tc>
        <w:tc>
          <w:tcPr>
            <w:tcW w:w="25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First Lien Secured Debt,</w:t>
            </w:r>
          </w:p>
        </w:tc>
        <w:tc>
          <w:tcPr>
            <w:tcW w:w="13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27,036</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4321 Semple Avenue</w:t>
            </w:r>
          </w:p>
        </w:tc>
        <w:tc>
          <w:tcPr>
            <w:tcW w:w="23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Industries</w:t>
            </w:r>
          </w:p>
        </w:tc>
        <w:tc>
          <w:tcPr>
            <w:tcW w:w="25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0"/>
              </w:rPr>
              <w:t>L+1,075</w:t>
            </w:r>
            <w:r>
              <w:rPr>
                <w:rFonts w:ascii="Arial" w:cs="Arial" w:eastAsia="Arial" w:hAnsi="Arial"/>
                <w:sz w:val="11"/>
                <w:szCs w:val="11"/>
                <w:color w:val="auto"/>
                <w:w w:val="90"/>
              </w:rPr>
              <w:t>(5)</w:t>
            </w:r>
            <w:r>
              <w:rPr>
                <w:rFonts w:ascii="Arial" w:cs="Arial" w:eastAsia="Arial" w:hAnsi="Arial"/>
                <w:sz w:val="18"/>
                <w:szCs w:val="18"/>
                <w:color w:val="auto"/>
                <w:w w:val="90"/>
              </w:rPr>
              <w:t xml:space="preserve"> , 12/28/2020</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Louis, MO 63120</w:t>
            </w:r>
          </w:p>
        </w:tc>
        <w:tc>
          <w:tcPr>
            <w:tcW w:w="2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80" w:type="dxa"/>
            <w:vAlign w:val="bottom"/>
            <w:gridSpan w:val="2"/>
          </w:tcPr>
          <w:p>
            <w:pPr>
              <w:spacing w:after="0"/>
              <w:rPr>
                <w:sz w:val="20"/>
                <w:szCs w:val="20"/>
                <w:color w:val="auto"/>
              </w:rPr>
            </w:pPr>
            <w:r>
              <w:rPr>
                <w:rFonts w:ascii="Arial" w:cs="Arial" w:eastAsia="Arial" w:hAnsi="Arial"/>
                <w:sz w:val="18"/>
                <w:szCs w:val="18"/>
                <w:color w:val="auto"/>
              </w:rPr>
              <w:t>Trust Inns Limited</w:t>
            </w:r>
          </w:p>
        </w:tc>
        <w:tc>
          <w:tcPr>
            <w:tcW w:w="23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Buildings and Real Estate</w:t>
            </w:r>
          </w:p>
        </w:tc>
        <w:tc>
          <w:tcPr>
            <w:tcW w:w="25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First Lien Secured Debt,</w:t>
            </w:r>
          </w:p>
        </w:tc>
        <w:tc>
          <w:tcPr>
            <w:tcW w:w="13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27,220</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Blenheim House Foxhole Road</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L+1,050</w:t>
            </w:r>
            <w:r>
              <w:rPr>
                <w:rFonts w:ascii="Arial" w:cs="Arial" w:eastAsia="Arial" w:hAnsi="Arial"/>
                <w:sz w:val="11"/>
                <w:szCs w:val="11"/>
                <w:color w:val="auto"/>
                <w:w w:val="90"/>
              </w:rPr>
              <w:t>(5)</w:t>
            </w:r>
            <w:r>
              <w:rPr>
                <w:rFonts w:ascii="Arial" w:cs="Arial" w:eastAsia="Arial" w:hAnsi="Arial"/>
                <w:sz w:val="18"/>
                <w:szCs w:val="18"/>
                <w:color w:val="auto"/>
                <w:w w:val="90"/>
              </w:rPr>
              <w:t xml:space="preserve"> , 02/12/2020</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Ackhurst Park Chorley</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Lancashire PR7 1NY</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Med Acquisition, Inc.</w:t>
            </w:r>
          </w:p>
        </w:tc>
        <w:tc>
          <w:tcPr>
            <w:tcW w:w="23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Healthcare, Education and</w:t>
            </w:r>
          </w:p>
        </w:tc>
        <w:tc>
          <w:tcPr>
            <w:tcW w:w="25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First Lien Secured Debt,</w:t>
            </w:r>
          </w:p>
        </w:tc>
        <w:tc>
          <w:tcPr>
            <w:tcW w:w="13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8,630</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8260 NW 27th Street, Suite 401</w:t>
            </w:r>
          </w:p>
        </w:tc>
        <w:tc>
          <w:tcPr>
            <w:tcW w:w="23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Childcare</w:t>
            </w:r>
          </w:p>
        </w:tc>
        <w:tc>
          <w:tcPr>
            <w:tcW w:w="2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0"/>
              </w:rPr>
              <w:t>L+900, 08/13/2021</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Doral, FL 33122</w:t>
            </w:r>
          </w:p>
        </w:tc>
        <w:tc>
          <w:tcPr>
            <w:tcW w:w="2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459" w:right="2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Type of Investment,</w:t>
            </w:r>
          </w:p>
        </w:tc>
        <w:tc>
          <w:tcPr>
            <w:tcW w:w="13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Voting</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5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40" w:type="dxa"/>
            <w:vAlign w:val="bottom"/>
            <w:gridSpan w:val="2"/>
            <w:vMerge w:val="continue"/>
          </w:tcPr>
          <w:p>
            <w:pPr>
              <w:spacing w:after="0"/>
              <w:rPr>
                <w:sz w:val="11"/>
                <w:szCs w:val="11"/>
                <w:color w:val="auto"/>
              </w:rPr>
            </w:pPr>
          </w:p>
        </w:tc>
        <w:tc>
          <w:tcPr>
            <w:tcW w:w="1360" w:type="dxa"/>
            <w:vAlign w:val="bottom"/>
            <w:gridSpan w:val="2"/>
          </w:tcPr>
          <w:p>
            <w:pPr>
              <w:jc w:val="center"/>
              <w:ind w:right="600"/>
              <w:spacing w:after="0" w:line="135" w:lineRule="exact"/>
              <w:rPr>
                <w:sz w:val="20"/>
                <w:szCs w:val="20"/>
                <w:color w:val="auto"/>
              </w:rPr>
            </w:pPr>
            <w:r>
              <w:rPr>
                <w:rFonts w:ascii="Arial" w:cs="Arial" w:eastAsia="Arial" w:hAnsi="Arial"/>
                <w:sz w:val="14"/>
                <w:szCs w:val="14"/>
                <w:b w:val="1"/>
                <w:bCs w:val="1"/>
                <w:color w:val="auto"/>
                <w:w w:val="84"/>
              </w:rPr>
              <w:t>Percentage</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2"/>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and Addrdss of Portfolio Company</w:t>
            </w:r>
          </w:p>
        </w:tc>
        <w:tc>
          <w:tcPr>
            <w:tcW w:w="1540" w:type="dxa"/>
            <w:vAlign w:val="bottom"/>
          </w:tcPr>
          <w:p>
            <w:pPr>
              <w:spacing w:after="0"/>
              <w:rPr>
                <w:sz w:val="15"/>
                <w:szCs w:val="15"/>
                <w:color w:val="auto"/>
              </w:rPr>
            </w:pPr>
          </w:p>
        </w:tc>
        <w:tc>
          <w:tcPr>
            <w:tcW w:w="2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Nature of Business</w:t>
            </w:r>
          </w:p>
        </w:tc>
        <w:tc>
          <w:tcPr>
            <w:tcW w:w="2640" w:type="dxa"/>
            <w:vAlign w:val="bottom"/>
            <w:gridSpan w:val="2"/>
          </w:tcPr>
          <w:p>
            <w:pPr>
              <w:jc w:val="center"/>
              <w:ind w:right="280"/>
              <w:spacing w:after="0" w:line="162" w:lineRule="exact"/>
              <w:rPr>
                <w:sz w:val="20"/>
                <w:szCs w:val="20"/>
                <w:color w:val="auto"/>
              </w:rPr>
            </w:pPr>
            <w:r>
              <w:rPr>
                <w:rFonts w:ascii="Arial" w:cs="Arial" w:eastAsia="Arial" w:hAnsi="Arial"/>
                <w:sz w:val="12"/>
                <w:szCs w:val="12"/>
                <w:b w:val="1"/>
                <w:bCs w:val="1"/>
                <w:color w:val="auto"/>
              </w:rPr>
              <w:t>Interest</w:t>
            </w:r>
            <w:r>
              <w:rPr>
                <w:rFonts w:ascii="Arial" w:cs="Arial" w:eastAsia="Arial" w:hAnsi="Arial"/>
                <w:sz w:val="18"/>
                <w:szCs w:val="18"/>
                <w:b w:val="1"/>
                <w:bCs w:val="1"/>
                <w:color w:val="auto"/>
                <w:vertAlign w:val="superscript"/>
              </w:rPr>
              <w:t>(1)</w:t>
            </w:r>
            <w:r>
              <w:rPr>
                <w:rFonts w:ascii="Arial" w:cs="Arial" w:eastAsia="Arial" w:hAnsi="Arial"/>
                <w:sz w:val="12"/>
                <w:szCs w:val="12"/>
                <w:b w:val="1"/>
                <w:bCs w:val="1"/>
                <w:color w:val="auto"/>
              </w:rPr>
              <w:t>, Maturity</w:t>
            </w:r>
          </w:p>
        </w:tc>
        <w:tc>
          <w:tcPr>
            <w:tcW w:w="1360" w:type="dxa"/>
            <w:vAlign w:val="bottom"/>
            <w:gridSpan w:val="2"/>
          </w:tcPr>
          <w:p>
            <w:pPr>
              <w:jc w:val="center"/>
              <w:ind w:right="600"/>
              <w:spacing w:after="0" w:line="162" w:lineRule="exact"/>
              <w:rPr>
                <w:sz w:val="20"/>
                <w:szCs w:val="20"/>
                <w:color w:val="auto"/>
              </w:rPr>
            </w:pPr>
            <w:r>
              <w:rPr>
                <w:rFonts w:ascii="Arial" w:cs="Arial" w:eastAsia="Arial" w:hAnsi="Arial"/>
                <w:sz w:val="12"/>
                <w:szCs w:val="12"/>
                <w:b w:val="1"/>
                <w:bCs w:val="1"/>
                <w:color w:val="auto"/>
                <w:w w:val="99"/>
              </w:rPr>
              <w:t>Ownership</w:t>
            </w:r>
            <w:r>
              <w:rPr>
                <w:rFonts w:ascii="Arial" w:cs="Arial" w:eastAsia="Arial" w:hAnsi="Arial"/>
                <w:sz w:val="18"/>
                <w:szCs w:val="18"/>
                <w:b w:val="1"/>
                <w:bCs w:val="1"/>
                <w:color w:val="auto"/>
                <w:w w:val="99"/>
                <w:vertAlign w:val="superscript"/>
              </w:rPr>
              <w:t>(2)</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2"/>
              </w:rPr>
              <w:t>(in thousands)</w:t>
            </w:r>
          </w:p>
        </w:tc>
        <w:tc>
          <w:tcPr>
            <w:tcW w:w="0" w:type="dxa"/>
            <w:vAlign w:val="bottom"/>
          </w:tcPr>
          <w:p>
            <w:pPr>
              <w:spacing w:after="0"/>
              <w:rPr>
                <w:sz w:val="1"/>
                <w:szCs w:val="1"/>
                <w:color w:val="auto"/>
              </w:rPr>
            </w:pPr>
          </w:p>
        </w:tc>
      </w:tr>
      <w:tr>
        <w:trPr>
          <w:trHeight w:val="181"/>
        </w:trPr>
        <w:tc>
          <w:tcPr>
            <w:tcW w:w="40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U.S. Well Services, LLC</w:t>
            </w:r>
          </w:p>
        </w:tc>
        <w:tc>
          <w:tcPr>
            <w:tcW w:w="21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Oil and Gas</w:t>
            </w:r>
          </w:p>
        </w:tc>
        <w:tc>
          <w:tcPr>
            <w:tcW w:w="280" w:type="dxa"/>
            <w:vAlign w:val="bottom"/>
            <w:tcBorders>
              <w:top w:val="single" w:sz="8" w:color="CCEEFF"/>
            </w:tcBorders>
            <w:shd w:val="clear" w:color="auto" w:fill="CCEEFF"/>
          </w:tcPr>
          <w:p>
            <w:pPr>
              <w:spacing w:after="0"/>
              <w:rPr>
                <w:sz w:val="15"/>
                <w:szCs w:val="15"/>
                <w:color w:val="auto"/>
              </w:rPr>
            </w:pPr>
          </w:p>
        </w:tc>
        <w:tc>
          <w:tcPr>
            <w:tcW w:w="23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First Lien Secured Debt,</w:t>
            </w:r>
          </w:p>
        </w:tc>
        <w:tc>
          <w:tcPr>
            <w:tcW w:w="2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ind w:left="500"/>
              <w:spacing w:after="0" w:line="182"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13,193</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770 South Post Oak Lane, Ste. 405</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L+1,350</w:t>
            </w:r>
            <w:r>
              <w:rPr>
                <w:rFonts w:ascii="Arial" w:cs="Arial" w:eastAsia="Arial" w:hAnsi="Arial"/>
                <w:sz w:val="11"/>
                <w:szCs w:val="11"/>
                <w:color w:val="auto"/>
                <w:w w:val="90"/>
              </w:rPr>
              <w:t>(5)</w:t>
            </w:r>
            <w:r>
              <w:rPr>
                <w:rFonts w:ascii="Arial" w:cs="Arial" w:eastAsia="Arial" w:hAnsi="Arial"/>
                <w:sz w:val="18"/>
                <w:szCs w:val="18"/>
                <w:color w:val="auto"/>
                <w:w w:val="90"/>
              </w:rPr>
              <w:t xml:space="preserve"> PIK, 05/02/2019</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77056</w:t>
            </w:r>
          </w:p>
        </w:tc>
        <w:tc>
          <w:tcPr>
            <w:tcW w:w="2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080" w:type="dxa"/>
            <w:vAlign w:val="bottom"/>
            <w:gridSpan w:val="2"/>
          </w:tcPr>
          <w:p>
            <w:pPr>
              <w:spacing w:after="0"/>
              <w:rPr>
                <w:sz w:val="20"/>
                <w:szCs w:val="20"/>
                <w:color w:val="auto"/>
              </w:rPr>
            </w:pPr>
            <w:r>
              <w:rPr>
                <w:rFonts w:ascii="Arial" w:cs="Arial" w:eastAsia="Arial" w:hAnsi="Arial"/>
                <w:sz w:val="18"/>
                <w:szCs w:val="18"/>
                <w:color w:val="auto"/>
              </w:rPr>
              <w:t>VT Buyer Acquisition Corp.</w:t>
            </w:r>
          </w:p>
        </w:tc>
        <w:tc>
          <w:tcPr>
            <w:tcW w:w="246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Business Services</w:t>
            </w: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Second Lien Secured Debt,</w:t>
            </w:r>
          </w:p>
        </w:tc>
        <w:tc>
          <w:tcPr>
            <w:tcW w:w="13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12,863</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290 West Mount Pleasant Avenue,</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L+975, 01/30/2023</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Suite 3200</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gridSpan w:val="2"/>
          </w:tcPr>
          <w:p>
            <w:pPr>
              <w:spacing w:after="0"/>
              <w:rPr>
                <w:sz w:val="20"/>
                <w:szCs w:val="20"/>
                <w:color w:val="auto"/>
              </w:rPr>
            </w:pPr>
            <w:r>
              <w:rPr>
                <w:rFonts w:ascii="Arial" w:cs="Arial" w:eastAsia="Arial" w:hAnsi="Arial"/>
                <w:sz w:val="18"/>
                <w:szCs w:val="18"/>
                <w:color w:val="auto"/>
              </w:rPr>
              <w:t>Livingston, NJ 07039</w:t>
            </w: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WD Wolverine Holdings, LLC</w:t>
            </w:r>
          </w:p>
        </w:tc>
        <w:tc>
          <w:tcPr>
            <w:tcW w:w="24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Healthcare, Education and</w:t>
            </w: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Second Lien Secured Debt,</w:t>
            </w:r>
          </w:p>
        </w:tc>
        <w:tc>
          <w:tcPr>
            <w:tcW w:w="13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6,488</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500 Eagle Landing Drive</w:t>
            </w:r>
          </w:p>
        </w:tc>
        <w:tc>
          <w:tcPr>
            <w:tcW w:w="24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Childcare</w:t>
            </w: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L+950, 10/17/2024</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Lakeland, FL 33810</w:t>
            </w:r>
          </w:p>
        </w:tc>
        <w:tc>
          <w:tcPr>
            <w:tcW w:w="2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Companies 5% to 24% Owned</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Affinion Group Holdings, Inc.</w:t>
            </w:r>
          </w:p>
        </w:tc>
        <w:tc>
          <w:tcPr>
            <w:tcW w:w="24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6"/>
              </w:rPr>
              <w:t>Consumer Products</w:t>
            </w: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Second Lien Secured Debt,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61,101</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(Affinion Group, Inc.)</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L+700, 10/31/2018</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(Affinion International Holdings</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Subordinated Debt,</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Limited)</w:t>
            </w:r>
            <w:r>
              <w:rPr>
                <w:rFonts w:ascii="Arial" w:cs="Arial" w:eastAsia="Arial" w:hAnsi="Arial"/>
                <w:sz w:val="11"/>
                <w:szCs w:val="11"/>
                <w:color w:val="auto"/>
              </w:rPr>
              <w:t>(6)</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7.50% fixed (PIK 4.00%),</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 High Ridge Park</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07/30/2018</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Stamford, CT 06850</w:t>
            </w:r>
          </w:p>
        </w:tc>
        <w:tc>
          <w:tcPr>
            <w:tcW w:w="2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Common Equity</w:t>
            </w:r>
          </w:p>
        </w:tc>
        <w:tc>
          <w:tcPr>
            <w:tcW w:w="7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080" w:type="dxa"/>
            <w:vAlign w:val="bottom"/>
            <w:gridSpan w:val="2"/>
          </w:tcPr>
          <w:p>
            <w:pPr>
              <w:spacing w:after="0"/>
              <w:rPr>
                <w:sz w:val="20"/>
                <w:szCs w:val="20"/>
                <w:color w:val="auto"/>
              </w:rPr>
            </w:pPr>
            <w:r>
              <w:rPr>
                <w:rFonts w:ascii="Arial" w:cs="Arial" w:eastAsia="Arial" w:hAnsi="Arial"/>
                <w:sz w:val="18"/>
                <w:szCs w:val="18"/>
                <w:color w:val="auto"/>
              </w:rPr>
              <w:t>American Gilsonite Company</w:t>
            </w:r>
          </w:p>
        </w:tc>
        <w:tc>
          <w:tcPr>
            <w:tcW w:w="24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Diversified Natural Resources,</w:t>
            </w: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First Lien Secured Debt,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9.2%</w:t>
            </w:r>
            <w:r>
              <w:rPr>
                <w:rFonts w:ascii="Arial" w:cs="Arial" w:eastAsia="Arial" w:hAnsi="Arial"/>
                <w:sz w:val="11"/>
                <w:szCs w:val="11"/>
                <w:color w:val="auto"/>
              </w:rPr>
              <w:t>(7)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18,131</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29950 South Bonanza Highway</w:t>
            </w:r>
          </w:p>
        </w:tc>
        <w:tc>
          <w:tcPr>
            <w:tcW w:w="24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Precious Metals and Minerals</w:t>
            </w: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15.00% PIK fixed, 12/31/2021</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Bonanza, UT 84008</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Subordinated Debt</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17.00% PIK fixed, 12/31/2021</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Common Equity</w:t>
            </w: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Cano Health, LLC</w:t>
            </w:r>
          </w:p>
        </w:tc>
        <w:tc>
          <w:tcPr>
            <w:tcW w:w="24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Healthcare, Education and</w:t>
            </w: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11,804</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(ITC Rumba, LLC)</w:t>
            </w:r>
          </w:p>
        </w:tc>
        <w:tc>
          <w:tcPr>
            <w:tcW w:w="24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Childcare</w:t>
            </w: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L+1,000, 12/23/2021</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680 N. University Drive</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Common Equity</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Pembroke Pines, FL 33024</w:t>
            </w:r>
          </w:p>
        </w:tc>
        <w:tc>
          <w:tcPr>
            <w:tcW w:w="2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080" w:type="dxa"/>
            <w:vAlign w:val="bottom"/>
            <w:gridSpan w:val="2"/>
          </w:tcPr>
          <w:p>
            <w:pPr>
              <w:spacing w:after="0"/>
              <w:rPr>
                <w:sz w:val="20"/>
                <w:szCs w:val="20"/>
                <w:color w:val="auto"/>
              </w:rPr>
            </w:pPr>
            <w:r>
              <w:rPr>
                <w:rFonts w:ascii="Arial" w:cs="Arial" w:eastAsia="Arial" w:hAnsi="Arial"/>
                <w:sz w:val="18"/>
                <w:szCs w:val="18"/>
                <w:color w:val="auto"/>
              </w:rPr>
              <w:t>Corfin Industries LLC</w:t>
            </w:r>
          </w:p>
        </w:tc>
        <w:tc>
          <w:tcPr>
            <w:tcW w:w="246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Aerospace and Defense</w:t>
            </w: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First Lien Secured Debt</w:t>
            </w:r>
            <w:r>
              <w:rPr>
                <w:rFonts w:ascii="Arial" w:cs="Arial" w:eastAsia="Arial" w:hAnsi="Arial"/>
                <w:sz w:val="11"/>
                <w:szCs w:val="11"/>
                <w:color w:val="auto"/>
                <w:w w:val="90"/>
              </w:rPr>
              <w:t>(4)</w:t>
            </w:r>
            <w:r>
              <w:rPr>
                <w:rFonts w:ascii="Arial" w:cs="Arial" w:eastAsia="Arial" w:hAnsi="Arial"/>
                <w:sz w:val="18"/>
                <w:szCs w:val="18"/>
                <w:color w:val="auto"/>
                <w:w w:val="90"/>
              </w:rPr>
              <w:t xml:space="preserve"> ,</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9.5%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26,069</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(Corfin InvestCo, L.P.)</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L+975, 11/25/2020</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7B Raymond Avenue</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Common Equity</w:t>
            </w:r>
            <w:r>
              <w:rPr>
                <w:rFonts w:ascii="Arial" w:cs="Arial" w:eastAsia="Arial" w:hAnsi="Arial"/>
                <w:sz w:val="11"/>
                <w:szCs w:val="11"/>
                <w:color w:val="auto"/>
                <w:w w:val="90"/>
              </w:rPr>
              <w:t>(4)</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gridSpan w:val="2"/>
          </w:tcPr>
          <w:p>
            <w:pPr>
              <w:spacing w:after="0"/>
              <w:rPr>
                <w:sz w:val="20"/>
                <w:szCs w:val="20"/>
                <w:color w:val="auto"/>
              </w:rPr>
            </w:pPr>
            <w:r>
              <w:rPr>
                <w:rFonts w:ascii="Arial" w:cs="Arial" w:eastAsia="Arial" w:hAnsi="Arial"/>
                <w:sz w:val="18"/>
                <w:szCs w:val="18"/>
                <w:color w:val="auto"/>
              </w:rPr>
              <w:t>Salem, NH 03079</w:t>
            </w: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DirectBuy Holdings, Inc.</w:t>
            </w:r>
          </w:p>
        </w:tc>
        <w:tc>
          <w:tcPr>
            <w:tcW w:w="24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6"/>
              </w:rPr>
              <w:t>Consumer Products</w:t>
            </w: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Subordinated Debt,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8450 Broadway</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 11/05/2019</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Merrillville, IN 46410</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Common Equity</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Warrants</w:t>
            </w:r>
          </w:p>
        </w:tc>
        <w:tc>
          <w:tcPr>
            <w:tcW w:w="7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080" w:type="dxa"/>
            <w:vAlign w:val="bottom"/>
            <w:gridSpan w:val="2"/>
          </w:tcPr>
          <w:p>
            <w:pPr>
              <w:spacing w:after="0"/>
              <w:rPr>
                <w:sz w:val="20"/>
                <w:szCs w:val="20"/>
                <w:color w:val="auto"/>
              </w:rPr>
            </w:pPr>
            <w:r>
              <w:rPr>
                <w:rFonts w:ascii="Arial" w:cs="Arial" w:eastAsia="Arial" w:hAnsi="Arial"/>
                <w:sz w:val="18"/>
                <w:szCs w:val="18"/>
                <w:color w:val="auto"/>
              </w:rPr>
              <w:t>EnviroSolutions Real Property Holdings, Inc.</w:t>
            </w:r>
          </w:p>
        </w:tc>
        <w:tc>
          <w:tcPr>
            <w:tcW w:w="24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Environmental Services</w:t>
            </w: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Second Lien Secured Debt,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13.7%</w:t>
            </w:r>
            <w:r>
              <w:rPr>
                <w:rFonts w:ascii="Arial" w:cs="Arial" w:eastAsia="Arial" w:hAnsi="Arial"/>
                <w:sz w:val="11"/>
                <w:szCs w:val="11"/>
                <w:color w:val="auto"/>
              </w:rPr>
              <w:t>(7)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22,761</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(EnviroSolutions Holdings, Inc.)</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L+800, 12/26/2017</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11220 Asset Loop, Ste. 201</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Common Equity</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gridSpan w:val="2"/>
          </w:tcPr>
          <w:p>
            <w:pPr>
              <w:spacing w:after="0"/>
              <w:rPr>
                <w:sz w:val="20"/>
                <w:szCs w:val="20"/>
                <w:color w:val="auto"/>
              </w:rPr>
            </w:pPr>
            <w:r>
              <w:rPr>
                <w:rFonts w:ascii="Arial" w:cs="Arial" w:eastAsia="Arial" w:hAnsi="Arial"/>
                <w:sz w:val="18"/>
                <w:szCs w:val="18"/>
                <w:color w:val="auto"/>
              </w:rPr>
              <w:t>Manassas, VA 20109</w:t>
            </w: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ETX Energy, LLC</w:t>
            </w:r>
          </w:p>
        </w:tc>
        <w:tc>
          <w:tcPr>
            <w:tcW w:w="24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Oil and Gas</w:t>
            </w: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Subordinated Debt,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w:t>
            </w:r>
            <w:r>
              <w:rPr>
                <w:rFonts w:ascii="Arial" w:cs="Arial" w:eastAsia="Arial" w:hAnsi="Arial"/>
                <w:sz w:val="11"/>
                <w:szCs w:val="11"/>
                <w:color w:val="auto"/>
              </w:rPr>
              <w:t>(7)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45,743</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(ETX Energy Management Company, LLC)</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12.50% PIK fixed, 05/03/2021</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10441 S. Regal Blvd. Ste. 210</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Common Equity</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Tulsa, OK 74133</w:t>
            </w:r>
          </w:p>
        </w:tc>
        <w:tc>
          <w:tcPr>
            <w:tcW w:w="2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080" w:type="dxa"/>
            <w:vAlign w:val="bottom"/>
            <w:gridSpan w:val="2"/>
          </w:tcPr>
          <w:p>
            <w:pPr>
              <w:spacing w:after="0"/>
              <w:rPr>
                <w:sz w:val="20"/>
                <w:szCs w:val="20"/>
                <w:color w:val="auto"/>
              </w:rPr>
            </w:pPr>
            <w:r>
              <w:rPr>
                <w:rFonts w:ascii="Arial" w:cs="Arial" w:eastAsia="Arial" w:hAnsi="Arial"/>
                <w:sz w:val="18"/>
                <w:szCs w:val="18"/>
                <w:color w:val="auto"/>
              </w:rPr>
              <w:t>PAS International Holdings, Inc.</w:t>
            </w:r>
          </w:p>
        </w:tc>
        <w:tc>
          <w:tcPr>
            <w:tcW w:w="246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Aerospace and Defense</w:t>
            </w: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First Lien Secured Debt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22.0%</w:t>
            </w:r>
            <w:r>
              <w:rPr>
                <w:rFonts w:ascii="Arial" w:cs="Arial" w:eastAsia="Arial" w:hAnsi="Arial"/>
                <w:sz w:val="11"/>
                <w:szCs w:val="11"/>
                <w:color w:val="auto"/>
              </w:rPr>
              <w:t>(7)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15,524</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(PAS Technologies, Inc.)</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L+500, (PIK 1.00%), 03/21/2017</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1234 Atlantic Street</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Preferred Equity</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gridSpan w:val="2"/>
          </w:tcPr>
          <w:p>
            <w:pPr>
              <w:spacing w:after="0"/>
              <w:rPr>
                <w:sz w:val="20"/>
                <w:szCs w:val="20"/>
                <w:color w:val="auto"/>
              </w:rPr>
            </w:pPr>
            <w:r>
              <w:rPr>
                <w:rFonts w:ascii="Arial" w:cs="Arial" w:eastAsia="Arial" w:hAnsi="Arial"/>
                <w:sz w:val="18"/>
                <w:szCs w:val="18"/>
                <w:color w:val="auto"/>
              </w:rPr>
              <w:t>North Kansas City, MO 64116</w:t>
            </w: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Common Equity</w:t>
            </w: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80" w:type="dxa"/>
            <w:vAlign w:val="bottom"/>
          </w:tcPr>
          <w:p>
            <w:pPr>
              <w:jc w:val="right"/>
              <w:ind w:right="373"/>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6"/>
              </w:rPr>
              <w:t>Type of Investment,</w:t>
            </w:r>
          </w:p>
        </w:tc>
        <w:tc>
          <w:tcPr>
            <w:tcW w:w="1380" w:type="dxa"/>
            <w:vAlign w:val="bottom"/>
            <w:gridSpan w:val="2"/>
          </w:tcPr>
          <w:p>
            <w:pPr>
              <w:jc w:val="center"/>
              <w:ind w:right="552"/>
              <w:spacing w:after="0"/>
              <w:rPr>
                <w:sz w:val="20"/>
                <w:szCs w:val="20"/>
                <w:color w:val="auto"/>
              </w:rPr>
            </w:pPr>
            <w:r>
              <w:rPr>
                <w:rFonts w:ascii="Arial" w:cs="Arial" w:eastAsia="Arial" w:hAnsi="Arial"/>
                <w:sz w:val="14"/>
                <w:szCs w:val="14"/>
                <w:b w:val="1"/>
                <w:bCs w:val="1"/>
                <w:color w:val="auto"/>
                <w:w w:val="87"/>
              </w:rPr>
              <w:t>Voting</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60" w:type="dxa"/>
            <w:vAlign w:val="bottom"/>
            <w:gridSpan w:val="2"/>
            <w:vMerge w:val="continue"/>
          </w:tcPr>
          <w:p>
            <w:pPr>
              <w:spacing w:after="0"/>
              <w:rPr>
                <w:sz w:val="11"/>
                <w:szCs w:val="11"/>
                <w:color w:val="auto"/>
              </w:rPr>
            </w:pPr>
          </w:p>
        </w:tc>
        <w:tc>
          <w:tcPr>
            <w:tcW w:w="1380" w:type="dxa"/>
            <w:vAlign w:val="bottom"/>
            <w:gridSpan w:val="2"/>
          </w:tcPr>
          <w:p>
            <w:pPr>
              <w:jc w:val="center"/>
              <w:ind w:right="512"/>
              <w:spacing w:after="0" w:line="135" w:lineRule="exact"/>
              <w:rPr>
                <w:sz w:val="20"/>
                <w:szCs w:val="20"/>
                <w:color w:val="auto"/>
              </w:rPr>
            </w:pPr>
            <w:r>
              <w:rPr>
                <w:rFonts w:ascii="Arial" w:cs="Arial" w:eastAsia="Arial" w:hAnsi="Arial"/>
                <w:sz w:val="14"/>
                <w:szCs w:val="14"/>
                <w:b w:val="1"/>
                <w:bCs w:val="1"/>
                <w:color w:val="auto"/>
                <w:w w:val="82"/>
              </w:rPr>
              <w:t>Percentage</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2"/>
        </w:trPr>
        <w:tc>
          <w:tcPr>
            <w:tcW w:w="4120" w:type="dxa"/>
            <w:vAlign w:val="bottom"/>
            <w:gridSpan w:val="4"/>
          </w:tcPr>
          <w:p>
            <w:pPr>
              <w:spacing w:after="0"/>
              <w:rPr>
                <w:sz w:val="20"/>
                <w:szCs w:val="20"/>
                <w:color w:val="auto"/>
              </w:rPr>
            </w:pPr>
            <w:r>
              <w:rPr>
                <w:rFonts w:ascii="Arial" w:cs="Arial" w:eastAsia="Arial" w:hAnsi="Arial"/>
                <w:sz w:val="14"/>
                <w:szCs w:val="14"/>
                <w:b w:val="1"/>
                <w:bCs w:val="1"/>
                <w:color w:val="auto"/>
              </w:rPr>
              <w:t>Name and Addrdss of Portfolio Company</w:t>
            </w:r>
          </w:p>
        </w:tc>
        <w:tc>
          <w:tcPr>
            <w:tcW w:w="2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Nature of Business</w:t>
            </w:r>
          </w:p>
        </w:tc>
        <w:tc>
          <w:tcPr>
            <w:tcW w:w="2660" w:type="dxa"/>
            <w:vAlign w:val="bottom"/>
            <w:gridSpan w:val="2"/>
          </w:tcPr>
          <w:p>
            <w:pPr>
              <w:jc w:val="center"/>
              <w:ind w:right="280"/>
              <w:spacing w:after="0" w:line="162" w:lineRule="exact"/>
              <w:rPr>
                <w:sz w:val="20"/>
                <w:szCs w:val="20"/>
                <w:color w:val="auto"/>
              </w:rPr>
            </w:pPr>
            <w:r>
              <w:rPr>
                <w:rFonts w:ascii="Arial" w:cs="Arial" w:eastAsia="Arial" w:hAnsi="Arial"/>
                <w:sz w:val="12"/>
                <w:szCs w:val="12"/>
                <w:b w:val="1"/>
                <w:bCs w:val="1"/>
                <w:color w:val="auto"/>
              </w:rPr>
              <w:t>Interest</w:t>
            </w:r>
            <w:r>
              <w:rPr>
                <w:rFonts w:ascii="Arial" w:cs="Arial" w:eastAsia="Arial" w:hAnsi="Arial"/>
                <w:sz w:val="18"/>
                <w:szCs w:val="18"/>
                <w:b w:val="1"/>
                <w:bCs w:val="1"/>
                <w:color w:val="auto"/>
                <w:vertAlign w:val="superscript"/>
              </w:rPr>
              <w:t>(1)</w:t>
            </w:r>
            <w:r>
              <w:rPr>
                <w:rFonts w:ascii="Arial" w:cs="Arial" w:eastAsia="Arial" w:hAnsi="Arial"/>
                <w:sz w:val="12"/>
                <w:szCs w:val="12"/>
                <w:b w:val="1"/>
                <w:bCs w:val="1"/>
                <w:color w:val="auto"/>
              </w:rPr>
              <w:t>, Maturity</w:t>
            </w:r>
          </w:p>
        </w:tc>
        <w:tc>
          <w:tcPr>
            <w:tcW w:w="1380" w:type="dxa"/>
            <w:vAlign w:val="bottom"/>
            <w:gridSpan w:val="2"/>
          </w:tcPr>
          <w:p>
            <w:pPr>
              <w:jc w:val="center"/>
              <w:ind w:right="512"/>
              <w:spacing w:after="0" w:line="162" w:lineRule="exact"/>
              <w:rPr>
                <w:sz w:val="20"/>
                <w:szCs w:val="20"/>
                <w:color w:val="auto"/>
              </w:rPr>
            </w:pPr>
            <w:r>
              <w:rPr>
                <w:rFonts w:ascii="Arial" w:cs="Arial" w:eastAsia="Arial" w:hAnsi="Arial"/>
                <w:sz w:val="12"/>
                <w:szCs w:val="12"/>
                <w:b w:val="1"/>
                <w:bCs w:val="1"/>
                <w:color w:val="auto"/>
              </w:rPr>
              <w:t>Ownership</w:t>
            </w:r>
            <w:r>
              <w:rPr>
                <w:rFonts w:ascii="Arial" w:cs="Arial" w:eastAsia="Arial" w:hAnsi="Arial"/>
                <w:sz w:val="18"/>
                <w:szCs w:val="18"/>
                <w:b w:val="1"/>
                <w:bCs w:val="1"/>
                <w:color w:val="auto"/>
                <w:vertAlign w:val="superscript"/>
              </w:rPr>
              <w:t>(2)</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2"/>
              </w:rPr>
              <w:t>(in thousands)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Borders>
              <w:top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Service Champ, Inc.</w:t>
            </w:r>
          </w:p>
        </w:tc>
        <w:tc>
          <w:tcPr>
            <w:tcW w:w="1580" w:type="dxa"/>
            <w:vAlign w:val="bottom"/>
            <w:tcBorders>
              <w:top w:val="single" w:sz="8" w:color="CCEEFF"/>
            </w:tcBorders>
            <w:shd w:val="clear" w:color="auto" w:fill="CCEEFF"/>
          </w:tcPr>
          <w:p>
            <w:pPr>
              <w:spacing w:after="0"/>
              <w:rPr>
                <w:sz w:val="15"/>
                <w:szCs w:val="15"/>
                <w:color w:val="auto"/>
              </w:rPr>
            </w:pPr>
          </w:p>
        </w:tc>
        <w:tc>
          <w:tcPr>
            <w:tcW w:w="21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Auto Sector</w:t>
            </w:r>
          </w:p>
        </w:tc>
        <w:tc>
          <w:tcPr>
            <w:tcW w:w="280" w:type="dxa"/>
            <w:vAlign w:val="bottom"/>
            <w:tcBorders>
              <w:top w:val="single" w:sz="8" w:color="CCEEFF"/>
            </w:tcBorders>
            <w:shd w:val="clear" w:color="auto" w:fill="CCEEFF"/>
          </w:tcPr>
          <w:p>
            <w:pPr>
              <w:spacing w:after="0"/>
              <w:rPr>
                <w:sz w:val="15"/>
                <w:szCs w:val="15"/>
                <w:color w:val="auto"/>
              </w:rPr>
            </w:pPr>
          </w:p>
        </w:tc>
        <w:tc>
          <w:tcPr>
            <w:tcW w:w="23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Subordinated Debt,</w:t>
            </w:r>
          </w:p>
        </w:tc>
        <w:tc>
          <w:tcPr>
            <w:tcW w:w="2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7.7</w:t>
            </w:r>
          </w:p>
        </w:tc>
        <w:tc>
          <w:tcPr>
            <w:tcW w:w="600" w:type="dxa"/>
            <w:vAlign w:val="bottom"/>
            <w:tcBorders>
              <w:top w:val="single" w:sz="8" w:color="CCEEFF"/>
            </w:tcBorders>
            <w:shd w:val="clear" w:color="auto" w:fill="CCEEFF"/>
          </w:tcPr>
          <w:p>
            <w:pPr>
              <w:jc w:val="right"/>
              <w:ind w:right="372"/>
              <w:spacing w:after="0" w:line="182" w:lineRule="exact"/>
              <w:rPr>
                <w:sz w:val="20"/>
                <w:szCs w:val="20"/>
                <w:color w:val="auto"/>
              </w:rPr>
            </w:pPr>
            <w:r>
              <w:rPr>
                <w:rFonts w:ascii="Arial" w:cs="Arial" w:eastAsia="Arial" w:hAnsi="Arial"/>
                <w:sz w:val="18"/>
                <w:szCs w:val="18"/>
                <w:color w:val="auto"/>
                <w:w w:val="74"/>
              </w:rPr>
              <w:t>%</w:t>
            </w:r>
          </w:p>
        </w:tc>
        <w:tc>
          <w:tcPr>
            <w:tcW w:w="8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35,537</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Service Champ Holdings, Inc.)</w:t>
            </w:r>
          </w:p>
        </w:tc>
        <w:tc>
          <w:tcPr>
            <w:tcW w:w="2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12.50% fixed, 10/02/2017</w:t>
            </w: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180 New Britain Blvd.</w:t>
            </w:r>
          </w:p>
        </w:tc>
        <w:tc>
          <w:tcPr>
            <w:tcW w:w="2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Common Equity</w:t>
            </w: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Chalfont, PA 18914</w:t>
            </w:r>
          </w:p>
        </w:tc>
        <w:tc>
          <w:tcPr>
            <w:tcW w:w="2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TRAK Acquisition Corp.</w:t>
            </w:r>
          </w:p>
        </w:tc>
        <w:tc>
          <w:tcPr>
            <w:tcW w:w="238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Business Services</w:t>
            </w:r>
          </w:p>
        </w:tc>
        <w:tc>
          <w:tcPr>
            <w:tcW w:w="26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First Lien Secured Debt,</w:t>
            </w:r>
          </w:p>
        </w:tc>
        <w:tc>
          <w:tcPr>
            <w:tcW w:w="1380" w:type="dxa"/>
            <w:vAlign w:val="bottom"/>
            <w:gridSpan w:val="2"/>
          </w:tcPr>
          <w:p>
            <w:pPr>
              <w:jc w:val="right"/>
              <w:ind w:right="232"/>
              <w:spacing w:after="0"/>
              <w:rPr>
                <w:sz w:val="20"/>
                <w:szCs w:val="20"/>
                <w:color w:val="auto"/>
              </w:rPr>
            </w:pPr>
            <w:r>
              <w:rPr>
                <w:rFonts w:ascii="Arial" w:cs="Arial" w:eastAsia="Arial" w:hAnsi="Arial"/>
                <w:sz w:val="18"/>
                <w:szCs w:val="18"/>
                <w:color w:val="auto"/>
              </w:rPr>
              <w:t>23.1%</w:t>
            </w:r>
            <w:r>
              <w:rPr>
                <w:rFonts w:ascii="Arial" w:cs="Arial" w:eastAsia="Arial" w:hAnsi="Arial"/>
                <w:sz w:val="11"/>
                <w:szCs w:val="11"/>
                <w:color w:val="auto"/>
              </w:rPr>
              <w:t>(7)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28,456</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1001 Brickell Bay Drive, 27 Floor</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L+1,050, 04/30/2018</w:t>
            </w: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Miami, FL 33131</w:t>
            </w:r>
          </w:p>
        </w:tc>
        <w:tc>
          <w:tcPr>
            <w:tcW w:w="2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Common Equity</w:t>
            </w: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Companies 25% or More Owned</w:t>
            </w:r>
          </w:p>
        </w:tc>
        <w:tc>
          <w:tcPr>
            <w:tcW w:w="2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MidOcean JF Holdings Corp.</w:t>
            </w:r>
          </w:p>
        </w:tc>
        <w:tc>
          <w:tcPr>
            <w:tcW w:w="238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Distribution</w:t>
            </w:r>
          </w:p>
        </w:tc>
        <w:tc>
          <w:tcPr>
            <w:tcW w:w="26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Preferred Equity</w:t>
            </w:r>
          </w:p>
        </w:tc>
        <w:tc>
          <w:tcPr>
            <w:tcW w:w="1380" w:type="dxa"/>
            <w:vAlign w:val="bottom"/>
            <w:gridSpan w:val="2"/>
          </w:tcPr>
          <w:p>
            <w:pPr>
              <w:jc w:val="right"/>
              <w:ind w:right="232"/>
              <w:spacing w:after="0"/>
              <w:rPr>
                <w:sz w:val="20"/>
                <w:szCs w:val="20"/>
                <w:color w:val="auto"/>
              </w:rPr>
            </w:pPr>
            <w:r>
              <w:rPr>
                <w:rFonts w:ascii="Arial" w:cs="Arial" w:eastAsia="Arial" w:hAnsi="Arial"/>
                <w:sz w:val="18"/>
                <w:szCs w:val="18"/>
                <w:color w:val="auto"/>
              </w:rPr>
              <w:t>35.7%</w:t>
            </w:r>
            <w:r>
              <w:rPr>
                <w:rFonts w:ascii="Arial" w:cs="Arial" w:eastAsia="Arial" w:hAnsi="Arial"/>
                <w:sz w:val="11"/>
                <w:szCs w:val="11"/>
                <w:color w:val="auto"/>
              </w:rPr>
              <w:t>(7)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9,600</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1330 St. Mary’s Street, Ste. 210</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Common Equity</w:t>
            </w: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Raleigh, NC 27605</w:t>
            </w:r>
          </w:p>
        </w:tc>
        <w:tc>
          <w:tcPr>
            <w:tcW w:w="2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RAM Energy LLC</w:t>
            </w:r>
          </w:p>
        </w:tc>
        <w:tc>
          <w:tcPr>
            <w:tcW w:w="23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Energy and Utilities</w:t>
            </w:r>
          </w:p>
        </w:tc>
        <w:tc>
          <w:tcPr>
            <w:tcW w:w="2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First Lien Secured Debt,</w:t>
            </w:r>
          </w:p>
        </w:tc>
        <w:tc>
          <w:tcPr>
            <w:tcW w:w="13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100%</w:t>
            </w:r>
            <w:r>
              <w:rPr>
                <w:rFonts w:ascii="Arial" w:cs="Arial" w:eastAsia="Arial" w:hAnsi="Arial"/>
                <w:sz w:val="11"/>
                <w:szCs w:val="11"/>
                <w:color w:val="auto"/>
              </w:rPr>
              <w:t>(7)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(RAM Energy Holdings LLC)</w:t>
            </w:r>
          </w:p>
        </w:tc>
        <w:tc>
          <w:tcPr>
            <w:tcW w:w="2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L+800 PIK, 07/18/2019</w:t>
            </w: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2100 South Utica Avenue, Ste. 165</w:t>
            </w:r>
          </w:p>
        </w:tc>
        <w:tc>
          <w:tcPr>
            <w:tcW w:w="2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Common Equity</w:t>
            </w: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Tulsa, OK 74114</w:t>
            </w:r>
          </w:p>
        </w:tc>
        <w:tc>
          <w:tcPr>
            <w:tcW w:w="2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Superior Digital Displays, LLC</w:t>
            </w:r>
          </w:p>
        </w:tc>
        <w:tc>
          <w:tcPr>
            <w:tcW w:w="23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Media</w:t>
            </w:r>
          </w:p>
        </w:tc>
        <w:tc>
          <w:tcPr>
            <w:tcW w:w="26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First Lien Secured Debt,</w:t>
            </w:r>
          </w:p>
        </w:tc>
        <w:tc>
          <w:tcPr>
            <w:tcW w:w="1380" w:type="dxa"/>
            <w:vAlign w:val="bottom"/>
            <w:gridSpan w:val="2"/>
          </w:tcPr>
          <w:p>
            <w:pPr>
              <w:jc w:val="right"/>
              <w:ind w:right="232"/>
              <w:spacing w:after="0"/>
              <w:rPr>
                <w:sz w:val="20"/>
                <w:szCs w:val="20"/>
                <w:color w:val="auto"/>
              </w:rPr>
            </w:pPr>
            <w:r>
              <w:rPr>
                <w:rFonts w:ascii="Arial" w:cs="Arial" w:eastAsia="Arial" w:hAnsi="Arial"/>
                <w:sz w:val="18"/>
                <w:szCs w:val="18"/>
                <w:color w:val="auto"/>
              </w:rPr>
              <w:t>57.7%</w:t>
            </w:r>
            <w:r>
              <w:rPr>
                <w:rFonts w:ascii="Arial" w:cs="Arial" w:eastAsia="Arial" w:hAnsi="Arial"/>
                <w:sz w:val="11"/>
                <w:szCs w:val="11"/>
                <w:color w:val="auto"/>
              </w:rPr>
              <w:t>(7)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32,436</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(Superior Digital Displays Holdings, Inc)</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L+1,300 PIK, 12/31/2018</w:t>
            </w: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125 Park Ave. 25th Floor</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Second Lien Secured Debt,</w:t>
            </w: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New York, NY 10017</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L+1,500 PIK, 07/01/2019</w:t>
            </w: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Preferred Equity</w:t>
            </w: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Common Equity</w:t>
            </w: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2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$ 1,325,544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80" w:right="120" w:hanging="572"/>
        <w:spacing w:after="0" w:line="284" w:lineRule="auto"/>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basis point spread above index for floating rate instruments, or fixed rate for instruments if no index is indicated, that accrue interest at a predetermined spread relative to an index, typically the applicable LIBOR or Prime rate, or “P.” All securities are subject to a LIBOR or Prime rate floor where a spread is provided, unless noted. The spread provided includes PIK interest and other fee rates, if any.</w:t>
      </w:r>
    </w:p>
    <w:p>
      <w:pPr>
        <w:spacing w:after="0" w:line="1" w:lineRule="exact"/>
        <w:rPr>
          <w:rFonts w:ascii="Arial" w:cs="Arial" w:eastAsia="Arial" w:hAnsi="Arial"/>
          <w:sz w:val="16"/>
          <w:szCs w:val="16"/>
          <w:color w:val="auto"/>
        </w:rPr>
      </w:pPr>
    </w:p>
    <w:p>
      <w:pPr>
        <w:ind w:left="580" w:hanging="572"/>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Voting ownership percentage refers only to common equity, preferred equity and warrants held, if any, were we to have voting rights.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Less than 0.1% voting ownership percentage</w:t>
      </w:r>
    </w:p>
    <w:p>
      <w:pPr>
        <w:spacing w:after="0" w:line="9"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the purchase of a security with delayed settlement or a revolving line of credit that is currently an unfunded investment, that does not earn a basis point spread above an index while it is unfunded.</w:t>
      </w:r>
    </w:p>
    <w:p>
      <w:pPr>
        <w:ind w:left="580" w:hanging="572"/>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Coupon is not subject to a LIBOR or Prime rate floor.</w:t>
      </w:r>
    </w:p>
    <w:p>
      <w:pPr>
        <w:spacing w:after="0" w:line="9"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ind w:left="580" w:hanging="572"/>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Indicates that we hold voting seats on portfolio companies’ boards of directors.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as of December 31, 2016:</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Parq Holdings Limited Partnership (Hotels, Motels, Inns and Gaming)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Parq Holdings Limited Partnership is constructing a gaming and hotel complex in downtown Vancouver, Canada.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Pre-Paid Legal Services, Inc. (Personal, Food and Miscellaneous Services)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Pre-Paid Legal Services, Inc. provides legal services and identity theft monitoring and protection to its members.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RAM Energy LLC (Energy and Utilities)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RAM Energy LLC is an exploration and production company focused on operations in the Arkansas-Louisiana-Texas and Permian regions.</w:t>
      </w:r>
    </w:p>
    <w:p>
      <w:pPr>
        <w:spacing w:after="0" w:line="194" w:lineRule="exact"/>
        <w:rPr>
          <w:sz w:val="20"/>
          <w:szCs w:val="20"/>
          <w:color w:val="auto"/>
        </w:rPr>
      </w:pPr>
    </w:p>
    <w:p>
      <w:pPr>
        <w:ind w:right="40" w:firstLine="571"/>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 as of:</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Industry Classification</w:t>
            </w:r>
          </w:p>
        </w:tc>
        <w:tc>
          <w:tcPr>
            <w:tcW w:w="1740" w:type="dxa"/>
            <w:vAlign w:val="bottom"/>
          </w:tcPr>
          <w:p>
            <w:pPr>
              <w:spacing w:after="0"/>
              <w:rPr>
                <w:sz w:val="20"/>
                <w:szCs w:val="20"/>
                <w:color w:val="auto"/>
              </w:rPr>
            </w:pPr>
          </w:p>
        </w:tc>
        <w:tc>
          <w:tcPr>
            <w:tcW w:w="3040" w:type="dxa"/>
            <w:vAlign w:val="bottom"/>
            <w:gridSpan w:val="2"/>
          </w:tcPr>
          <w:p>
            <w:pPr>
              <w:jc w:val="right"/>
              <w:ind w:right="1620"/>
              <w:spacing w:after="0"/>
              <w:rPr>
                <w:sz w:val="20"/>
                <w:szCs w:val="20"/>
                <w:color w:val="auto"/>
              </w:rPr>
            </w:pPr>
            <w:r>
              <w:rPr>
                <w:rFonts w:ascii="Arial" w:cs="Arial" w:eastAsia="Arial" w:hAnsi="Arial"/>
                <w:sz w:val="18"/>
                <w:szCs w:val="18"/>
                <w:b w:val="1"/>
                <w:bCs w:val="1"/>
                <w:color w:val="auto"/>
                <w:w w:val="86"/>
              </w:rPr>
              <w:t>December 31, 2016</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September 30, 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bottom w:val="single" w:sz="8" w:color="CCEEFF"/>
            </w:tcBorders>
            <w:shd w:val="clear" w:color="auto" w:fill="000000"/>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Hotels, Motels, Inns and Gaming</w:t>
            </w:r>
          </w:p>
        </w:tc>
        <w:tc>
          <w:tcPr>
            <w:tcW w:w="1740" w:type="dxa"/>
            <w:vAlign w:val="bottom"/>
            <w:shd w:val="clear" w:color="auto" w:fill="CCEEFF"/>
          </w:tcPr>
          <w:p>
            <w:pPr>
              <w:spacing w:after="0"/>
              <w:rPr>
                <w:sz w:val="17"/>
                <w:szCs w:val="17"/>
                <w:color w:val="auto"/>
              </w:rPr>
            </w:pPr>
          </w:p>
        </w:tc>
        <w:tc>
          <w:tcPr>
            <w:tcW w:w="3040" w:type="dxa"/>
            <w:vAlign w:val="bottom"/>
            <w:gridSpan w:val="2"/>
            <w:shd w:val="clear" w:color="auto" w:fill="CCEEFF"/>
          </w:tcPr>
          <w:p>
            <w:pPr>
              <w:jc w:val="right"/>
              <w:ind w:right="1480"/>
              <w:spacing w:after="0" w:line="203" w:lineRule="exact"/>
              <w:rPr>
                <w:sz w:val="20"/>
                <w:szCs w:val="20"/>
                <w:color w:val="auto"/>
              </w:rPr>
            </w:pPr>
            <w:r>
              <w:rPr>
                <w:rFonts w:ascii="Arial" w:cs="Arial" w:eastAsia="Arial" w:hAnsi="Arial"/>
                <w:sz w:val="18"/>
                <w:szCs w:val="18"/>
                <w:color w:val="auto"/>
              </w:rPr>
              <w:t>17%</w:t>
            </w:r>
          </w:p>
        </w:tc>
        <w:tc>
          <w:tcPr>
            <w:tcW w:w="16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4780" w:type="dxa"/>
            <w:vAlign w:val="bottom"/>
            <w:gridSpan w:val="3"/>
          </w:tcPr>
          <w:p>
            <w:pPr>
              <w:jc w:val="right"/>
              <w:ind w:right="1620"/>
              <w:spacing w:after="0"/>
              <w:rPr>
                <w:sz w:val="20"/>
                <w:szCs w:val="20"/>
                <w:color w:val="auto"/>
              </w:rPr>
            </w:pPr>
            <w:r>
              <w:rPr>
                <w:rFonts w:ascii="Arial" w:cs="Arial" w:eastAsia="Arial" w:hAnsi="Arial"/>
                <w:sz w:val="18"/>
                <w:szCs w:val="18"/>
                <w:color w:val="auto"/>
              </w:rPr>
              <w:t>8</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Food and Miscellaneous Services</w:t>
            </w:r>
          </w:p>
        </w:tc>
        <w:tc>
          <w:tcPr>
            <w:tcW w:w="4780" w:type="dxa"/>
            <w:vAlign w:val="bottom"/>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7</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4780" w:type="dxa"/>
            <w:vAlign w:val="bottom"/>
            <w:gridSpan w:val="3"/>
          </w:tcPr>
          <w:p>
            <w:pPr>
              <w:jc w:val="right"/>
              <w:ind w:right="1620"/>
              <w:spacing w:after="0"/>
              <w:rPr>
                <w:sz w:val="20"/>
                <w:szCs w:val="20"/>
                <w:color w:val="auto"/>
              </w:rPr>
            </w:pPr>
            <w:r>
              <w:rPr>
                <w:rFonts w:ascii="Arial" w:cs="Arial" w:eastAsia="Arial" w:hAnsi="Arial"/>
                <w:sz w:val="18"/>
                <w:szCs w:val="18"/>
                <w:color w:val="auto"/>
              </w:rPr>
              <w:t>6</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4780" w:type="dxa"/>
            <w:vAlign w:val="bottom"/>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6</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Energy and Utilities</w:t>
            </w:r>
          </w:p>
        </w:tc>
        <w:tc>
          <w:tcPr>
            <w:tcW w:w="4780" w:type="dxa"/>
            <w:vAlign w:val="bottom"/>
            <w:gridSpan w:val="3"/>
          </w:tcPr>
          <w:p>
            <w:pPr>
              <w:jc w:val="right"/>
              <w:ind w:right="1620"/>
              <w:spacing w:after="0"/>
              <w:rPr>
                <w:sz w:val="20"/>
                <w:szCs w:val="20"/>
                <w:color w:val="auto"/>
              </w:rPr>
            </w:pPr>
            <w:r>
              <w:rPr>
                <w:rFonts w:ascii="Arial" w:cs="Arial" w:eastAsia="Arial" w:hAnsi="Arial"/>
                <w:sz w:val="18"/>
                <w:szCs w:val="18"/>
                <w:color w:val="auto"/>
              </w:rPr>
              <w:t>5</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4780" w:type="dxa"/>
            <w:vAlign w:val="bottom"/>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5</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4780" w:type="dxa"/>
            <w:vAlign w:val="bottom"/>
            <w:gridSpan w:val="3"/>
          </w:tcPr>
          <w:p>
            <w:pPr>
              <w:jc w:val="right"/>
              <w:ind w:right="1620"/>
              <w:spacing w:after="0"/>
              <w:rPr>
                <w:sz w:val="20"/>
                <w:szCs w:val="20"/>
                <w:color w:val="auto"/>
              </w:rPr>
            </w:pPr>
            <w:r>
              <w:rPr>
                <w:rFonts w:ascii="Arial" w:cs="Arial" w:eastAsia="Arial" w:hAnsi="Arial"/>
                <w:sz w:val="18"/>
                <w:szCs w:val="18"/>
                <w:color w:val="auto"/>
              </w:rPr>
              <w:t>5</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4780" w:type="dxa"/>
            <w:vAlign w:val="bottom"/>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4</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4780" w:type="dxa"/>
            <w:vAlign w:val="bottom"/>
            <w:gridSpan w:val="3"/>
          </w:tcPr>
          <w:p>
            <w:pPr>
              <w:jc w:val="right"/>
              <w:ind w:right="1620"/>
              <w:spacing w:after="0"/>
              <w:rPr>
                <w:sz w:val="20"/>
                <w:szCs w:val="20"/>
                <w:color w:val="auto"/>
              </w:rPr>
            </w:pPr>
            <w:r>
              <w:rPr>
                <w:rFonts w:ascii="Arial" w:cs="Arial" w:eastAsia="Arial" w:hAnsi="Arial"/>
                <w:sz w:val="18"/>
                <w:szCs w:val="18"/>
                <w:color w:val="auto"/>
              </w:rPr>
              <w:t>4</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 Basic Industries</w:t>
            </w:r>
          </w:p>
        </w:tc>
        <w:tc>
          <w:tcPr>
            <w:tcW w:w="4780" w:type="dxa"/>
            <w:vAlign w:val="bottom"/>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4</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4780" w:type="dxa"/>
            <w:vAlign w:val="bottom"/>
            <w:gridSpan w:val="3"/>
          </w:tcPr>
          <w:p>
            <w:pPr>
              <w:jc w:val="right"/>
              <w:ind w:right="1620"/>
              <w:spacing w:after="0"/>
              <w:rPr>
                <w:sz w:val="20"/>
                <w:szCs w:val="20"/>
                <w:color w:val="auto"/>
              </w:rPr>
            </w:pPr>
            <w:r>
              <w:rPr>
                <w:rFonts w:ascii="Arial" w:cs="Arial" w:eastAsia="Arial" w:hAnsi="Arial"/>
                <w:sz w:val="18"/>
                <w:szCs w:val="18"/>
                <w:color w:val="auto"/>
              </w:rPr>
              <w:t>4</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4780" w:type="dxa"/>
            <w:vAlign w:val="bottom"/>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3</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4780" w:type="dxa"/>
            <w:vAlign w:val="bottom"/>
            <w:gridSpan w:val="3"/>
          </w:tcPr>
          <w:p>
            <w:pPr>
              <w:jc w:val="right"/>
              <w:ind w:right="1620"/>
              <w:spacing w:after="0"/>
              <w:rPr>
                <w:sz w:val="20"/>
                <w:szCs w:val="20"/>
                <w:color w:val="auto"/>
              </w:rPr>
            </w:pPr>
            <w:r>
              <w:rPr>
                <w:rFonts w:ascii="Arial" w:cs="Arial" w:eastAsia="Arial" w:hAnsi="Arial"/>
                <w:sz w:val="18"/>
                <w:szCs w:val="18"/>
                <w:color w:val="auto"/>
              </w:rPr>
              <w:t>3</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4780" w:type="dxa"/>
            <w:vAlign w:val="bottom"/>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3</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4780" w:type="dxa"/>
            <w:vAlign w:val="bottom"/>
            <w:gridSpan w:val="3"/>
          </w:tcPr>
          <w:p>
            <w:pPr>
              <w:jc w:val="right"/>
              <w:ind w:right="1620"/>
              <w:spacing w:after="0"/>
              <w:rPr>
                <w:sz w:val="20"/>
                <w:szCs w:val="20"/>
                <w:color w:val="auto"/>
              </w:rPr>
            </w:pPr>
            <w:r>
              <w:rPr>
                <w:rFonts w:ascii="Arial" w:cs="Arial" w:eastAsia="Arial" w:hAnsi="Arial"/>
                <w:sz w:val="18"/>
                <w:szCs w:val="18"/>
                <w:color w:val="auto"/>
              </w:rPr>
              <w:t>2</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Materials</w:t>
            </w:r>
          </w:p>
        </w:tc>
        <w:tc>
          <w:tcPr>
            <w:tcW w:w="4780" w:type="dxa"/>
            <w:vAlign w:val="bottom"/>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2</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Media</w:t>
            </w:r>
          </w:p>
        </w:tc>
        <w:tc>
          <w:tcPr>
            <w:tcW w:w="4780" w:type="dxa"/>
            <w:vAlign w:val="bottom"/>
            <w:gridSpan w:val="3"/>
          </w:tcPr>
          <w:p>
            <w:pPr>
              <w:jc w:val="right"/>
              <w:ind w:right="1620"/>
              <w:spacing w:after="0"/>
              <w:rPr>
                <w:sz w:val="20"/>
                <w:szCs w:val="20"/>
                <w:color w:val="auto"/>
              </w:rPr>
            </w:pPr>
            <w:r>
              <w:rPr>
                <w:rFonts w:ascii="Arial" w:cs="Arial" w:eastAsia="Arial" w:hAnsi="Arial"/>
                <w:sz w:val="18"/>
                <w:szCs w:val="18"/>
                <w:color w:val="auto"/>
              </w:rPr>
              <w:t>2</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4780" w:type="dxa"/>
            <w:vAlign w:val="bottom"/>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2</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Printing and Publishing</w:t>
            </w:r>
          </w:p>
        </w:tc>
        <w:tc>
          <w:tcPr>
            <w:tcW w:w="4780" w:type="dxa"/>
            <w:vAlign w:val="bottom"/>
            <w:gridSpan w:val="3"/>
          </w:tcPr>
          <w:p>
            <w:pPr>
              <w:jc w:val="right"/>
              <w:ind w:right="1620"/>
              <w:spacing w:after="0"/>
              <w:rPr>
                <w:sz w:val="20"/>
                <w:szCs w:val="20"/>
                <w:color w:val="auto"/>
              </w:rPr>
            </w:pPr>
            <w:r>
              <w:rPr>
                <w:rFonts w:ascii="Arial" w:cs="Arial" w:eastAsia="Arial" w:hAnsi="Arial"/>
                <w:sz w:val="18"/>
                <w:szCs w:val="18"/>
                <w:color w:val="auto"/>
              </w:rPr>
              <w:t>2</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Diversified Natural Resources, Precious Metals and Minerals</w:t>
            </w:r>
          </w:p>
        </w:tc>
        <w:tc>
          <w:tcPr>
            <w:tcW w:w="4780" w:type="dxa"/>
            <w:vAlign w:val="bottom"/>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1</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74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780" w:type="dxa"/>
            <w:vAlign w:val="bottom"/>
            <w:gridSpan w:val="3"/>
            <w:shd w:val="clear" w:color="auto" w:fill="CCEEFF"/>
          </w:tcPr>
          <w:p>
            <w:pPr>
              <w:jc w:val="right"/>
              <w:ind w:right="1480"/>
              <w:spacing w:after="0"/>
              <w:rPr>
                <w:sz w:val="20"/>
                <w:szCs w:val="20"/>
                <w:color w:val="auto"/>
              </w:rPr>
            </w:pPr>
            <w:r>
              <w:rPr>
                <w:rFonts w:ascii="Arial" w:cs="Arial" w:eastAsia="Arial" w:hAnsi="Arial"/>
                <w:sz w:val="18"/>
                <w:szCs w:val="18"/>
                <w:color w:val="auto"/>
              </w:rPr>
              <w:t>100%</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740" w:type="dxa"/>
            <w:vAlign w:val="bottom"/>
            <w:vMerge w:val="restart"/>
          </w:tcPr>
          <w:p>
            <w:pPr>
              <w:jc w:val="right"/>
              <w:ind w:right="812"/>
              <w:spacing w:after="0"/>
              <w:rPr>
                <w:sz w:val="20"/>
                <w:szCs w:val="20"/>
                <w:color w:val="auto"/>
              </w:rPr>
            </w:pPr>
            <w:r>
              <w:rPr>
                <w:rFonts w:ascii="Arial" w:cs="Arial" w:eastAsia="Arial" w:hAnsi="Arial"/>
                <w:sz w:val="18"/>
                <w:szCs w:val="18"/>
                <w:color w:val="auto"/>
              </w:rPr>
              <w:t>71</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96" w:lineRule="exact"/>
        <w:rPr>
          <w:sz w:val="20"/>
          <w:szCs w:val="20"/>
          <w:color w:val="auto"/>
        </w:rPr>
      </w:pPr>
    </w:p>
    <w:p>
      <w:pPr>
        <w:ind w:right="20" w:firstLine="571"/>
        <w:spacing w:after="0" w:line="306" w:lineRule="auto"/>
        <w:rPr>
          <w:sz w:val="20"/>
          <w:szCs w:val="20"/>
          <w:color w:val="auto"/>
        </w:rPr>
      </w:pPr>
      <w:r>
        <w:rPr>
          <w:rFonts w:ascii="Arial" w:cs="Arial" w:eastAsia="Arial" w:hAnsi="Arial"/>
          <w:sz w:val="16"/>
          <w:szCs w:val="16"/>
          <w:color w:val="auto"/>
        </w:rPr>
        <w:t>Our business and affairs are managed under the direction of our board of directors. The board of directors currently consists of five members, or directors, four of whom are not “interested persons” of PennantPark Investment as defined in Section 2(a)(19) of the 1940 Act. We refer to these individuals as our Independent Directors. Our board of directors elects our officers, who serve at the discretion of the 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Under our charter, our directors are divided into three classes and are elected for staggered terms of three years each, with a term of office of one of the three classes of directors expiring each year. Each director holds office for the term to which he or she is elected and until his or her successor is duly elected and qualifies.</w:t>
      </w:r>
    </w:p>
    <w:p>
      <w:pPr>
        <w:spacing w:after="0" w:line="5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Director</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Expiration</w:t>
            </w:r>
          </w:p>
        </w:tc>
        <w:tc>
          <w:tcPr>
            <w:tcW w:w="0" w:type="dxa"/>
            <w:vAlign w:val="bottom"/>
          </w:tcPr>
          <w:p>
            <w:pPr>
              <w:spacing w:after="0"/>
              <w:rPr>
                <w:sz w:val="1"/>
                <w:szCs w:val="1"/>
                <w:color w:val="auto"/>
              </w:rPr>
            </w:pPr>
          </w:p>
        </w:tc>
      </w:tr>
      <w:tr>
        <w:trPr>
          <w:trHeight w:val="237"/>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6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Age</w:t>
            </w:r>
          </w:p>
        </w:tc>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Since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of Term</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74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Chairman of the Board and Chief Executive Officer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information pertains to our officer who is not a director of PennantPark Investment Corporation.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82"/>
              </w:rPr>
              <w:t>Age</w:t>
            </w:r>
          </w:p>
        </w:tc>
        <w:tc>
          <w:tcPr>
            <w:tcW w:w="5420" w:type="dxa"/>
            <w:vAlign w:val="bottom"/>
            <w:gridSpan w:val="2"/>
          </w:tcPr>
          <w:p>
            <w:pPr>
              <w:ind w:left="100"/>
              <w:spacing w:after="0"/>
              <w:rPr>
                <w:sz w:val="20"/>
                <w:szCs w:val="20"/>
                <w:color w:val="auto"/>
              </w:rPr>
            </w:pPr>
            <w:r>
              <w:rPr>
                <w:rFonts w:ascii="Arial" w:cs="Arial" w:eastAsia="Arial" w:hAnsi="Arial"/>
                <w:sz w:val="18"/>
                <w:szCs w:val="18"/>
                <w:b w:val="1"/>
                <w:bCs w:val="1"/>
                <w:color w:val="auto"/>
              </w:rPr>
              <w:t>Position</w:t>
            </w:r>
          </w:p>
        </w:tc>
      </w:tr>
      <w:tr>
        <w:trPr>
          <w:trHeight w:val="217"/>
        </w:trPr>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Aviv Efrat</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shd w:val="clear" w:color="auto" w:fill="CCEEFF"/>
          </w:tcPr>
          <w:p>
            <w:pPr>
              <w:spacing w:after="0"/>
              <w:rPr>
                <w:sz w:val="18"/>
                <w:szCs w:val="18"/>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Financial Officer and Treasurer</w:t>
            </w:r>
          </w:p>
        </w:tc>
      </w:tr>
      <w:tr>
        <w:trPr>
          <w:trHeight w:val="61"/>
        </w:trPr>
        <w:tc>
          <w:tcPr>
            <w:tcW w:w="54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320" w:type="dxa"/>
            <w:vAlign w:val="bottom"/>
            <w:shd w:val="clear" w:color="auto" w:fill="CCEEFF"/>
          </w:tcPr>
          <w:p>
            <w:pPr>
              <w:spacing w:after="0"/>
              <w:rPr>
                <w:sz w:val="5"/>
                <w:szCs w:val="5"/>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Investment Corporation.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82"/>
              </w:rPr>
              <w:t>Age</w:t>
            </w:r>
          </w:p>
        </w:tc>
        <w:tc>
          <w:tcPr>
            <w:tcW w:w="5420" w:type="dxa"/>
            <w:vAlign w:val="bottom"/>
            <w:gridSpan w:val="2"/>
          </w:tcPr>
          <w:p>
            <w:pPr>
              <w:ind w:left="100"/>
              <w:spacing w:after="0"/>
              <w:rPr>
                <w:sz w:val="20"/>
                <w:szCs w:val="20"/>
                <w:color w:val="auto"/>
              </w:rPr>
            </w:pPr>
            <w:r>
              <w:rPr>
                <w:rFonts w:ascii="Arial" w:cs="Arial" w:eastAsia="Arial" w:hAnsi="Arial"/>
                <w:sz w:val="18"/>
                <w:szCs w:val="18"/>
                <w:b w:val="1"/>
                <w:bCs w:val="1"/>
                <w:color w:val="auto"/>
              </w:rPr>
              <w:t>Position</w:t>
            </w:r>
          </w:p>
        </w:tc>
      </w:tr>
      <w:tr>
        <w:trPr>
          <w:trHeight w:val="217"/>
        </w:trPr>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Guy F. Talarico</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8"/>
                <w:szCs w:val="18"/>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Compliance Officer</w:t>
            </w:r>
          </w:p>
        </w:tc>
      </w:tr>
      <w:tr>
        <w:trPr>
          <w:trHeight w:val="61"/>
        </w:trPr>
        <w:tc>
          <w:tcPr>
            <w:tcW w:w="54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320" w:type="dxa"/>
            <w:vAlign w:val="bottom"/>
            <w:shd w:val="clear" w:color="auto" w:fill="CCEEFF"/>
          </w:tcPr>
          <w:p>
            <w:pPr>
              <w:spacing w:after="0"/>
              <w:rPr>
                <w:sz w:val="5"/>
                <w:szCs w:val="5"/>
                <w:color w:val="auto"/>
              </w:rPr>
            </w:pPr>
          </w:p>
        </w:tc>
      </w:tr>
    </w:tbl>
    <w:p>
      <w:pPr>
        <w:spacing w:after="0" w:line="15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address for each director and executive officer is c/o PennantPark Investment Corporation, 590 Madison Avenue, 15th Floor, New York, New York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10022.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90" w:lineRule="exact"/>
        <w:rPr>
          <w:sz w:val="20"/>
          <w:szCs w:val="20"/>
          <w:color w:val="auto"/>
        </w:rPr>
      </w:pPr>
    </w:p>
    <w:p>
      <w:pPr>
        <w:ind w:right="100" w:firstLine="571"/>
        <w:spacing w:after="0" w:line="289" w:lineRule="auto"/>
        <w:rPr>
          <w:sz w:val="20"/>
          <w:szCs w:val="20"/>
          <w:color w:val="auto"/>
        </w:rPr>
      </w:pPr>
      <w:r>
        <w:rPr>
          <w:rFonts w:ascii="Arial" w:cs="Arial" w:eastAsia="Arial" w:hAnsi="Arial"/>
          <w:sz w:val="16"/>
          <w:szCs w:val="16"/>
          <w:color w:val="auto"/>
        </w:rPr>
        <w:t>The 1940 Act requires that at least a majority of our directors not be “interested persons” (as defined in the 1940 Act) of the Company. Currently, four of our five directors are Independent Directors. The Chairman of our board of directors is our Chief Executive Officer and therefore an interested person of us. The Independent Directors believe that the combined position of Chief Executive Officer and Chairman of the board of directors results in greater efficiencies in managing us by eliminating the need to transfer substantial information quickly and repeatedly between the Chief Executive Officer and the Chairman and by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the Administrator, is appropriate in light of the services that the Investment Adviser and the Administrator provide us and the potential conflicts of interest that could arise from these relationships.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90"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The board of directors performs its risk oversight function primarily through (1) its three standing committees, described more fully below, which report to the board of directors and are comprised solely of Independent Directors and (2) monitoring by our Chief Compliance Officer in accordance with our compliance policies and procedures.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described below in more detail under “Audit Committee,” “Nominating and Corporate Governance Committee” and “Compensation Committee,” the board of directors’ Audit Committee, Nominating and Corporate Governance Committee and Compensation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The Compensation Committee’s risk oversight responsibilities include determining, or recommending to the board of directors for determining, the compensation of the Company’s chief executive officer and all other executive officers, paid directly by the Company, if any, and assisting the board of directors with matters related to compensation, as directed by the board of directors. The Audit Committee, Nominating and Corporate Governance Committee and Compensation Committee consist solely of Independent Directors.</w:t>
      </w:r>
    </w:p>
    <w:p>
      <w:pPr>
        <w:spacing w:after="0" w:line="46"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The board of directors also performs its risk oversight responsibilities with the assistance of the Chief Compliance Officer. Our Chief Compliance Officer prepares a written report annually discussing the adequacy and effectiveness of the compliance policies and procedures and certain of its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37"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We believe that the board of directors’ role in risk oversight is effective and appropriate given the extensive regulation to which it is already subject as a BDC. Specifically, as a BDC, we must comply with certain regulatory requirements that control the levels of risk in our business and operations. For example, our ability to incur indebtedness is limited by the asset coverage ratio set forth in the 1940 Act (including any relief thereto provided by the SEC),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35"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believe that the extent of the board of directors’ and its committees’ roles in risk oversight complements the board of directors’ leadership structure. Because they are comprised solely of Independent Directors, the Audit Committee, the Nominating and Corporate Governance Committee and Compensation Committee are able to exercise their oversight responsibilities without any conflict of interest that might discourage critical questioning and review. Through regular executive session meetings with our independent registered public accounting firm,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63"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believe that the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 their respective risk oversight functions, including through formal annual assessments of performance, to ensure that they meet our needs.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various experiences, qualifications, attributes and/or skills that each director possesses and, which the board of directors considered to be an effective director. Our directors have been divided into two groups-interested directors and Independent Directors. Interested directors are “interested persons” as defined in the 1940 Act.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Independent Directors</w:t>
      </w:r>
    </w:p>
    <w:p>
      <w:pPr>
        <w:spacing w:after="0" w:line="15" w:lineRule="exact"/>
        <w:rPr>
          <w:sz w:val="20"/>
          <w:szCs w:val="20"/>
          <w:color w:val="auto"/>
        </w:rPr>
      </w:pPr>
    </w:p>
    <w:p>
      <w:pPr>
        <w:ind w:right="40" w:firstLine="330"/>
        <w:spacing w:after="0" w:line="270" w:lineRule="auto"/>
        <w:rPr>
          <w:sz w:val="20"/>
          <w:szCs w:val="20"/>
          <w:color w:val="auto"/>
        </w:rPr>
      </w:pPr>
      <w:r>
        <w:rPr>
          <w:rFonts w:ascii="Arial" w:cs="Arial" w:eastAsia="Arial" w:hAnsi="Arial"/>
          <w:sz w:val="12"/>
          <w:szCs w:val="12"/>
          <w:color w:val="auto"/>
        </w:rPr>
        <w:t>Adam K. Bernstein (53), Director. Mr. Bernstein became a Director of PennantPark Investment and PennantPark Floating Rate Capital Ltd. in February 2007 and October 2010, respectively.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jc w:val="both"/>
        <w:ind w:right="200" w:firstLine="456"/>
        <w:spacing w:after="0" w:line="230" w:lineRule="auto"/>
        <w:rPr>
          <w:sz w:val="20"/>
          <w:szCs w:val="20"/>
          <w:color w:val="auto"/>
        </w:rPr>
      </w:pPr>
      <w:r>
        <w:rPr>
          <w:rFonts w:ascii="Arial" w:cs="Arial" w:eastAsia="Arial" w:hAnsi="Arial"/>
          <w:sz w:val="14"/>
          <w:szCs w:val="14"/>
          <w:color w:val="auto"/>
        </w:rPr>
        <w:t>Marshall Brozost (49), Director. Mr. Brozost became a Director of PennantPark Investment Corporation and PennantPark Floating Rate Capital Ltd. in February 2007 and October 2010, respectively. Since July 2016, Mr. Brozost has been a Partner at Orrick, Herrington &amp; Sutcliffe LLP, where he practices in the real estate and private equity groups. Prior to Orrick, Herrington &amp; Sutcliffe LLP, Mr. Brozost practiced law at O’Melveny &amp; Myers LLP from 2001 to 2004; Solomon &amp; Weinberg LLP from 2004 to 2005; Dewey &amp; LeBoeuf LLP from 2005 to 2012; Schulte Roth &amp; Zabel, LLP from 2012 to 2016. Mr. Brozost also served as a Vice President of Nomura Asset Capital Corporation from 1997 through 2000.</w:t>
      </w:r>
    </w:p>
    <w:p>
      <w:pPr>
        <w:spacing w:after="0" w:line="4" w:lineRule="exact"/>
        <w:rPr>
          <w:sz w:val="20"/>
          <w:szCs w:val="20"/>
          <w:color w:val="auto"/>
        </w:rPr>
      </w:pPr>
    </w:p>
    <w:p>
      <w:pPr>
        <w:ind w:firstLine="456"/>
        <w:spacing w:after="0" w:line="267" w:lineRule="auto"/>
        <w:rPr>
          <w:sz w:val="20"/>
          <w:szCs w:val="20"/>
          <w:color w:val="auto"/>
        </w:rPr>
      </w:pPr>
      <w:r>
        <w:rPr>
          <w:rFonts w:ascii="Arial" w:cs="Arial" w:eastAsia="Arial" w:hAnsi="Arial"/>
          <w:sz w:val="12"/>
          <w:szCs w:val="12"/>
          <w:color w:val="auto"/>
        </w:rPr>
        <w:t>Jeffrey Flug (54), Director. Mr. Flug became a Director of PennantPark Investment and PennantPark Floating Rate Capital Ltd. in February 2007 and October 2010, respectively. From 2009 to June 2015, Mr. Flug held a variety of senior positions, including, most recently, President, with Union Square Hospitality Group, an exclusive chain of restaurants. Since September 2014, Mr. Flug has served as a director of Shake Shack, Inc.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2"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Samuel L. Katz (51), Director. Mr. Katz became a Director of PennantPark Investment and PennantPark Floating Rate Capital Ltd. in February 2007 and October 2010, respectively. Mr. Katz is the Managing 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Interested Director</w:t>
      </w:r>
    </w:p>
    <w:p>
      <w:pPr>
        <w:spacing w:after="0" w:line="15" w:lineRule="exact"/>
        <w:rPr>
          <w:sz w:val="20"/>
          <w:szCs w:val="20"/>
          <w:color w:val="auto"/>
        </w:rPr>
      </w:pPr>
    </w:p>
    <w:p>
      <w:pPr>
        <w:ind w:right="20" w:firstLine="456"/>
        <w:spacing w:after="0" w:line="265" w:lineRule="auto"/>
        <w:rPr>
          <w:sz w:val="20"/>
          <w:szCs w:val="20"/>
          <w:color w:val="auto"/>
        </w:rPr>
      </w:pPr>
      <w:r>
        <w:rPr>
          <w:rFonts w:ascii="Arial" w:cs="Arial" w:eastAsia="Arial" w:hAnsi="Arial"/>
          <w:sz w:val="12"/>
          <w:szCs w:val="12"/>
          <w:color w:val="auto"/>
        </w:rPr>
        <w:t>Arthur H. Penn (53), Founder, Chief Executive Officer and Chairman of the board of directors. Mr. Penn became the Chief Executive Officer and a Director of PennantPark Investment and PennantPark Floating Rate Capital Ltd. at their inception in 2007 and 2010, respectively. He also founded and became Managing Member of PennantPark Investment Advisers in January 2007. Mr. Penn co-founded Apollo Investment Management in 2004, where he was a Managing Partner from 2004 to 2007.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rPr>
          <w:sz w:val="20"/>
          <w:szCs w:val="20"/>
          <w:color w:val="auto"/>
        </w:rPr>
      </w:pPr>
      <w:r>
        <w:rPr>
          <w:rFonts w:ascii="Arial" w:cs="Arial" w:eastAsia="Arial" w:hAnsi="Arial"/>
          <w:sz w:val="14"/>
          <w:szCs w:val="14"/>
          <w:b w:val="1"/>
          <w:bCs w:val="1"/>
          <w:i w:val="1"/>
          <w:iCs w:val="1"/>
          <w:color w:val="auto"/>
        </w:rPr>
        <w:t>Executive Officer and Officer who are not Directors</w:t>
      </w:r>
    </w:p>
    <w:p>
      <w:pPr>
        <w:spacing w:after="0" w:line="15" w:lineRule="exact"/>
        <w:rPr>
          <w:sz w:val="20"/>
          <w:szCs w:val="20"/>
          <w:color w:val="auto"/>
        </w:rPr>
      </w:pPr>
    </w:p>
    <w:p>
      <w:pPr>
        <w:ind w:right="60" w:firstLine="456"/>
        <w:spacing w:after="0" w:line="270" w:lineRule="auto"/>
        <w:rPr>
          <w:sz w:val="20"/>
          <w:szCs w:val="20"/>
          <w:color w:val="auto"/>
        </w:rPr>
      </w:pPr>
      <w:r>
        <w:rPr>
          <w:rFonts w:ascii="Arial" w:cs="Arial" w:eastAsia="Arial" w:hAnsi="Arial"/>
          <w:sz w:val="12"/>
          <w:szCs w:val="12"/>
          <w:color w:val="auto"/>
        </w:rPr>
        <w:t>Aviv Efrat (52), Chief Financial Officer and Treasurer. Mr. Efrat became Chief Financial Officer and Treasurer of PennantPark Investment and PennantPark Floating Rate Capital Ltd. in February 2007 and October 2010,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ind w:right="200" w:firstLine="456"/>
        <w:spacing w:after="0" w:line="233" w:lineRule="auto"/>
        <w:rPr>
          <w:sz w:val="20"/>
          <w:szCs w:val="20"/>
          <w:color w:val="auto"/>
        </w:rPr>
      </w:pPr>
      <w:r>
        <w:rPr>
          <w:rFonts w:ascii="Arial" w:cs="Arial" w:eastAsia="Arial" w:hAnsi="Arial"/>
          <w:sz w:val="14"/>
          <w:szCs w:val="14"/>
          <w:color w:val="auto"/>
        </w:rPr>
        <w:t>Guy F. Talarico (61), Chief Compliance Officer. Mr. Talarico became Chief Compliance Officer of PennantPark Investment and PennantPark Floating Rate Capital Ltd. in May 2008 and March 2011, respectively. Mr. Talarico has held the position of Chief Compliance Officer for a number of investment advisers, private funds and investment companies from 2004 when he founded Alaric Compliance Services, LLC.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Committees of the Board of Directors</w:t>
      </w:r>
    </w:p>
    <w:p>
      <w:pPr>
        <w:spacing w:after="0" w:line="17"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For the fiscal year ended September 30, 2016, we held five board of directors meetings, four Audit Committee meetings, one Nominating and Corporate Governance Committee meeting and one Compensation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the annual stockholders’ meeting. For the fiscal year ended September 30, 2016, four of the directors attended the annual stockholders’ meeting.</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 xml:space="preserve">The members of the Audit Committee are Messrs. Bernstein, Brozost, Flug and Katz, each of whom is independent for purposes of the 1940 Act and the NASDAQ and NYSE corporate governance rules. Messrs. Flug and Katz serve as Co-Chairmen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our board of directors in fair valuing our portfolio securities that are not publicly traded or for which current market values are not readily available.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63"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 xml:space="preserve">The members of the Nominating and Corporate Governance Committee are Messrs. Bernstein, Brozost, Flug and Katz, each of whom is independent for purposes of the 1940 Act and the NASDAQ and NYSE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p>
    <w:p>
      <w:pPr>
        <w:spacing w:after="0" w:line="37"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our bylaws, the Nominating and Corporate Governance Committee Charter and any applicable law, rule or regulation regarding director nominations. Nominations should be sent to Thomas J. Friedmann, Secretary, c/o PennantPark Investment Corporation,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37"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 and the ability to contribute to our effective management of the Company,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Nominating and Corporate Governance Committee will consider such factors as they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 xml:space="preserve">The Compensation Committee is responsible for determining, or recommending to the board of directors for determining, the compensation of the Company’s chief executive officer and all other executive officers, paid directly by the Company, if any. The Compensation Committee also assists the board of directors with all matters related to compensation, as directed by the board of directors. The current members of the Compensation Committee are Messrs. Bernstein, Brozost, Flug and Katz, each of whom is independent for purposes of the 1940 Act and the NASDAQ corporate governance rules. As discussed below, none of our executive officers is directly compensated by the Company and, as a result, the Compensation Committee does not produce and/or review and report on executive compensation practices. The Compensation Committee Charter is available on the Company’s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90" w:lineRule="exact"/>
        <w:rPr>
          <w:sz w:val="20"/>
          <w:szCs w:val="20"/>
          <w:color w:val="auto"/>
        </w:rPr>
      </w:pPr>
    </w:p>
    <w:p>
      <w:pPr>
        <w:ind w:right="720" w:firstLine="571"/>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2016. No compensation is paid directly by us to any interested director or executive officer of the Company.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4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rPr>
              <w:t>PennantPark Investment Corporation</w:t>
            </w:r>
          </w:p>
        </w:tc>
        <w:tc>
          <w:tcPr>
            <w:tcW w:w="100" w:type="dxa"/>
            <w:vAlign w:val="bottom"/>
          </w:tcPr>
          <w:p>
            <w:pPr>
              <w:spacing w:after="0"/>
              <w:rPr>
                <w:sz w:val="14"/>
                <w:szCs w:val="14"/>
                <w:color w:val="auto"/>
              </w:rPr>
            </w:pPr>
          </w:p>
        </w:tc>
        <w:tc>
          <w:tcPr>
            <w:tcW w:w="2980" w:type="dxa"/>
            <w:vAlign w:val="bottom"/>
            <w:gridSpan w:val="6"/>
          </w:tcPr>
          <w:p>
            <w:pPr>
              <w:ind w:left="240"/>
              <w:spacing w:after="0"/>
              <w:rPr>
                <w:sz w:val="20"/>
                <w:szCs w:val="20"/>
                <w:color w:val="auto"/>
              </w:rPr>
            </w:pPr>
            <w:r>
              <w:rPr>
                <w:rFonts w:ascii="Arial" w:cs="Arial" w:eastAsia="Arial" w:hAnsi="Arial"/>
                <w:sz w:val="14"/>
                <w:szCs w:val="14"/>
                <w:b w:val="1"/>
                <w:bCs w:val="1"/>
                <w:color w:val="auto"/>
              </w:rPr>
              <w:t>PennantPark Floating Rate Capital, Ltd.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Pension or</w:t>
            </w:r>
          </w:p>
        </w:tc>
        <w:tc>
          <w:tcPr>
            <w:tcW w:w="3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2"/>
              </w:rPr>
              <w:t>Pension or</w:t>
            </w:r>
          </w:p>
        </w:tc>
        <w:tc>
          <w:tcPr>
            <w:tcW w:w="3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Aggregate</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retirement</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Aggregate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retirement</w:t>
            </w:r>
          </w:p>
        </w:tc>
        <w:tc>
          <w:tcPr>
            <w:tcW w:w="34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benefits accrued</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benefits accrued</w:t>
            </w:r>
          </w:p>
        </w:tc>
        <w:tc>
          <w:tcPr>
            <w:tcW w:w="340" w:type="dxa"/>
            <w:vAlign w:val="bottom"/>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paid to</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89"/>
              </w:rPr>
              <w:t>from the</w:t>
            </w:r>
          </w:p>
        </w:tc>
        <w:tc>
          <w:tcPr>
            <w:tcW w:w="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as part of our</w:t>
            </w:r>
          </w:p>
        </w:tc>
        <w:tc>
          <w:tcPr>
            <w:tcW w:w="340" w:type="dxa"/>
            <w:vAlign w:val="bottom"/>
          </w:tcPr>
          <w:p>
            <w:pPr>
              <w:spacing w:after="0"/>
              <w:rPr>
                <w:sz w:val="11"/>
                <w:szCs w:val="11"/>
                <w:color w:val="auto"/>
              </w:rPr>
            </w:pPr>
          </w:p>
        </w:tc>
        <w:tc>
          <w:tcPr>
            <w:tcW w:w="1220" w:type="dxa"/>
            <w:vAlign w:val="bottom"/>
            <w:gridSpan w:val="3"/>
          </w:tcPr>
          <w:p>
            <w:pPr>
              <w:jc w:val="right"/>
              <w:ind w:right="420"/>
              <w:spacing w:after="0" w:line="135" w:lineRule="exact"/>
              <w:rPr>
                <w:sz w:val="20"/>
                <w:szCs w:val="20"/>
                <w:color w:val="auto"/>
              </w:rPr>
            </w:pPr>
            <w:r>
              <w:rPr>
                <w:rFonts w:ascii="Arial" w:cs="Arial" w:eastAsia="Arial" w:hAnsi="Arial"/>
                <w:sz w:val="14"/>
                <w:szCs w:val="14"/>
                <w:b w:val="1"/>
                <w:bCs w:val="1"/>
                <w:color w:val="auto"/>
                <w:w w:val="93"/>
              </w:rPr>
              <w:t>Total paid to</w:t>
            </w:r>
          </w:p>
        </w:tc>
        <w:tc>
          <w:tcPr>
            <w:tcW w:w="100" w:type="dxa"/>
            <w:vAlign w:val="bottom"/>
          </w:tcPr>
          <w:p>
            <w:pPr>
              <w:spacing w:after="0"/>
              <w:rPr>
                <w:sz w:val="11"/>
                <w:szCs w:val="11"/>
                <w:color w:val="auto"/>
              </w:rPr>
            </w:pPr>
          </w:p>
        </w:tc>
        <w:tc>
          <w:tcPr>
            <w:tcW w:w="104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85"/>
              </w:rPr>
              <w:t>from the</w:t>
            </w: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as part of our</w:t>
            </w:r>
          </w:p>
        </w:tc>
        <w:tc>
          <w:tcPr>
            <w:tcW w:w="340" w:type="dxa"/>
            <w:vAlign w:val="bottom"/>
          </w:tcPr>
          <w:p>
            <w:pPr>
              <w:spacing w:after="0"/>
              <w:rPr>
                <w:sz w:val="11"/>
                <w:szCs w:val="11"/>
                <w:color w:val="auto"/>
              </w:rPr>
            </w:pPr>
          </w:p>
        </w:tc>
        <w:tc>
          <w:tcPr>
            <w:tcW w:w="64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9"/>
              </w:rPr>
              <w:t>director/</w:t>
            </w:r>
          </w:p>
        </w:tc>
        <w:tc>
          <w:tcPr>
            <w:tcW w:w="0" w:type="dxa"/>
            <w:vAlign w:val="bottom"/>
          </w:tcPr>
          <w:p>
            <w:pPr>
              <w:spacing w:after="0"/>
              <w:rPr>
                <w:sz w:val="1"/>
                <w:szCs w:val="1"/>
                <w:color w:val="auto"/>
              </w:rPr>
            </w:pPr>
          </w:p>
        </w:tc>
      </w:tr>
      <w:tr>
        <w:trPr>
          <w:trHeight w:val="162"/>
        </w:trPr>
        <w:tc>
          <w:tcPr>
            <w:tcW w:w="3180" w:type="dxa"/>
            <w:vAlign w:val="bottom"/>
            <w:gridSpan w:val="6"/>
          </w:tcPr>
          <w:p>
            <w:pPr>
              <w:spacing w:after="0"/>
              <w:rPr>
                <w:sz w:val="20"/>
                <w:szCs w:val="20"/>
                <w:color w:val="auto"/>
              </w:rPr>
            </w:pPr>
            <w:r>
              <w:rPr>
                <w:rFonts w:ascii="Arial" w:cs="Arial" w:eastAsia="Arial" w:hAnsi="Arial"/>
                <w:sz w:val="14"/>
                <w:szCs w:val="14"/>
                <w:b w:val="1"/>
                <w:bCs w:val="1"/>
                <w:color w:val="auto"/>
              </w:rPr>
              <w:t>Name</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Company</w:t>
            </w:r>
          </w:p>
        </w:tc>
        <w:tc>
          <w:tcPr>
            <w:tcW w:w="94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2"/>
              </w:rPr>
              <w:t>expense</w:t>
            </w:r>
            <w:r>
              <w:rPr>
                <w:rFonts w:ascii="Arial" w:cs="Arial" w:eastAsia="Arial" w:hAnsi="Arial"/>
                <w:sz w:val="18"/>
                <w:szCs w:val="18"/>
                <w:b w:val="1"/>
                <w:bCs w:val="1"/>
                <w:color w:val="auto"/>
                <w:w w:val="92"/>
                <w:vertAlign w:val="superscript"/>
              </w:rPr>
              <w:t>(1)</w:t>
            </w:r>
          </w:p>
        </w:tc>
        <w:tc>
          <w:tcPr>
            <w:tcW w:w="3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director/officer</w:t>
            </w:r>
          </w:p>
        </w:tc>
        <w:tc>
          <w:tcPr>
            <w:tcW w:w="10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Company</w:t>
            </w:r>
          </w:p>
        </w:tc>
        <w:tc>
          <w:tcPr>
            <w:tcW w:w="9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2"/>
              </w:rPr>
              <w:t>expense</w:t>
            </w:r>
            <w:r>
              <w:rPr>
                <w:rFonts w:ascii="Arial" w:cs="Arial" w:eastAsia="Arial" w:hAnsi="Arial"/>
                <w:sz w:val="18"/>
                <w:szCs w:val="18"/>
                <w:b w:val="1"/>
                <w:bCs w:val="1"/>
                <w:color w:val="auto"/>
                <w:w w:val="92"/>
                <w:vertAlign w:val="superscript"/>
              </w:rPr>
              <w:t>(1)</w:t>
            </w:r>
          </w:p>
        </w:tc>
        <w:tc>
          <w:tcPr>
            <w:tcW w:w="34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officer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160" w:type="dxa"/>
            <w:vAlign w:val="bottom"/>
            <w:gridSpan w:val="5"/>
            <w:shd w:val="clear" w:color="auto" w:fill="CCEEFF"/>
          </w:tcPr>
          <w:p>
            <w:pPr>
              <w:spacing w:after="0" w:line="149" w:lineRule="exact"/>
              <w:rPr>
                <w:sz w:val="20"/>
                <w:szCs w:val="20"/>
                <w:color w:val="auto"/>
              </w:rPr>
            </w:pPr>
            <w:r>
              <w:rPr>
                <w:rFonts w:ascii="Arial" w:cs="Arial" w:eastAsia="Arial" w:hAnsi="Arial"/>
                <w:sz w:val="16"/>
                <w:szCs w:val="16"/>
                <w:b w:val="1"/>
                <w:bCs w:val="1"/>
                <w:color w:val="auto"/>
              </w:rPr>
              <w:t>Independent directors</w:t>
            </w: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Adam K. Bernstein</w:t>
            </w:r>
          </w:p>
        </w:tc>
        <w:tc>
          <w:tcPr>
            <w:tcW w:w="15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gridSpan w:val="2"/>
          </w:tcPr>
          <w:p>
            <w:pPr>
              <w:ind w:left="152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122,500</w:t>
            </w:r>
          </w:p>
        </w:tc>
        <w:tc>
          <w:tcPr>
            <w:tcW w:w="3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None</w:t>
            </w:r>
          </w:p>
        </w:tc>
        <w:tc>
          <w:tcPr>
            <w:tcW w:w="54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gridSpan w:val="2"/>
          </w:tcPr>
          <w:p>
            <w:pPr>
              <w:jc w:val="right"/>
              <w:ind w:right="340"/>
              <w:spacing w:after="0"/>
              <w:rPr>
                <w:sz w:val="20"/>
                <w:szCs w:val="20"/>
                <w:color w:val="auto"/>
              </w:rPr>
            </w:pPr>
            <w:r>
              <w:rPr>
                <w:rFonts w:ascii="Arial" w:cs="Arial" w:eastAsia="Arial" w:hAnsi="Arial"/>
                <w:sz w:val="18"/>
                <w:szCs w:val="18"/>
                <w:color w:val="auto"/>
              </w:rPr>
              <w:t>122,500</w:t>
            </w: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CEEFF"/>
            </w:tcBorders>
            <w:gridSpan w:val="2"/>
          </w:tcPr>
          <w:p>
            <w:pPr>
              <w:jc w:val="right"/>
              <w:ind w:right="340"/>
              <w:spacing w:after="0"/>
              <w:rPr>
                <w:sz w:val="20"/>
                <w:szCs w:val="20"/>
                <w:color w:val="auto"/>
              </w:rPr>
            </w:pPr>
            <w:r>
              <w:rPr>
                <w:rFonts w:ascii="Arial" w:cs="Arial" w:eastAsia="Arial" w:hAnsi="Arial"/>
                <w:sz w:val="18"/>
                <w:szCs w:val="18"/>
                <w:color w:val="auto"/>
              </w:rPr>
              <w:t>61,250</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None</w:t>
            </w:r>
          </w:p>
        </w:tc>
        <w:tc>
          <w:tcPr>
            <w:tcW w:w="980" w:type="dxa"/>
            <w:vAlign w:val="bottom"/>
            <w:tcBorders>
              <w:top w:val="single" w:sz="8" w:color="CCEEFF"/>
            </w:tcBorders>
            <w:gridSpan w:val="3"/>
          </w:tcPr>
          <w:p>
            <w:pPr>
              <w:jc w:val="center"/>
              <w:ind w:left="192"/>
              <w:spacing w:after="0"/>
              <w:rPr>
                <w:sz w:val="20"/>
                <w:szCs w:val="20"/>
                <w:color w:val="auto"/>
              </w:rPr>
            </w:pPr>
            <w:r>
              <w:rPr>
                <w:rFonts w:ascii="Arial" w:cs="Arial" w:eastAsia="Arial" w:hAnsi="Arial"/>
                <w:sz w:val="18"/>
                <w:szCs w:val="18"/>
                <w:color w:val="auto"/>
                <w:w w:val="89"/>
              </w:rPr>
              <w:t>$61,250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162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122,500</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61,250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980" w:type="dxa"/>
            <w:vAlign w:val="bottom"/>
            <w:gridSpan w:val="3"/>
            <w:shd w:val="clear" w:color="auto" w:fill="CCEEFF"/>
          </w:tcPr>
          <w:p>
            <w:pPr>
              <w:jc w:val="center"/>
              <w:ind w:left="192"/>
              <w:spacing w:after="0"/>
              <w:rPr>
                <w:sz w:val="20"/>
                <w:szCs w:val="20"/>
                <w:color w:val="auto"/>
              </w:rPr>
            </w:pPr>
            <w:r>
              <w:rPr>
                <w:rFonts w:ascii="Arial" w:cs="Arial" w:eastAsia="Arial" w:hAnsi="Arial"/>
                <w:sz w:val="18"/>
                <w:szCs w:val="18"/>
                <w:color w:val="auto"/>
                <w:w w:val="89"/>
              </w:rPr>
              <w:t>$61,250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5"/>
          </w:tcPr>
          <w:p>
            <w:pPr>
              <w:spacing w:after="0"/>
              <w:rPr>
                <w:sz w:val="20"/>
                <w:szCs w:val="20"/>
                <w:color w:val="auto"/>
              </w:rPr>
            </w:pPr>
            <w:r>
              <w:rPr>
                <w:rFonts w:ascii="Arial" w:cs="Arial" w:eastAsia="Arial" w:hAnsi="Arial"/>
                <w:sz w:val="18"/>
                <w:szCs w:val="18"/>
                <w:color w:val="auto"/>
              </w:rPr>
              <w:t>Jeffrey Flug</w:t>
            </w:r>
          </w:p>
        </w:tc>
        <w:tc>
          <w:tcPr>
            <w:tcW w:w="1620" w:type="dxa"/>
            <w:vAlign w:val="bottom"/>
            <w:gridSpan w:val="2"/>
          </w:tcPr>
          <w:p>
            <w:pPr>
              <w:ind w:left="15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132,500</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None</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132,500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63,750</w:t>
            </w:r>
          </w:p>
        </w:tc>
        <w:tc>
          <w:tcPr>
            <w:tcW w:w="960" w:type="dxa"/>
            <w:vAlign w:val="bottom"/>
          </w:tcPr>
          <w:p>
            <w:pPr>
              <w:jc w:val="right"/>
              <w:spacing w:after="0"/>
              <w:rPr>
                <w:sz w:val="20"/>
                <w:szCs w:val="20"/>
                <w:color w:val="auto"/>
              </w:rPr>
            </w:pPr>
            <w:r>
              <w:rPr>
                <w:rFonts w:ascii="Arial" w:cs="Arial" w:eastAsia="Arial" w:hAnsi="Arial"/>
                <w:sz w:val="18"/>
                <w:szCs w:val="18"/>
                <w:color w:val="auto"/>
              </w:rPr>
              <w:t>None</w:t>
            </w:r>
          </w:p>
        </w:tc>
        <w:tc>
          <w:tcPr>
            <w:tcW w:w="980" w:type="dxa"/>
            <w:vAlign w:val="bottom"/>
            <w:gridSpan w:val="3"/>
          </w:tcPr>
          <w:p>
            <w:pPr>
              <w:jc w:val="center"/>
              <w:ind w:left="192"/>
              <w:spacing w:after="0"/>
              <w:rPr>
                <w:sz w:val="20"/>
                <w:szCs w:val="20"/>
                <w:color w:val="auto"/>
              </w:rPr>
            </w:pPr>
            <w:r>
              <w:rPr>
                <w:rFonts w:ascii="Arial" w:cs="Arial" w:eastAsia="Arial" w:hAnsi="Arial"/>
                <w:sz w:val="18"/>
                <w:szCs w:val="18"/>
                <w:color w:val="auto"/>
                <w:w w:val="89"/>
              </w:rPr>
              <w:t>$63,750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Samuel L. Katz</w:t>
            </w:r>
          </w:p>
        </w:tc>
        <w:tc>
          <w:tcPr>
            <w:tcW w:w="162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132,500</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63,750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980" w:type="dxa"/>
            <w:vAlign w:val="bottom"/>
            <w:gridSpan w:val="3"/>
            <w:shd w:val="clear" w:color="auto" w:fill="CCEEFF"/>
          </w:tcPr>
          <w:p>
            <w:pPr>
              <w:jc w:val="center"/>
              <w:ind w:left="192"/>
              <w:spacing w:after="0"/>
              <w:rPr>
                <w:sz w:val="20"/>
                <w:szCs w:val="20"/>
                <w:color w:val="auto"/>
              </w:rPr>
            </w:pPr>
            <w:r>
              <w:rPr>
                <w:rFonts w:ascii="Arial" w:cs="Arial" w:eastAsia="Arial" w:hAnsi="Arial"/>
                <w:sz w:val="18"/>
                <w:szCs w:val="18"/>
                <w:color w:val="auto"/>
                <w:w w:val="89"/>
              </w:rPr>
              <w:t>$63,750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Interested director</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Arthur H. Penn</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None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None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None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None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Executive officer</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Aviv Efrat</w:t>
            </w:r>
            <w:r>
              <w:rPr>
                <w:rFonts w:ascii="Arial" w:cs="Arial" w:eastAsia="Arial" w:hAnsi="Arial"/>
                <w:sz w:val="11"/>
                <w:szCs w:val="11"/>
                <w:color w:val="auto"/>
              </w:rPr>
              <w:t>(2)</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None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None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None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None</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220" w:hanging="212"/>
        <w:spacing w:after="0"/>
        <w:tabs>
          <w:tab w:leader="none" w:pos="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We do not have a profit sharing or retirement plan, and directors do not receive any pension or retirement benefits from us.</w:t>
      </w:r>
    </w:p>
    <w:p>
      <w:pPr>
        <w:ind w:left="180" w:hanging="172"/>
        <w:spacing w:after="0"/>
        <w:tabs>
          <w:tab w:leader="none" w:pos="1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Mr. Efrat is an employee of the Administrator.</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Independent Director receives an annual payment of $110,000 for services performed on behalf of us as a director. The Independent Directors also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receive $2,500 plus reimbursement of reasonable out-of-pocket expenses incurred in connection with attending each board of directors meeting and receive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$1,000 plus reimbursement of reasonable out-of-pocket expenses incurred in connection with attending each committee meeting (unless combined with a board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directors meeting). In addition, each Co-Chairman of the Audit Committee receives an annual fee of $12,500 and each Co-Chairman of any other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receives an annual fee of $2,500 for his additional services in these capacities. Also, we have purchased directors’ and officers’ liability insurance 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directors and officers and indemnify such persons against certain losses. Independent Directors have the option to receive their directors’ fees paid in shares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of our common stock issued at a price per share equal to the greater of NAV or the market price at the time of payment. No compensation is expected to be paid to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directors who are “interested persons” (as defined in the 1940 Act).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90"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Our Investment Adviser has three experienced senior investment professionals in addition to Mr. Penn.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18" w:lineRule="exact"/>
        <w:rPr>
          <w:sz w:val="20"/>
          <w:szCs w:val="20"/>
          <w:color w:val="auto"/>
        </w:rPr>
      </w:pPr>
    </w:p>
    <w:p>
      <w:pPr>
        <w:ind w:right="200" w:firstLine="571"/>
        <w:spacing w:after="0" w:line="298" w:lineRule="auto"/>
        <w:rPr>
          <w:sz w:val="20"/>
          <w:szCs w:val="20"/>
          <w:color w:val="auto"/>
        </w:rPr>
      </w:pPr>
      <w:r>
        <w:rPr>
          <w:rFonts w:ascii="Arial" w:cs="Arial" w:eastAsia="Arial" w:hAnsi="Arial"/>
          <w:sz w:val="16"/>
          <w:szCs w:val="16"/>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13"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43" w:lineRule="exact"/>
        <w:rPr>
          <w:sz w:val="20"/>
          <w:szCs w:val="20"/>
          <w:color w:val="auto"/>
        </w:rPr>
      </w:pPr>
    </w:p>
    <w:p>
      <w:pPr>
        <w:jc w:val="both"/>
        <w:ind w:right="260" w:firstLine="571"/>
        <w:spacing w:after="0" w:line="306" w:lineRule="auto"/>
        <w:rPr>
          <w:sz w:val="20"/>
          <w:szCs w:val="20"/>
          <w:color w:val="auto"/>
        </w:rPr>
      </w:pPr>
      <w:r>
        <w:rPr>
          <w:rFonts w:ascii="Arial" w:cs="Arial" w:eastAsia="Arial" w:hAnsi="Arial"/>
          <w:sz w:val="16"/>
          <w:szCs w:val="16"/>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In addition to managing our investments, as of September 30, 2016, our portfolio managers also managed investments on behalf of the following entities:</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0"/>
        <w:spacing w:after="0"/>
        <w:tabs>
          <w:tab w:leader="none" w:pos="2740" w:val="left"/>
          <w:tab w:leader="none" w:pos="444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Entity</w:t>
      </w:r>
      <w:r>
        <w:rPr>
          <w:sz w:val="20"/>
          <w:szCs w:val="20"/>
          <w:color w:val="auto"/>
        </w:rPr>
        <w:tab/>
      </w:r>
      <w:r>
        <w:rPr>
          <w:rFonts w:ascii="Arial" w:cs="Arial" w:eastAsia="Arial" w:hAnsi="Arial"/>
          <w:sz w:val="15"/>
          <w:szCs w:val="15"/>
          <w:b w:val="1"/>
          <w:bCs w:val="1"/>
          <w:color w:val="auto"/>
        </w:rPr>
        <w:t>Investment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291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Gross Assets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w:t>
      </w:r>
    </w:p>
    <w:p>
      <w:pPr>
        <w:spacing w:after="0" w:line="9" w:lineRule="exact"/>
        <w:rPr>
          <w:sz w:val="20"/>
          <w:szCs w:val="20"/>
          <w:color w:val="auto"/>
        </w:rPr>
      </w:pPr>
    </w:p>
    <w:p>
      <w:pPr>
        <w:sectPr>
          <w:pgSz w:w="11900" w:h="16838" w:orient="portrait"/>
          <w:cols w:equalWidth="0" w:num="2">
            <w:col w:w="9620" w:space="720"/>
            <w:col w:w="1040"/>
          </w:cols>
          <w:pgMar w:left="240" w:top="459" w:right="27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2620" w:type="dxa"/>
            <w:vAlign w:val="bottom"/>
            <w:tcBorders>
              <w:top w:val="single" w:sz="8" w:color="auto"/>
            </w:tcBorders>
          </w:tcPr>
          <w:p>
            <w:pPr>
              <w:ind w:left="60"/>
              <w:spacing w:after="0" w:line="203" w:lineRule="exact"/>
              <w:rPr>
                <w:sz w:val="20"/>
                <w:szCs w:val="20"/>
                <w:color w:val="auto"/>
              </w:rPr>
            </w:pPr>
            <w:r>
              <w:rPr>
                <w:rFonts w:ascii="Arial" w:cs="Arial" w:eastAsia="Arial" w:hAnsi="Arial"/>
                <w:sz w:val="18"/>
                <w:szCs w:val="18"/>
                <w:color w:val="auto"/>
                <w:w w:val="91"/>
              </w:rPr>
              <w:t>PennantPark Floating Rate Capital</w:t>
            </w:r>
          </w:p>
        </w:tc>
        <w:tc>
          <w:tcPr>
            <w:tcW w:w="80" w:type="dxa"/>
            <w:vAlign w:val="bottom"/>
          </w:tcPr>
          <w:p>
            <w:pPr>
              <w:spacing w:after="0"/>
              <w:rPr>
                <w:sz w:val="17"/>
                <w:szCs w:val="17"/>
                <w:color w:val="auto"/>
              </w:rPr>
            </w:pPr>
          </w:p>
        </w:tc>
        <w:tc>
          <w:tcPr>
            <w:tcW w:w="1620" w:type="dxa"/>
            <w:vAlign w:val="bottom"/>
            <w:tcBorders>
              <w:top w:val="single" w:sz="8" w:color="auto"/>
            </w:tcBorders>
          </w:tcPr>
          <w:p>
            <w:pPr>
              <w:ind w:left="60"/>
              <w:spacing w:after="0" w:line="203" w:lineRule="exact"/>
              <w:rPr>
                <w:sz w:val="20"/>
                <w:szCs w:val="20"/>
                <w:color w:val="auto"/>
              </w:rPr>
            </w:pPr>
            <w:r>
              <w:rPr>
                <w:rFonts w:ascii="Arial" w:cs="Arial" w:eastAsia="Arial" w:hAnsi="Arial"/>
                <w:sz w:val="18"/>
                <w:szCs w:val="18"/>
                <w:color w:val="auto"/>
                <w:w w:val="85"/>
              </w:rPr>
              <w:t>Business development</w:t>
            </w:r>
          </w:p>
        </w:tc>
      </w:tr>
      <w:tr>
        <w:trPr>
          <w:trHeight w:val="230"/>
        </w:trPr>
        <w:tc>
          <w:tcPr>
            <w:tcW w:w="2700" w:type="dxa"/>
            <w:vAlign w:val="bottom"/>
            <w:gridSpan w:val="2"/>
          </w:tcPr>
          <w:p>
            <w:pPr>
              <w:ind w:left="220"/>
              <w:spacing w:after="0"/>
              <w:rPr>
                <w:sz w:val="20"/>
                <w:szCs w:val="20"/>
                <w:color w:val="auto"/>
              </w:rPr>
            </w:pPr>
            <w:r>
              <w:rPr>
                <w:rFonts w:ascii="Arial" w:cs="Arial" w:eastAsia="Arial" w:hAnsi="Arial"/>
                <w:sz w:val="18"/>
                <w:szCs w:val="18"/>
                <w:color w:val="auto"/>
              </w:rPr>
              <w:t>Ltd.</w:t>
            </w:r>
          </w:p>
        </w:tc>
        <w:tc>
          <w:tcPr>
            <w:tcW w:w="1620" w:type="dxa"/>
            <w:vAlign w:val="bottom"/>
          </w:tcPr>
          <w:p>
            <w:pPr>
              <w:ind w:left="60"/>
              <w:spacing w:after="0"/>
              <w:rPr>
                <w:sz w:val="20"/>
                <w:szCs w:val="20"/>
                <w:color w:val="auto"/>
              </w:rPr>
            </w:pPr>
            <w:r>
              <w:rPr>
                <w:rFonts w:ascii="Arial" w:cs="Arial" w:eastAsia="Arial" w:hAnsi="Arial"/>
                <w:sz w:val="18"/>
                <w:szCs w:val="18"/>
                <w:color w:val="auto"/>
              </w:rPr>
              <w:t>company</w:t>
            </w: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ind w:left="60"/>
              <w:spacing w:after="0"/>
              <w:rPr>
                <w:sz w:val="20"/>
                <w:szCs w:val="20"/>
                <w:color w:val="auto"/>
              </w:rPr>
            </w:pPr>
            <w:r>
              <w:rPr>
                <w:rFonts w:ascii="Arial" w:cs="Arial" w:eastAsia="Arial" w:hAnsi="Arial"/>
                <w:sz w:val="18"/>
                <w:szCs w:val="18"/>
                <w:color w:val="auto"/>
              </w:rPr>
              <w:t>Direct Lending</w:t>
            </w:r>
          </w:p>
        </w:tc>
      </w:tr>
      <w:tr>
        <w:trPr>
          <w:trHeight w:val="236"/>
        </w:trPr>
        <w:tc>
          <w:tcPr>
            <w:tcW w:w="2700" w:type="dxa"/>
            <w:vAlign w:val="bottom"/>
            <w:gridSpan w:val="2"/>
          </w:tcPr>
          <w:p>
            <w:pPr>
              <w:ind w:left="60"/>
              <w:spacing w:after="0"/>
              <w:rPr>
                <w:sz w:val="20"/>
                <w:szCs w:val="20"/>
                <w:color w:val="auto"/>
              </w:rPr>
            </w:pPr>
            <w:r>
              <w:rPr>
                <w:rFonts w:ascii="Arial" w:cs="Arial" w:eastAsia="Arial" w:hAnsi="Arial"/>
                <w:sz w:val="18"/>
                <w:szCs w:val="18"/>
                <w:color w:val="auto"/>
              </w:rPr>
              <w:t>Other Managed Fund</w:t>
            </w:r>
          </w:p>
        </w:tc>
        <w:tc>
          <w:tcPr>
            <w:tcW w:w="1620" w:type="dxa"/>
            <w:vAlign w:val="bottom"/>
          </w:tcPr>
          <w:p>
            <w:pPr>
              <w:ind w:left="60"/>
              <w:spacing w:after="0"/>
              <w:rPr>
                <w:sz w:val="20"/>
                <w:szCs w:val="20"/>
                <w:color w:val="auto"/>
              </w:rPr>
            </w:pPr>
            <w:r>
              <w:rPr>
                <w:rFonts w:ascii="Arial" w:cs="Arial" w:eastAsia="Arial" w:hAnsi="Arial"/>
                <w:sz w:val="18"/>
                <w:szCs w:val="18"/>
                <w:color w:val="auto"/>
              </w:rPr>
              <w:t>Fund</w:t>
            </w:r>
          </w:p>
        </w:tc>
      </w:tr>
    </w:tbl>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600" w:firstLine="44"/>
        <w:spacing w:after="0" w:line="268" w:lineRule="auto"/>
        <w:rPr>
          <w:sz w:val="20"/>
          <w:szCs w:val="20"/>
          <w:color w:val="auto"/>
        </w:rPr>
      </w:pPr>
      <w:r>
        <w:rPr>
          <w:rFonts w:ascii="Arial" w:cs="Arial" w:eastAsia="Arial" w:hAnsi="Arial"/>
          <w:sz w:val="18"/>
          <w:szCs w:val="18"/>
          <w:color w:val="auto"/>
        </w:rPr>
        <w:t>Primarily floating rate loans, with an emphasis on senior secured loans, in middle-market leveraged companies.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Other credit opportunities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$631</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$ 70</w:t>
      </w:r>
    </w:p>
    <w:p>
      <w:pPr>
        <w:spacing w:after="0" w:line="171" w:lineRule="exact"/>
        <w:rPr>
          <w:sz w:val="20"/>
          <w:szCs w:val="20"/>
          <w:color w:val="auto"/>
        </w:rPr>
      </w:pPr>
    </w:p>
    <w:p>
      <w:pPr>
        <w:sectPr>
          <w:pgSz w:w="11900" w:h="16838" w:orient="portrait"/>
          <w:cols w:equalWidth="0" w:num="3">
            <w:col w:w="4320" w:space="100"/>
            <w:col w:w="5880" w:space="720"/>
            <w:col w:w="360"/>
          </w:cols>
          <w:pgMar w:left="240" w:top="459" w:right="279" w:bottom="1440" w:gutter="0" w:footer="0" w:header="0"/>
          <w:type w:val="continuous"/>
        </w:sectPr>
      </w:pPr>
    </w:p>
    <w:p>
      <w:pPr>
        <w:ind w:right="200"/>
        <w:spacing w:after="0" w:line="268" w:lineRule="auto"/>
        <w:rPr>
          <w:sz w:val="20"/>
          <w:szCs w:val="20"/>
          <w:color w:val="auto"/>
        </w:rPr>
      </w:pPr>
      <w:r>
        <w:rPr>
          <w:rFonts w:ascii="Arial" w:cs="Arial" w:eastAsia="Arial" w:hAnsi="Arial"/>
          <w:sz w:val="18"/>
          <w:szCs w:val="18"/>
          <w:color w:val="auto"/>
        </w:rPr>
        <w:t>The management and incentive fees payable by PennantPark Floating Rate Capital Ltd. are based on the gross assets and performance of PennantPark Floating Rate Capital Ltd., respectively.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As of April 20, 2017, to our knowledge, no person would be deemed to “control” us, as such term is defined in the 1940 Act. Our board of directors consists of an interested director and Independent Directors.</w:t>
      </w:r>
    </w:p>
    <w:p>
      <w:pPr>
        <w:spacing w:after="0" w:line="132" w:lineRule="exact"/>
        <w:rPr>
          <w:sz w:val="20"/>
          <w:szCs w:val="20"/>
          <w:color w:val="auto"/>
        </w:rPr>
      </w:pPr>
    </w:p>
    <w:p>
      <w:pPr>
        <w:ind w:right="260" w:firstLine="571"/>
        <w:spacing w:after="0" w:line="332" w:lineRule="auto"/>
        <w:rPr>
          <w:sz w:val="20"/>
          <w:szCs w:val="20"/>
          <w:color w:val="auto"/>
        </w:rPr>
      </w:pPr>
      <w:r>
        <w:rPr>
          <w:rFonts w:ascii="Arial" w:cs="Arial" w:eastAsia="Arial" w:hAnsi="Arial"/>
          <w:sz w:val="16"/>
          <w:szCs w:val="16"/>
          <w:color w:val="auto"/>
        </w:rPr>
        <w:t>The following table sets forth, as of April 20, 2017,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4"/>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of Common</w:t>
            </w:r>
          </w:p>
        </w:tc>
        <w:tc>
          <w:tcPr>
            <w:tcW w:w="0" w:type="dxa"/>
            <w:vAlign w:val="bottom"/>
          </w:tcPr>
          <w:p>
            <w:pPr>
              <w:spacing w:after="0"/>
              <w:rPr>
                <w:sz w:val="1"/>
                <w:szCs w:val="1"/>
                <w:color w:val="auto"/>
              </w:rPr>
            </w:pPr>
          </w:p>
        </w:tc>
      </w:tr>
      <w:tr>
        <w:trPr>
          <w:trHeight w:val="216"/>
        </w:trPr>
        <w:tc>
          <w:tcPr>
            <w:tcW w:w="7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Name and Address</w:t>
            </w:r>
            <w:r>
              <w:rPr>
                <w:rFonts w:ascii="Arial" w:cs="Arial" w:eastAsia="Arial" w:hAnsi="Arial"/>
                <w:sz w:val="11"/>
                <w:szCs w:val="11"/>
                <w:b w:val="1"/>
                <w:bCs w:val="1"/>
                <w:color w:val="auto"/>
              </w:rPr>
              <w:t>(1)</w:t>
            </w:r>
          </w:p>
        </w:tc>
        <w:tc>
          <w:tcPr>
            <w:tcW w:w="21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Type of Ownership</w:t>
            </w:r>
            <w:r>
              <w:rPr>
                <w:rFonts w:ascii="Arial" w:cs="Arial" w:eastAsia="Arial" w:hAnsi="Arial"/>
                <w:sz w:val="11"/>
                <w:szCs w:val="11"/>
                <w:b w:val="1"/>
                <w:bCs w:val="1"/>
                <w:color w:val="auto"/>
              </w:rPr>
              <w:t>(3)</w:t>
            </w:r>
          </w:p>
        </w:tc>
        <w:tc>
          <w:tcPr>
            <w:tcW w:w="760" w:type="dxa"/>
            <w:vAlign w:val="bottom"/>
          </w:tcPr>
          <w:p>
            <w:pPr>
              <w:jc w:val="right"/>
              <w:ind w:right="32"/>
              <w:spacing w:after="0"/>
              <w:rPr>
                <w:sz w:val="20"/>
                <w:szCs w:val="20"/>
                <w:color w:val="auto"/>
              </w:rPr>
            </w:pPr>
            <w:r>
              <w:rPr>
                <w:rFonts w:ascii="Arial" w:cs="Arial" w:eastAsia="Arial" w:hAnsi="Arial"/>
                <w:sz w:val="18"/>
                <w:szCs w:val="18"/>
                <w:b w:val="1"/>
                <w:bCs w:val="1"/>
                <w:color w:val="auto"/>
              </w:rPr>
              <w:t>Shares</w:t>
            </w:r>
          </w:p>
        </w:tc>
        <w:tc>
          <w:tcPr>
            <w:tcW w:w="380" w:type="dxa"/>
            <w:vAlign w:val="bottom"/>
          </w:tcPr>
          <w:p>
            <w:pPr>
              <w:spacing w:after="0"/>
              <w:rPr>
                <w:sz w:val="18"/>
                <w:szCs w:val="18"/>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5"/>
              </w:rPr>
              <w:t>Stock</w:t>
            </w:r>
          </w:p>
        </w:tc>
        <w:tc>
          <w:tcPr>
            <w:tcW w:w="0" w:type="dxa"/>
            <w:vAlign w:val="bottom"/>
          </w:tcPr>
          <w:p>
            <w:pPr>
              <w:spacing w:after="0"/>
              <w:rPr>
                <w:sz w:val="1"/>
                <w:szCs w:val="1"/>
                <w:color w:val="auto"/>
              </w:rPr>
            </w:pPr>
          </w:p>
        </w:tc>
      </w:tr>
      <w:tr>
        <w:trPr>
          <w:trHeight w:val="224"/>
        </w:trPr>
        <w:tc>
          <w:tcPr>
            <w:tcW w:w="7160" w:type="dxa"/>
            <w:vAlign w:val="bottom"/>
            <w:gridSpan w:val="3"/>
            <w:vMerge w:val="continue"/>
          </w:tcPr>
          <w:p>
            <w:pPr>
              <w:spacing w:after="0"/>
              <w:rPr>
                <w:sz w:val="19"/>
                <w:szCs w:val="19"/>
                <w:color w:val="auto"/>
              </w:rPr>
            </w:pPr>
          </w:p>
        </w:tc>
        <w:tc>
          <w:tcPr>
            <w:tcW w:w="2120" w:type="dxa"/>
            <w:vAlign w:val="bottom"/>
            <w:gridSpan w:val="2"/>
            <w:vMerge w:val="continue"/>
          </w:tcPr>
          <w:p>
            <w:pPr>
              <w:spacing w:after="0"/>
              <w:rPr>
                <w:sz w:val="19"/>
                <w:szCs w:val="19"/>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Owned</w:t>
            </w:r>
          </w:p>
        </w:tc>
        <w:tc>
          <w:tcPr>
            <w:tcW w:w="380" w:type="dxa"/>
            <w:vAlign w:val="bottom"/>
          </w:tcPr>
          <w:p>
            <w:pPr>
              <w:spacing w:after="0"/>
              <w:rPr>
                <w:sz w:val="19"/>
                <w:szCs w:val="19"/>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Outstanding</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560" w:type="dxa"/>
            <w:vAlign w:val="bottom"/>
            <w:tcBorders>
              <w:top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18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Adam K. Bernstein</w:t>
            </w:r>
          </w:p>
        </w:tc>
        <w:tc>
          <w:tcPr>
            <w:tcW w:w="2120" w:type="dxa"/>
            <w:vAlign w:val="bottom"/>
            <w:gridSpan w:val="2"/>
          </w:tcPr>
          <w:p>
            <w:pPr>
              <w:spacing w:after="0"/>
              <w:rPr>
                <w:sz w:val="20"/>
                <w:szCs w:val="20"/>
                <w:color w:val="auto"/>
              </w:rPr>
            </w:pPr>
            <w:r>
              <w:rPr>
                <w:rFonts w:ascii="Arial" w:cs="Arial" w:eastAsia="Arial" w:hAnsi="Arial"/>
                <w:sz w:val="18"/>
                <w:szCs w:val="18"/>
                <w:color w:val="auto"/>
              </w:rPr>
              <w:t>Record/Beneficial</w:t>
            </w:r>
          </w:p>
        </w:tc>
        <w:tc>
          <w:tcPr>
            <w:tcW w:w="760" w:type="dxa"/>
            <w:vAlign w:val="bottom"/>
          </w:tcPr>
          <w:p>
            <w:pPr>
              <w:jc w:val="right"/>
              <w:spacing w:after="0"/>
              <w:rPr>
                <w:sz w:val="20"/>
                <w:szCs w:val="20"/>
                <w:color w:val="auto"/>
              </w:rPr>
            </w:pPr>
            <w:r>
              <w:rPr>
                <w:rFonts w:ascii="Arial" w:cs="Arial" w:eastAsia="Arial" w:hAnsi="Arial"/>
                <w:sz w:val="18"/>
                <w:szCs w:val="18"/>
                <w:color w:val="auto"/>
              </w:rPr>
              <w:t>46,430</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Marshall Brozost</w:t>
            </w: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21,169</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Jeffrey Flug</w:t>
            </w:r>
          </w:p>
        </w:tc>
        <w:tc>
          <w:tcPr>
            <w:tcW w:w="2120" w:type="dxa"/>
            <w:vAlign w:val="bottom"/>
            <w:gridSpan w:val="2"/>
          </w:tcPr>
          <w:p>
            <w:pPr>
              <w:spacing w:after="0"/>
              <w:rPr>
                <w:sz w:val="20"/>
                <w:szCs w:val="20"/>
                <w:color w:val="auto"/>
              </w:rPr>
            </w:pPr>
            <w:r>
              <w:rPr>
                <w:rFonts w:ascii="Arial" w:cs="Arial" w:eastAsia="Arial" w:hAnsi="Arial"/>
                <w:sz w:val="18"/>
                <w:szCs w:val="18"/>
                <w:color w:val="auto"/>
              </w:rPr>
              <w:t>Record/Beneficial</w:t>
            </w:r>
          </w:p>
        </w:tc>
        <w:tc>
          <w:tcPr>
            <w:tcW w:w="760" w:type="dxa"/>
            <w:vAlign w:val="bottom"/>
          </w:tcPr>
          <w:p>
            <w:pPr>
              <w:jc w:val="right"/>
              <w:spacing w:after="0"/>
              <w:rPr>
                <w:sz w:val="20"/>
                <w:szCs w:val="20"/>
                <w:color w:val="auto"/>
              </w:rPr>
            </w:pPr>
            <w:r>
              <w:rPr>
                <w:rFonts w:ascii="Arial" w:cs="Arial" w:eastAsia="Arial" w:hAnsi="Arial"/>
                <w:sz w:val="18"/>
                <w:szCs w:val="18"/>
                <w:color w:val="auto"/>
              </w:rPr>
              <w:t>320,560</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Samuel L. Katz</w:t>
            </w: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189,291</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(2)</w:t>
            </w: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663,323</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Aviv Efrat</w:t>
            </w: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96,102</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160" w:type="dxa"/>
            <w:vAlign w:val="bottom"/>
            <w:gridSpan w:val="3"/>
            <w:vMerge w:val="continue"/>
          </w:tcPr>
          <w:p>
            <w:pPr>
              <w:spacing w:after="0"/>
              <w:rPr>
                <w:sz w:val="19"/>
                <w:szCs w:val="19"/>
                <w:color w:val="auto"/>
              </w:rPr>
            </w:pP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1,336,875</w:t>
            </w:r>
          </w:p>
        </w:tc>
        <w:tc>
          <w:tcPr>
            <w:tcW w:w="3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20" w:hanging="412"/>
        <w:spacing w:after="0"/>
        <w:tabs>
          <w:tab w:leader="none" w:pos="4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address for each officer and director is c/o PennantPark Investment Corporation, 590 Madison Avenue, 15th Floor, New York, New York 10022.</w:t>
      </w:r>
    </w:p>
    <w:p>
      <w:pPr>
        <w:ind w:left="420" w:right="460" w:hanging="412"/>
        <w:spacing w:after="0" w:line="221" w:lineRule="auto"/>
        <w:tabs>
          <w:tab w:leader="none" w:pos="4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Mr. Penn is the Managing Member of the Investment Adviser and may therefore be deemed to own beneficially the 469,923 shares of PennantPark Investment Corporation held by the Investment Adviser.</w:t>
      </w:r>
    </w:p>
    <w:p>
      <w:pPr>
        <w:ind w:left="420" w:hanging="412"/>
        <w:spacing w:after="0" w:line="221" w:lineRule="auto"/>
        <w:tabs>
          <w:tab w:leader="none" w:pos="4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Sole voting power.</w:t>
      </w:r>
    </w:p>
    <w:p>
      <w:pPr>
        <w:ind w:left="420" w:hanging="412"/>
        <w:spacing w:after="0"/>
        <w:tabs>
          <w:tab w:leader="none" w:pos="4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Less than 1 percent.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and Senior Investment Professionals</w:t>
      </w:r>
    </w:p>
    <w:p>
      <w:pPr>
        <w:spacing w:after="0" w:line="171"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and senior investment professionals as of December 31, 2016. Information as to the beneficial ownerships is based on information furnished to us by such persons. We are not part of a “family of investment companies,” as that term is defined in the 1940 Act.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Directors</w:t>
            </w:r>
          </w:p>
        </w:tc>
        <w:tc>
          <w:tcPr>
            <w:tcW w:w="4980" w:type="dxa"/>
            <w:vAlign w:val="bottom"/>
            <w:gridSpan w:val="5"/>
          </w:tcPr>
          <w:p>
            <w:pPr>
              <w:jc w:val="center"/>
              <w:ind w:left="612"/>
              <w:spacing w:after="0"/>
              <w:rPr>
                <w:sz w:val="20"/>
                <w:szCs w:val="20"/>
                <w:color w:val="auto"/>
              </w:rPr>
            </w:pPr>
            <w:r>
              <w:rPr>
                <w:rFonts w:ascii="Arial" w:cs="Arial" w:eastAsia="Arial" w:hAnsi="Arial"/>
                <w:sz w:val="18"/>
                <w:szCs w:val="18"/>
                <w:b w:val="1"/>
                <w:bCs w:val="1"/>
                <w:color w:val="auto"/>
                <w:w w:val="88"/>
              </w:rPr>
              <w:t>Dollar Range of the Common Stock of the Companies</w:t>
            </w:r>
            <w:r>
              <w:rPr>
                <w:rFonts w:ascii="Arial" w:cs="Arial" w:eastAsia="Arial" w:hAnsi="Arial"/>
                <w:sz w:val="11"/>
                <w:szCs w:val="11"/>
                <w:b w:val="1"/>
                <w:bCs w:val="1"/>
                <w:color w:val="auto"/>
                <w:w w:val="88"/>
              </w:rPr>
              <w:t>(1)</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020" w:type="dxa"/>
            <w:vAlign w:val="bottom"/>
          </w:tcPr>
          <w:p>
            <w:pPr>
              <w:spacing w:after="0"/>
              <w:rPr>
                <w:sz w:val="17"/>
                <w:szCs w:val="17"/>
                <w:color w:val="auto"/>
              </w:rPr>
            </w:pPr>
          </w:p>
        </w:tc>
        <w:tc>
          <w:tcPr>
            <w:tcW w:w="1920" w:type="dxa"/>
            <w:vAlign w:val="bottom"/>
            <w:tcBorders>
              <w:top w:val="single" w:sz="8" w:color="auto"/>
            </w:tcBorders>
            <w:gridSpan w:val="2"/>
          </w:tcPr>
          <w:p>
            <w:pPr>
              <w:jc w:val="center"/>
              <w:ind w:right="120"/>
              <w:spacing w:after="0" w:line="201" w:lineRule="exact"/>
              <w:rPr>
                <w:sz w:val="20"/>
                <w:szCs w:val="20"/>
                <w:color w:val="auto"/>
              </w:rPr>
            </w:pPr>
            <w:r>
              <w:rPr>
                <w:rFonts w:ascii="Arial" w:cs="Arial" w:eastAsia="Arial" w:hAnsi="Arial"/>
                <w:sz w:val="18"/>
                <w:szCs w:val="18"/>
                <w:b w:val="1"/>
                <w:bCs w:val="1"/>
                <w:color w:val="auto"/>
                <w:w w:val="90"/>
              </w:rPr>
              <w:t>PennantPark</w:t>
            </w:r>
          </w:p>
        </w:tc>
        <w:tc>
          <w:tcPr>
            <w:tcW w:w="1940" w:type="dxa"/>
            <w:vAlign w:val="bottom"/>
            <w:tcBorders>
              <w:top w:val="single" w:sz="8" w:color="auto"/>
            </w:tcBorders>
            <w:gridSpan w:val="2"/>
          </w:tcPr>
          <w:p>
            <w:pPr>
              <w:jc w:val="center"/>
              <w:ind w:right="100"/>
              <w:spacing w:after="0" w:line="201" w:lineRule="exact"/>
              <w:rPr>
                <w:sz w:val="20"/>
                <w:szCs w:val="20"/>
                <w:color w:val="auto"/>
              </w:rPr>
            </w:pPr>
            <w:r>
              <w:rPr>
                <w:rFonts w:ascii="Arial" w:cs="Arial" w:eastAsia="Arial" w:hAnsi="Arial"/>
                <w:sz w:val="18"/>
                <w:szCs w:val="18"/>
                <w:b w:val="1"/>
                <w:bCs w:val="1"/>
                <w:color w:val="auto"/>
                <w:w w:val="90"/>
              </w:rPr>
              <w:t>PennantPark</w:t>
            </w:r>
          </w:p>
        </w:tc>
        <w:tc>
          <w:tcPr>
            <w:tcW w:w="1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Investment</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Floating Rate</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Corporation</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Capital Ltd.</w:t>
            </w:r>
          </w:p>
        </w:tc>
        <w:tc>
          <w:tcPr>
            <w:tcW w:w="1120" w:type="dxa"/>
            <w:vAlign w:val="bottom"/>
          </w:tcPr>
          <w:p>
            <w:pPr>
              <w:jc w:val="center"/>
              <w:ind w:left="612"/>
              <w:spacing w:after="0"/>
              <w:rPr>
                <w:sz w:val="20"/>
                <w:szCs w:val="20"/>
                <w:color w:val="auto"/>
              </w:rPr>
            </w:pPr>
            <w:r>
              <w:rPr>
                <w:rFonts w:ascii="Arial" w:cs="Arial" w:eastAsia="Arial" w:hAnsi="Arial"/>
                <w:sz w:val="18"/>
                <w:szCs w:val="18"/>
                <w:b w:val="1"/>
                <w:bCs w:val="1"/>
                <w:color w:val="auto"/>
                <w:w w:val="88"/>
              </w:rPr>
              <w:t>Total</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20" w:type="dxa"/>
            <w:vAlign w:val="bottom"/>
            <w:tcBorders>
              <w:top w:val="single" w:sz="8" w:color="CCEEFF"/>
            </w:tcBorders>
            <w:gridSpan w:val="2"/>
            <w:shd w:val="clear" w:color="auto" w:fill="CCEEFF"/>
          </w:tcPr>
          <w:p>
            <w:pPr>
              <w:ind w:left="420"/>
              <w:spacing w:after="0" w:line="203" w:lineRule="exact"/>
              <w:rPr>
                <w:sz w:val="20"/>
                <w:szCs w:val="20"/>
                <w:color w:val="auto"/>
              </w:rPr>
            </w:pPr>
            <w:r>
              <w:rPr>
                <w:rFonts w:ascii="Arial" w:cs="Arial" w:eastAsia="Arial" w:hAnsi="Arial"/>
                <w:sz w:val="18"/>
                <w:szCs w:val="18"/>
                <w:color w:val="auto"/>
              </w:rPr>
              <w:t>Adam K. Bernstein</w:t>
            </w: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$100,001 - $500,000</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$ 50,001 -$100,000</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6"/>
              </w:rPr>
              <w:t>$100,001 - $</w:t>
            </w:r>
          </w:p>
        </w:tc>
        <w:tc>
          <w:tcPr>
            <w:tcW w:w="7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86"/>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Marshall Brozost</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$100,001 - $500,000</w:t>
            </w:r>
          </w:p>
        </w:tc>
        <w:tc>
          <w:tcPr>
            <w:tcW w:w="10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None</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w w:val="96"/>
              </w:rPr>
              <w:t>$100,001 - $</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w w:val="86"/>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Jeffrey Flug</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1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$100,001-$500,000</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Samuel L. Katz</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Over $1,000,000</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0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(2)</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Over $1,000,000</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Investment Professionals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Jose A. Briones</w:t>
            </w: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c>
          <w:tcPr>
            <w:tcW w:w="100" w:type="dxa"/>
            <w:vAlign w:val="bottom"/>
          </w:tcPr>
          <w:p>
            <w:pPr>
              <w:spacing w:after="0"/>
              <w:rPr>
                <w:sz w:val="19"/>
                <w:szCs w:val="19"/>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Over $1,000,000</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Salvatore Giannetti III</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$100,001 - $500,000</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Over $1,000,000</w:t>
            </w:r>
          </w:p>
        </w:tc>
        <w:tc>
          <w:tcPr>
            <w:tcW w:w="1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P. Whitridge Williams, Jr.</w:t>
            </w: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c>
          <w:tcPr>
            <w:tcW w:w="100" w:type="dxa"/>
            <w:vAlign w:val="bottom"/>
          </w:tcPr>
          <w:p>
            <w:pPr>
              <w:spacing w:after="0"/>
              <w:rPr>
                <w:sz w:val="19"/>
                <w:szCs w:val="19"/>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Over $1,000,000</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3152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33" w:lineRule="exact"/>
        <w:rPr>
          <w:sz w:val="20"/>
          <w:szCs w:val="20"/>
          <w:color w:val="auto"/>
        </w:rPr>
      </w:pPr>
    </w:p>
    <w:p>
      <w:pPr>
        <w:ind w:left="220" w:hanging="212"/>
        <w:spacing w:after="0"/>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Dollar ranges are as follows: None; $1-$10,000; $10,001-$50,000; $50,001-$100,000; $100,001-$500,000; $500,001-$1,000,000; or over $1,000,000.</w:t>
      </w:r>
    </w:p>
    <w:p>
      <w:pPr>
        <w:ind w:left="220" w:hanging="212"/>
        <w:spacing w:after="0"/>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Also reflects holdings of PennantPark Investment Advisers, LLC.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PennantPark Investment has entered into the Investment Management Agreement with the Investment Adviser under which the Investment Adviser, subject to the overall supervision of PennantPark Investment’s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Investment, through the Investment Adviser, provides similar services to our SBIC Funds under their respective investment management agreements. Such investment management agreements do not affect the management or incentive fees that we pay to the Investment Adviser on a consolidated basis. Under the terms of our Investment Management Agreement, the Investment Adviser:</w:t>
      </w:r>
    </w:p>
    <w:p>
      <w:pPr>
        <w:spacing w:after="0" w:line="39" w:lineRule="exact"/>
        <w:rPr>
          <w:sz w:val="20"/>
          <w:szCs w:val="20"/>
          <w:color w:val="auto"/>
        </w:rPr>
      </w:pPr>
    </w:p>
    <w:p>
      <w:pPr>
        <w:ind w:left="660" w:hanging="314"/>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86" w:lineRule="exact"/>
        <w:rPr>
          <w:rFonts w:ascii="Arial" w:cs="Arial" w:eastAsia="Arial" w:hAnsi="Arial"/>
          <w:sz w:val="16"/>
          <w:szCs w:val="16"/>
          <w:color w:val="auto"/>
        </w:rPr>
      </w:pPr>
    </w:p>
    <w:p>
      <w:pPr>
        <w:ind w:left="660" w:right="780" w:hanging="314"/>
        <w:spacing w:after="0" w:line="26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23" w:lineRule="exact"/>
        <w:rPr>
          <w:rFonts w:ascii="Arial" w:cs="Arial" w:eastAsia="Arial" w:hAnsi="Arial"/>
          <w:sz w:val="18"/>
          <w:szCs w:val="18"/>
          <w:color w:val="auto"/>
        </w:rPr>
      </w:pPr>
    </w:p>
    <w:p>
      <w:pPr>
        <w:ind w:left="660" w:hanging="314"/>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63" w:lineRule="exact"/>
        <w:rPr>
          <w:rFonts w:ascii="Arial" w:cs="Arial" w:eastAsia="Arial" w:hAnsi="Arial"/>
          <w:sz w:val="18"/>
          <w:szCs w:val="18"/>
          <w:color w:val="auto"/>
        </w:rPr>
      </w:pPr>
    </w:p>
    <w:p>
      <w:pPr>
        <w:ind w:left="660" w:hanging="314"/>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provides us with such other investment advisory, research and related services, as we may need from time to time.</w:t>
      </w:r>
    </w:p>
    <w:p>
      <w:pPr>
        <w:spacing w:after="0" w:line="90" w:lineRule="exact"/>
        <w:rPr>
          <w:sz w:val="20"/>
          <w:szCs w:val="20"/>
          <w:color w:val="auto"/>
        </w:rPr>
      </w:pPr>
    </w:p>
    <w:p>
      <w:pPr>
        <w:ind w:right="360" w:firstLine="571"/>
        <w:spacing w:after="0" w:line="298"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PennantPark Investment, consisting of two components–a base management fee and an incentive fee, or collectively, Management Fees.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The base management fee is calculated at an annual rate of 2.00% of our “average adjusted gross assets” which equal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w:t>
      </w:r>
      <w:r>
        <w:rPr>
          <w:rFonts w:ascii="Arial" w:cs="Arial" w:eastAsia="Arial" w:hAnsi="Arial"/>
          <w:sz w:val="10"/>
          <w:szCs w:val="10"/>
          <w:color w:val="auto"/>
        </w:rPr>
        <w:t>th</w:t>
      </w:r>
      <w:r>
        <w:rPr>
          <w:rFonts w:ascii="Arial" w:cs="Arial" w:eastAsia="Arial" w:hAnsi="Arial"/>
          <w:sz w:val="16"/>
          <w:szCs w:val="16"/>
          <w:color w:val="auto"/>
        </w:rPr>
        <w:t xml:space="preserve"> day of a quarter and did not use the proceeds from the sale to repay outstanding indebtedness, our gross assets for such quarter would give effect to the net proceeds of the issuance for only 45 days of the quarter during which the additional shares were outstanding. For the year ended September 30, 2016 and through December 31, 2017, the Investment Adviser has voluntarily agreed, in consultation with the board of directors, to irrevocably waive 16% of base management fees, correlated to our 16% energy exposure (oil &amp; gas and energy &amp; utilities industries) at cost as of December 31, 2015. For the three months ended December 31, 2016 and 2015, the Investment Adviser earned base management fees of $5.3 million (after a waiver of $1.0 million) and $5.5 million (after a waiver of $1.0 million), respectively, from us. For the years ended September 30, 2016, 2015 and 2014, the Investment Adviser earned base management fees of $20.9 million (after a waiver of $4.0 million), $26.7 million and $24.3 million, respectively, from us.</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hypothetical example of the calculation of average adjusted gross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December 31, 20XX = $160 million</w:t>
      </w:r>
    </w:p>
    <w:p>
      <w:pPr>
        <w:spacing w:after="0" w:line="15" w:lineRule="exact"/>
        <w:rPr>
          <w:sz w:val="20"/>
          <w:szCs w:val="20"/>
          <w:color w:val="auto"/>
        </w:rPr>
      </w:pPr>
    </w:p>
    <w:p>
      <w:pPr>
        <w:ind w:left="460" w:right="3920"/>
        <w:spacing w:after="0" w:line="261" w:lineRule="auto"/>
        <w:rPr>
          <w:sz w:val="20"/>
          <w:szCs w:val="20"/>
          <w:color w:val="auto"/>
        </w:rPr>
      </w:pPr>
      <w:r>
        <w:rPr>
          <w:rFonts w:ascii="Arial" w:cs="Arial" w:eastAsia="Arial" w:hAnsi="Arial"/>
          <w:sz w:val="18"/>
          <w:szCs w:val="18"/>
          <w:color w:val="auto"/>
        </w:rPr>
        <w:t>U.S. Treasury bills and temporary draws on credit facilities as of December 31, 20XX = $10 million Adjusted gross assets as of December 31, 20XX = $150 million</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March 31, 20XX = $200 million</w:t>
      </w:r>
    </w:p>
    <w:p>
      <w:pPr>
        <w:spacing w:after="0" w:line="15" w:lineRule="exact"/>
        <w:rPr>
          <w:sz w:val="20"/>
          <w:szCs w:val="20"/>
          <w:color w:val="auto"/>
        </w:rPr>
      </w:pPr>
    </w:p>
    <w:p>
      <w:pPr>
        <w:ind w:left="460" w:right="4180"/>
        <w:spacing w:after="0" w:line="261" w:lineRule="auto"/>
        <w:rPr>
          <w:sz w:val="20"/>
          <w:szCs w:val="20"/>
          <w:color w:val="auto"/>
        </w:rPr>
      </w:pPr>
      <w:r>
        <w:rPr>
          <w:rFonts w:ascii="Arial" w:cs="Arial" w:eastAsia="Arial" w:hAnsi="Arial"/>
          <w:sz w:val="18"/>
          <w:szCs w:val="18"/>
          <w:color w:val="auto"/>
        </w:rPr>
        <w:t>U.S. Treasury bills and temporary draws on credit facilities as of March 31, 20XX = $20 million Adjusted gross assets as of March 31, 20XX = $180 million</w:t>
      </w:r>
    </w:p>
    <w:p>
      <w:pPr>
        <w:spacing w:after="0" w:line="57" w:lineRule="exact"/>
        <w:rPr>
          <w:sz w:val="20"/>
          <w:szCs w:val="20"/>
          <w:color w:val="auto"/>
        </w:rPr>
      </w:pPr>
    </w:p>
    <w:p>
      <w:pPr>
        <w:ind w:right="40" w:firstLine="571"/>
        <w:spacing w:after="0" w:line="332" w:lineRule="auto"/>
        <w:rPr>
          <w:sz w:val="20"/>
          <w:szCs w:val="20"/>
          <w:color w:val="auto"/>
        </w:rPr>
      </w:pPr>
      <w:r>
        <w:rPr>
          <w:rFonts w:ascii="Arial" w:cs="Arial" w:eastAsia="Arial" w:hAnsi="Arial"/>
          <w:sz w:val="16"/>
          <w:szCs w:val="16"/>
          <w:color w:val="auto"/>
        </w:rPr>
        <w:t>Average value of adjusted gross assets as of March 31, 20XX and December 31, 20XX, which are the two most recently completed calendar quarters, and appropriately adjusted for any share issuances or repurchases during the current calendar quarter = ($150 million + $180 million) / 2 = $165 million.</w:t>
      </w:r>
    </w:p>
    <w:p>
      <w:pPr>
        <w:spacing w:after="0" w:line="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companies accrued during the calendar quarter, minus our operating expenses for the quarter (including the base management fee, any expenses payable under the Administration Agreement (as defined below), and any interest expense and distributions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that we have not yet received in cash. Pre-Incentive Fee Net Investment Income does not include any realized capital gains, computed net of realized capital losses or unrealized capital appreciation or depreciation. Pre-Incentive Fee Net Investment Income, expressed as a percentage of the value of our net assets at the end of the immediately preceding calendar quarter, is compared to a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which is meant to provide our Investment Adviser with 20% of our Pre-Incentive Fee Net Investment Income, as if a hurdle did not apply, if this net investment income exceeds 2.1875% in any calendar quarter), and (3) 20% of the amount of our Pre-Incentive Fee Net Investment Income, if any, that exceeds 2.1875% in any calendar quarter), once the hurdle is reached and the catch-up is achieved, 20% of the Pre-Incentive Fee Net Investment Income thereafter is allocated to our Investment Adviser. These calculations are prorated for any share issuances or repurchases during the relevant quarter, if applicable. For the year ended September 30, 2016 and through December 31, 2017, the Investment Adviser has voluntarily agreed, in consultation with the board of directors, to irrevocably waive 16% of incentive fees, correlated to our 16% energy exposure (oil &amp; gas and energy &amp; utilities industries) at cost as of December 31, 2015. For the three months ended December 31, 2016 and 2015, the Investment Adviser earned and incentive fee of $2.9 million (after a waiver of $0.5 million) and $3.2 million (after a waiver of $0.6 million), respectively, from us. For the fiscal years ended September 30, 2016, 2015 and 2014, the Investment Adviser earned $13.5 million (after a waiver of $2.5 million), $20.6 million and $17.8 million, respectively, in incentive fees on net investment income from us.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is a graphical representation of the calculation of quarterly incentive fee based on Pre-Incentive Fee Net Investment Income: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120015</wp:posOffset>
            </wp:positionV>
            <wp:extent cx="2573020" cy="4718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7302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140" w:lineRule="exact"/>
        <w:rPr>
          <w:sz w:val="20"/>
          <w:szCs w:val="20"/>
          <w:color w:val="auto"/>
        </w:rPr>
      </w:pPr>
    </w:p>
    <w:p>
      <w:pPr>
        <w:ind w:right="140" w:firstLine="571"/>
        <w:spacing w:after="0" w:line="318" w:lineRule="auto"/>
        <w:rPr>
          <w:sz w:val="20"/>
          <w:szCs w:val="20"/>
          <w:color w:val="auto"/>
        </w:rPr>
      </w:pPr>
      <w:r>
        <w:rPr>
          <w:rFonts w:ascii="Arial" w:cs="Arial" w:eastAsia="Arial" w:hAnsi="Arial"/>
          <w:sz w:val="15"/>
          <w:szCs w:val="15"/>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months ended December 31, 2016 and 2015 and fiscal years ended September 30, 2016, 2015 and 2014 the Investment Adviser did not earn an incentive fee on capital gains, as calculated under the Investment Management Agreement (as described above).</w:t>
      </w:r>
    </w:p>
    <w:p>
      <w:pPr>
        <w:spacing w:after="0" w:line="100"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or accrued in all prior years. If such amount is negative, then there is no accrual for such year. There can be no assurance that such unrealized capital appreciation will be realized in the future. For the three months ended December 31, 2016 and 2015 and the years ended September 30, 2016, 2015 and 2014, our unrealized and realized capital gains did not exceed our cumulative realized and unrealized losses and therefore resulted in no accrual for capital gains incentive fees under GAAP.</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1.25%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0.50%</w:t>
      </w:r>
    </w:p>
    <w:p>
      <w:pPr>
        <w:spacing w:after="0" w:line="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right="3740"/>
        <w:spacing w:after="0" w:line="331" w:lineRule="auto"/>
        <w:rPr>
          <w:sz w:val="20"/>
          <w:szCs w:val="20"/>
          <w:color w:val="auto"/>
        </w:rPr>
      </w:pPr>
      <w:r>
        <w:rPr>
          <w:rFonts w:ascii="Arial" w:cs="Arial" w:eastAsia="Arial" w:hAnsi="Arial"/>
          <w:sz w:val="18"/>
          <w:szCs w:val="18"/>
          <w:color w:val="auto"/>
        </w:rPr>
        <w:t>(investment income—(base management fee + other expenses)) = 0.55% Pre-Incentive Net Investment Income does not exceed the hurdle; therefore there is no incentive fee.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2.70%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0.50%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212" w:lineRule="exact"/>
        <w:rPr>
          <w:sz w:val="20"/>
          <w:szCs w:val="20"/>
          <w:color w:val="auto"/>
        </w:rPr>
      </w:pPr>
    </w:p>
    <w:p>
      <w:pPr>
        <w:jc w:val="right"/>
        <w:ind w:right="3560"/>
        <w:spacing w:after="0"/>
        <w:tabs>
          <w:tab w:leader="none" w:pos="514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36" w:lineRule="exact"/>
        <w:rPr>
          <w:sz w:val="20"/>
          <w:szCs w:val="20"/>
          <w:color w:val="auto"/>
        </w:rPr>
      </w:pPr>
    </w:p>
    <w:p>
      <w:pPr>
        <w:ind w:left="2800" w:hanging="152"/>
        <w:spacing w:after="0"/>
        <w:tabs>
          <w:tab w:leader="none" w:pos="2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2.00% - 1.75%</w:t>
      </w:r>
    </w:p>
    <w:p>
      <w:pPr>
        <w:spacing w:after="0" w:line="49" w:lineRule="exact"/>
        <w:rPr>
          <w:rFonts w:ascii="Arial" w:cs="Arial" w:eastAsia="Arial" w:hAnsi="Arial"/>
          <w:sz w:val="18"/>
          <w:szCs w:val="18"/>
          <w:color w:val="auto"/>
        </w:rPr>
      </w:pPr>
    </w:p>
    <w:p>
      <w:pPr>
        <w:ind w:left="2800" w:hanging="152"/>
        <w:spacing w:after="0"/>
        <w:tabs>
          <w:tab w:leader="none" w:pos="2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0.25%</w:t>
      </w:r>
    </w:p>
    <w:p>
      <w:pPr>
        <w:spacing w:after="0" w:line="49" w:lineRule="exact"/>
        <w:rPr>
          <w:rFonts w:ascii="Arial" w:cs="Arial" w:eastAsia="Arial" w:hAnsi="Arial"/>
          <w:sz w:val="18"/>
          <w:szCs w:val="18"/>
          <w:color w:val="auto"/>
        </w:rPr>
      </w:pPr>
    </w:p>
    <w:p>
      <w:pPr>
        <w:ind w:left="2800" w:hanging="152"/>
        <w:spacing w:after="0"/>
        <w:tabs>
          <w:tab w:leader="none" w:pos="2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100% x 0.25%</w:t>
      </w:r>
    </w:p>
    <w:p>
      <w:pPr>
        <w:spacing w:after="0" w:line="49" w:lineRule="exact"/>
        <w:rPr>
          <w:rFonts w:ascii="Arial" w:cs="Arial" w:eastAsia="Arial" w:hAnsi="Arial"/>
          <w:sz w:val="18"/>
          <w:szCs w:val="18"/>
          <w:color w:val="auto"/>
        </w:rPr>
      </w:pPr>
    </w:p>
    <w:p>
      <w:pPr>
        <w:ind w:left="2800" w:hanging="152"/>
        <w:spacing w:after="0"/>
        <w:tabs>
          <w:tab w:leader="none" w:pos="2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0.25%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3.00%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0.50%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income—(base management fee + other expenses)) = 2.30%</w:t>
      </w:r>
    </w:p>
    <w:p>
      <w:pPr>
        <w:sectPr>
          <w:pgSz w:w="11900" w:h="16838" w:orient="portrait"/>
          <w:cols w:equalWidth="0" w:num="1">
            <w:col w:w="11360"/>
          </w:cols>
          <w:pgMar w:left="240" w:top="459" w:right="299" w:bottom="1440" w:gutter="0" w:footer="0" w:header="0"/>
        </w:sectPr>
      </w:pPr>
    </w:p>
    <w:p>
      <w:pPr>
        <w:spacing w:after="0" w:line="29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Incentive fee</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Incentive fee</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Catch-up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1049020</wp:posOffset>
            </wp:positionV>
            <wp:extent cx="2914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151" w:hanging="151"/>
        <w:spacing w:after="0"/>
        <w:tabs>
          <w:tab w:leader="none" w:pos="1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20% x Pre-Incentive Fee Net Investment Income, subject to “catch-up”</w:t>
      </w:r>
      <w:r>
        <w:rPr>
          <w:rFonts w:ascii="Arial" w:cs="Arial" w:eastAsia="Arial" w:hAnsi="Arial"/>
          <w:sz w:val="11"/>
          <w:szCs w:val="11"/>
          <w:color w:val="auto"/>
        </w:rPr>
        <w:t>(3)</w:t>
      </w:r>
    </w:p>
    <w:p>
      <w:pPr>
        <w:spacing w:after="0" w:line="36" w:lineRule="exact"/>
        <w:rPr>
          <w:rFonts w:ascii="Arial" w:cs="Arial" w:eastAsia="Arial" w:hAnsi="Arial"/>
          <w:sz w:val="18"/>
          <w:szCs w:val="18"/>
          <w:color w:val="auto"/>
        </w:rPr>
      </w:pPr>
    </w:p>
    <w:p>
      <w:pPr>
        <w:ind w:left="151" w:hanging="151"/>
        <w:spacing w:after="0"/>
        <w:tabs>
          <w:tab w:leader="none" w:pos="151" w:val="left"/>
        </w:tabs>
        <w:numPr>
          <w:ilvl w:val="0"/>
          <w:numId w:val="54"/>
        </w:numPr>
        <w:rPr>
          <w:rFonts w:ascii="Arial" w:cs="Arial" w:eastAsia="Arial" w:hAnsi="Arial"/>
          <w:sz w:val="16"/>
          <w:szCs w:val="16"/>
          <w:color w:val="auto"/>
        </w:rPr>
      </w:pPr>
      <w:r>
        <w:rPr>
          <w:rFonts w:ascii="Arial" w:cs="Arial" w:eastAsia="Arial" w:hAnsi="Arial"/>
          <w:sz w:val="16"/>
          <w:szCs w:val="16"/>
          <w:color w:val="auto"/>
        </w:rPr>
        <w:t>100% x “catch-up” + (20% x (Pre-Incentive Fee Net Investment Income - 2.1875%))</w:t>
      </w:r>
    </w:p>
    <w:p>
      <w:pPr>
        <w:spacing w:after="0" w:line="72" w:lineRule="exact"/>
        <w:rPr>
          <w:rFonts w:ascii="Arial" w:cs="Arial" w:eastAsia="Arial" w:hAnsi="Arial"/>
          <w:sz w:val="16"/>
          <w:szCs w:val="16"/>
          <w:color w:val="auto"/>
        </w:rPr>
      </w:pPr>
    </w:p>
    <w:p>
      <w:pPr>
        <w:ind w:left="151" w:hanging="151"/>
        <w:spacing w:after="0"/>
        <w:tabs>
          <w:tab w:leader="none" w:pos="1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2.1875% - 1.75%</w:t>
      </w:r>
    </w:p>
    <w:p>
      <w:pPr>
        <w:spacing w:after="0" w:line="49" w:lineRule="exact"/>
        <w:rPr>
          <w:rFonts w:ascii="Arial" w:cs="Arial" w:eastAsia="Arial" w:hAnsi="Arial"/>
          <w:sz w:val="18"/>
          <w:szCs w:val="18"/>
          <w:color w:val="auto"/>
        </w:rPr>
      </w:pPr>
    </w:p>
    <w:p>
      <w:pPr>
        <w:ind w:left="151" w:hanging="151"/>
        <w:spacing w:after="0"/>
        <w:tabs>
          <w:tab w:leader="none" w:pos="1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0.4375%</w:t>
      </w:r>
    </w:p>
    <w:p>
      <w:pPr>
        <w:spacing w:after="0" w:line="49" w:lineRule="exact"/>
        <w:rPr>
          <w:rFonts w:ascii="Arial" w:cs="Arial" w:eastAsia="Arial" w:hAnsi="Arial"/>
          <w:sz w:val="18"/>
          <w:szCs w:val="18"/>
          <w:color w:val="auto"/>
        </w:rPr>
      </w:pPr>
    </w:p>
    <w:p>
      <w:pPr>
        <w:ind w:left="151" w:hanging="151"/>
        <w:spacing w:after="0"/>
        <w:tabs>
          <w:tab w:leader="none" w:pos="1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(100% x 0.4375%) + (20% x (2.30% - 2.1875%))</w:t>
      </w:r>
    </w:p>
    <w:p>
      <w:pPr>
        <w:spacing w:after="0" w:line="49" w:lineRule="exact"/>
        <w:rPr>
          <w:rFonts w:ascii="Arial" w:cs="Arial" w:eastAsia="Arial" w:hAnsi="Arial"/>
          <w:sz w:val="18"/>
          <w:szCs w:val="18"/>
          <w:color w:val="auto"/>
        </w:rPr>
      </w:pPr>
    </w:p>
    <w:p>
      <w:pPr>
        <w:ind w:left="151" w:hanging="151"/>
        <w:spacing w:after="0"/>
        <w:tabs>
          <w:tab w:leader="none" w:pos="1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0.4375% + (20% x 0.1125%)</w:t>
      </w:r>
    </w:p>
    <w:p>
      <w:pPr>
        <w:spacing w:after="0" w:line="49" w:lineRule="exact"/>
        <w:rPr>
          <w:rFonts w:ascii="Arial" w:cs="Arial" w:eastAsia="Arial" w:hAnsi="Arial"/>
          <w:sz w:val="18"/>
          <w:szCs w:val="18"/>
          <w:color w:val="auto"/>
        </w:rPr>
      </w:pPr>
    </w:p>
    <w:p>
      <w:pPr>
        <w:ind w:left="151" w:hanging="151"/>
        <w:spacing w:after="0"/>
        <w:tabs>
          <w:tab w:leader="none" w:pos="1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0.4375% + 0.0225%</w:t>
      </w:r>
    </w:p>
    <w:p>
      <w:pPr>
        <w:spacing w:after="0" w:line="49" w:lineRule="exact"/>
        <w:rPr>
          <w:rFonts w:ascii="Arial" w:cs="Arial" w:eastAsia="Arial" w:hAnsi="Arial"/>
          <w:sz w:val="18"/>
          <w:szCs w:val="18"/>
          <w:color w:val="auto"/>
        </w:rPr>
      </w:pPr>
    </w:p>
    <w:p>
      <w:pPr>
        <w:ind w:left="151" w:hanging="151"/>
        <w:spacing w:after="0"/>
        <w:tabs>
          <w:tab w:leader="none" w:pos="1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0.46%</w:t>
      </w:r>
    </w:p>
    <w:p>
      <w:pPr>
        <w:spacing w:after="0" w:line="200" w:lineRule="exact"/>
        <w:rPr>
          <w:sz w:val="20"/>
          <w:szCs w:val="20"/>
          <w:color w:val="auto"/>
        </w:rPr>
      </w:pPr>
    </w:p>
    <w:p>
      <w:pPr>
        <w:sectPr>
          <w:pgSz w:w="11900" w:h="16838" w:orient="portrait"/>
          <w:cols w:equalWidth="0" w:num="2">
            <w:col w:w="2009" w:space="720"/>
            <w:col w:w="8631"/>
          </w:cols>
          <w:pgMar w:left="240" w:top="459" w:right="299" w:bottom="1440" w:gutter="0" w:footer="0" w:header="0"/>
          <w:type w:val="continuous"/>
        </w:sectPr>
      </w:pPr>
    </w:p>
    <w:p>
      <w:pPr>
        <w:spacing w:after="0" w:line="171" w:lineRule="exact"/>
        <w:rPr>
          <w:sz w:val="20"/>
          <w:szCs w:val="20"/>
          <w:color w:val="auto"/>
        </w:rPr>
      </w:pPr>
    </w:p>
    <w:p>
      <w:pPr>
        <w:ind w:left="380" w:hanging="367"/>
        <w:spacing w:after="0"/>
        <w:tabs>
          <w:tab w:leader="none" w:pos="380" w:val="left"/>
        </w:tabs>
        <w:numPr>
          <w:ilvl w:val="1"/>
          <w:numId w:val="55"/>
        </w:numPr>
        <w:rPr>
          <w:rFonts w:ascii="Arial" w:cs="Arial" w:eastAsia="Arial" w:hAnsi="Arial"/>
          <w:sz w:val="14"/>
          <w:szCs w:val="14"/>
          <w:color w:val="auto"/>
        </w:rPr>
      </w:pPr>
      <w:r>
        <w:rPr>
          <w:rFonts w:ascii="Arial" w:cs="Arial" w:eastAsia="Arial" w:hAnsi="Arial"/>
          <w:sz w:val="14"/>
          <w:szCs w:val="14"/>
          <w:color w:val="auto"/>
        </w:rPr>
        <w:t>The hypothetical amount of Pre-Incentive Fee Net Investment Income shown is based on a percentage of net assets.</w:t>
      </w:r>
    </w:p>
    <w:p>
      <w:pPr>
        <w:spacing w:after="0" w:line="95" w:lineRule="exact"/>
        <w:rPr>
          <w:rFonts w:ascii="Arial" w:cs="Arial" w:eastAsia="Arial" w:hAnsi="Arial"/>
          <w:sz w:val="14"/>
          <w:szCs w:val="14"/>
          <w:color w:val="auto"/>
        </w:rPr>
      </w:pPr>
    </w:p>
    <w:p>
      <w:pPr>
        <w:ind w:left="380" w:hanging="372"/>
        <w:spacing w:after="0"/>
        <w:tabs>
          <w:tab w:leader="none" w:pos="3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7.0% annualized hurdle.</w:t>
      </w:r>
    </w:p>
    <w:p>
      <w:pPr>
        <w:ind w:left="380" w:hanging="372"/>
        <w:spacing w:after="0" w:line="221" w:lineRule="auto"/>
        <w:tabs>
          <w:tab w:leader="none" w:pos="3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2.0% annualized base management fee.</w:t>
      </w:r>
    </w:p>
    <w:p>
      <w:pPr>
        <w:ind w:left="380" w:hanging="372"/>
        <w:spacing w:after="0" w:line="230" w:lineRule="auto"/>
        <w:tabs>
          <w:tab w:leader="none" w:pos="3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“catch-up” provision is intended to provide the Investment Adviser with an Incentive fee of approximately 20% on all of our Pre-Incentive Fee Net Investment Income as if a hurdle rate did not apply when our net investment income exceeds 2.1875% in any calendar quarter.</w:t>
      </w:r>
    </w:p>
    <w:p>
      <w:pPr>
        <w:sectPr>
          <w:pgSz w:w="11900" w:h="16838" w:orient="portrait"/>
          <w:cols w:equalWidth="0" w:num="1">
            <w:col w:w="11360"/>
          </w:cols>
          <w:pgMar w:left="240" w:top="459" w:right="299" w:bottom="1440" w:gutter="0" w:footer="0" w:header="0"/>
          <w:type w:val="continuous"/>
        </w:sectPr>
      </w:pP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360"/>
          </w:cols>
          <w:pgMar w:left="240" w:top="459" w:right="29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1 = no net realized capital gains or losses</w:t>
      </w:r>
    </w:p>
    <w:p>
      <w:pPr>
        <w:spacing w:after="0" w:line="15" w:lineRule="exact"/>
        <w:rPr>
          <w:sz w:val="20"/>
          <w:szCs w:val="20"/>
          <w:color w:val="auto"/>
        </w:rPr>
      </w:pPr>
    </w:p>
    <w:p>
      <w:pPr>
        <w:ind w:right="380" w:firstLine="571"/>
        <w:spacing w:after="0" w:line="261"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pacing w:after="0" w:line="30"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1680" w:type="dxa"/>
            <w:vAlign w:val="bottom"/>
          </w:tcPr>
          <w:p>
            <w:pPr>
              <w:spacing w:after="0"/>
              <w:rPr>
                <w:sz w:val="20"/>
                <w:szCs w:val="20"/>
                <w:color w:val="auto"/>
              </w:rPr>
            </w:pPr>
            <w:r>
              <w:rPr>
                <w:rFonts w:ascii="Arial" w:cs="Arial" w:eastAsia="Arial" w:hAnsi="Arial"/>
                <w:sz w:val="18"/>
                <w:szCs w:val="18"/>
                <w:color w:val="auto"/>
              </w:rPr>
              <w:t>Year 1 incentive fee</w:t>
            </w:r>
          </w:p>
        </w:tc>
        <w:tc>
          <w:tcPr>
            <w:tcW w:w="1600" w:type="dxa"/>
            <w:vAlign w:val="bottom"/>
          </w:tcPr>
          <w:p>
            <w:pPr>
              <w:ind w:left="260"/>
              <w:spacing w:after="0"/>
              <w:rPr>
                <w:sz w:val="20"/>
                <w:szCs w:val="20"/>
                <w:color w:val="auto"/>
              </w:rPr>
            </w:pPr>
            <w:r>
              <w:rPr>
                <w:rFonts w:ascii="Arial" w:cs="Arial" w:eastAsia="Arial" w:hAnsi="Arial"/>
                <w:sz w:val="18"/>
                <w:szCs w:val="18"/>
                <w:color w:val="auto"/>
              </w:rPr>
              <w:t>= 20% x (0)</w:t>
            </w:r>
          </w:p>
        </w:tc>
      </w:tr>
      <w:tr>
        <w:trPr>
          <w:trHeight w:val="243"/>
        </w:trPr>
        <w:tc>
          <w:tcPr>
            <w:tcW w:w="1680" w:type="dxa"/>
            <w:vAlign w:val="bottom"/>
          </w:tcPr>
          <w:p>
            <w:pPr>
              <w:spacing w:after="0"/>
              <w:rPr>
                <w:sz w:val="21"/>
                <w:szCs w:val="21"/>
                <w:color w:val="auto"/>
              </w:rPr>
            </w:pPr>
          </w:p>
        </w:tc>
        <w:tc>
          <w:tcPr>
            <w:tcW w:w="1600" w:type="dxa"/>
            <w:vAlign w:val="bottom"/>
          </w:tcPr>
          <w:p>
            <w:pPr>
              <w:ind w:left="260"/>
              <w:spacing w:after="0"/>
              <w:rPr>
                <w:sz w:val="20"/>
                <w:szCs w:val="20"/>
                <w:color w:val="auto"/>
              </w:rPr>
            </w:pPr>
            <w:r>
              <w:rPr>
                <w:rFonts w:ascii="Arial" w:cs="Arial" w:eastAsia="Arial" w:hAnsi="Arial"/>
                <w:sz w:val="18"/>
                <w:szCs w:val="18"/>
                <w:color w:val="auto"/>
              </w:rPr>
              <w:t>= 0</w:t>
            </w:r>
          </w:p>
        </w:tc>
      </w:tr>
      <w:tr>
        <w:trPr>
          <w:trHeight w:val="257"/>
        </w:trPr>
        <w:tc>
          <w:tcPr>
            <w:tcW w:w="1680" w:type="dxa"/>
            <w:vAlign w:val="bottom"/>
          </w:tcPr>
          <w:p>
            <w:pPr>
              <w:spacing w:after="0"/>
              <w:rPr>
                <w:sz w:val="22"/>
                <w:szCs w:val="22"/>
                <w:color w:val="auto"/>
              </w:rPr>
            </w:pPr>
          </w:p>
        </w:tc>
        <w:tc>
          <w:tcPr>
            <w:tcW w:w="1600" w:type="dxa"/>
            <w:vAlign w:val="bottom"/>
          </w:tcPr>
          <w:p>
            <w:pPr>
              <w:ind w:left="260"/>
              <w:spacing w:after="0"/>
              <w:rPr>
                <w:sz w:val="20"/>
                <w:szCs w:val="20"/>
                <w:color w:val="auto"/>
              </w:rPr>
            </w:pPr>
            <w:r>
              <w:rPr>
                <w:rFonts w:ascii="Arial" w:cs="Arial" w:eastAsia="Arial" w:hAnsi="Arial"/>
                <w:sz w:val="18"/>
                <w:szCs w:val="18"/>
                <w:color w:val="auto"/>
                <w:w w:val="93"/>
              </w:rPr>
              <w:t>= no incentive fee</w:t>
            </w:r>
          </w:p>
        </w:tc>
      </w:tr>
      <w:tr>
        <w:trPr>
          <w:trHeight w:val="257"/>
        </w:trPr>
        <w:tc>
          <w:tcPr>
            <w:tcW w:w="1680" w:type="dxa"/>
            <w:vAlign w:val="bottom"/>
          </w:tcPr>
          <w:p>
            <w:pPr>
              <w:spacing w:after="0"/>
              <w:rPr>
                <w:sz w:val="20"/>
                <w:szCs w:val="20"/>
                <w:color w:val="auto"/>
              </w:rPr>
            </w:pPr>
            <w:r>
              <w:rPr>
                <w:rFonts w:ascii="Arial" w:cs="Arial" w:eastAsia="Arial" w:hAnsi="Arial"/>
                <w:sz w:val="18"/>
                <w:szCs w:val="18"/>
                <w:color w:val="auto"/>
              </w:rPr>
              <w:t>Year 2 incentive fee</w:t>
            </w:r>
          </w:p>
        </w:tc>
        <w:tc>
          <w:tcPr>
            <w:tcW w:w="1600" w:type="dxa"/>
            <w:vAlign w:val="bottom"/>
          </w:tcPr>
          <w:p>
            <w:pPr>
              <w:ind w:left="260"/>
              <w:spacing w:after="0"/>
              <w:rPr>
                <w:sz w:val="20"/>
                <w:szCs w:val="20"/>
                <w:color w:val="auto"/>
              </w:rPr>
            </w:pPr>
            <w:r>
              <w:rPr>
                <w:rFonts w:ascii="Arial" w:cs="Arial" w:eastAsia="Arial" w:hAnsi="Arial"/>
                <w:sz w:val="18"/>
                <w:szCs w:val="18"/>
                <w:color w:val="auto"/>
                <w:w w:val="90"/>
              </w:rPr>
              <w:t>= 20% x (6% -1%)</w:t>
            </w:r>
          </w:p>
        </w:tc>
      </w:tr>
      <w:tr>
        <w:trPr>
          <w:trHeight w:val="257"/>
        </w:trPr>
        <w:tc>
          <w:tcPr>
            <w:tcW w:w="1680" w:type="dxa"/>
            <w:vAlign w:val="bottom"/>
          </w:tcPr>
          <w:p>
            <w:pPr>
              <w:spacing w:after="0"/>
              <w:rPr>
                <w:sz w:val="22"/>
                <w:szCs w:val="22"/>
                <w:color w:val="auto"/>
              </w:rPr>
            </w:pPr>
          </w:p>
        </w:tc>
        <w:tc>
          <w:tcPr>
            <w:tcW w:w="1600" w:type="dxa"/>
            <w:vAlign w:val="bottom"/>
          </w:tcPr>
          <w:p>
            <w:pPr>
              <w:ind w:left="260"/>
              <w:spacing w:after="0"/>
              <w:rPr>
                <w:sz w:val="20"/>
                <w:szCs w:val="20"/>
                <w:color w:val="auto"/>
              </w:rPr>
            </w:pPr>
            <w:r>
              <w:rPr>
                <w:rFonts w:ascii="Arial" w:cs="Arial" w:eastAsia="Arial" w:hAnsi="Arial"/>
                <w:sz w:val="18"/>
                <w:szCs w:val="18"/>
                <w:color w:val="auto"/>
              </w:rPr>
              <w:t>= 20% x 5%</w:t>
            </w:r>
          </w:p>
        </w:tc>
      </w:tr>
      <w:tr>
        <w:trPr>
          <w:trHeight w:val="257"/>
        </w:trPr>
        <w:tc>
          <w:tcPr>
            <w:tcW w:w="1680" w:type="dxa"/>
            <w:vAlign w:val="bottom"/>
          </w:tcPr>
          <w:p>
            <w:pPr>
              <w:spacing w:after="0"/>
              <w:rPr>
                <w:sz w:val="22"/>
                <w:szCs w:val="22"/>
                <w:color w:val="auto"/>
              </w:rPr>
            </w:pPr>
          </w:p>
        </w:tc>
        <w:tc>
          <w:tcPr>
            <w:tcW w:w="1600" w:type="dxa"/>
            <w:vAlign w:val="bottom"/>
          </w:tcPr>
          <w:p>
            <w:pPr>
              <w:ind w:left="260"/>
              <w:spacing w:after="0"/>
              <w:rPr>
                <w:sz w:val="20"/>
                <w:szCs w:val="20"/>
                <w:color w:val="auto"/>
              </w:rPr>
            </w:pPr>
            <w:r>
              <w:rPr>
                <w:rFonts w:ascii="Arial" w:cs="Arial" w:eastAsia="Arial" w:hAnsi="Arial"/>
                <w:sz w:val="18"/>
                <w:szCs w:val="18"/>
                <w:color w:val="auto"/>
              </w:rPr>
              <w:t>= 1%</w:t>
            </w:r>
          </w:p>
        </w:tc>
      </w:tr>
    </w:tbl>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50" w:lineRule="exact"/>
        <w:rPr>
          <w:sz w:val="20"/>
          <w:szCs w:val="20"/>
          <w:color w:val="auto"/>
        </w:rPr>
      </w:pPr>
    </w:p>
    <w:p>
      <w:pPr>
        <w:ind w:right="280" w:firstLine="571"/>
        <w:spacing w:after="0" w:line="308" w:lineRule="auto"/>
        <w:rPr>
          <w:sz w:val="20"/>
          <w:szCs w:val="20"/>
          <w:color w:val="auto"/>
        </w:rPr>
      </w:pPr>
      <w:r>
        <w:rPr>
          <w:rFonts w:ascii="Arial" w:cs="Arial" w:eastAsia="Arial" w:hAnsi="Arial"/>
          <w:sz w:val="16"/>
          <w:szCs w:val="16"/>
          <w:color w:val="auto"/>
        </w:rPr>
        <w:t>PennantPark Investment Advisers is a registered investment adviser under the Investment Advisers Act of 1940, as amended, or the Advisers Act. The principal executive office of PennantPark Investment Advisers is located at 590 Madison Avenue, 15th Floor, New York, NY 10022.</w:t>
      </w:r>
    </w:p>
    <w:p>
      <w:pPr>
        <w:spacing w:after="0"/>
        <w:rPr>
          <w:sz w:val="20"/>
          <w:szCs w:val="20"/>
          <w:color w:val="auto"/>
        </w:rPr>
      </w:pPr>
      <w:r>
        <w:rPr>
          <w:rFonts w:ascii="Arial" w:cs="Arial" w:eastAsia="Arial" w:hAnsi="Arial"/>
          <w:sz w:val="18"/>
          <w:szCs w:val="18"/>
          <w:b w:val="1"/>
          <w:bCs w:val="1"/>
          <w:i w:val="1"/>
          <w:iCs w:val="1"/>
          <w:color w:val="auto"/>
        </w:rPr>
        <w:t>Duration and Termination of Investment Management Agreement</w:t>
      </w:r>
    </w:p>
    <w:p>
      <w:pPr>
        <w:spacing w:after="0" w:line="5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us or the Investment Adviser, in February 2017. Unless terminated earlier as described below, the Investment Management Agreement will continue in effect for a period of one year through February 2018.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6"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Agreements</w:t>
      </w:r>
    </w:p>
    <w:p>
      <w:pPr>
        <w:spacing w:after="0" w:line="56" w:lineRule="exact"/>
        <w:rPr>
          <w:sz w:val="20"/>
          <w:szCs w:val="20"/>
          <w:color w:val="auto"/>
        </w:rPr>
      </w:pPr>
    </w:p>
    <w:p>
      <w:pPr>
        <w:ind w:right="20" w:firstLine="571"/>
        <w:spacing w:after="0" w:line="285" w:lineRule="auto"/>
        <w:rPr>
          <w:sz w:val="20"/>
          <w:szCs w:val="20"/>
          <w:color w:val="auto"/>
        </w:rPr>
      </w:pPr>
      <w:r>
        <w:rPr>
          <w:rFonts w:ascii="Arial" w:cs="Arial" w:eastAsia="Arial" w:hAnsi="Arial"/>
          <w:sz w:val="16"/>
          <w:szCs w:val="16"/>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PennantPark Investment, through the Administrator, provides similar services to our SBIC Funds under their administration agreements with us. For providing these services, facilities and personnel, we reimburse the Administrator for its allocable portion of overhead and other expenses incurred by the Administrator in performing its obligations under the Administration Agreement, including rent and our allocable portion of the cost of compensation and related expenses of our Chief Compliance Officer and Chief Financial Officer and their respective staffs. The Administrator also offers, on our behalf,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Statements of Operations. For the three months ended December 31, 2016 and 2015, the Investment Adviser was reimbursed $0.5 million and $0.3 million, respectively, from us, including expenses incurred on behalf of the Administrator, for the services described above. For the fiscal years ended September 30, 2016, 2015 and 2014, the Investment Adviser was reimbursed $3.7 million, $3.3 million and $3.0 million, respectively, from us, including expenses it incurred on behalf of the Administrator for the services described above.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Administration Agreement</w:t>
      </w:r>
    </w:p>
    <w:p>
      <w:pPr>
        <w:spacing w:after="0" w:line="90" w:lineRule="exact"/>
        <w:rPr>
          <w:sz w:val="20"/>
          <w:szCs w:val="20"/>
          <w:color w:val="auto"/>
        </w:rPr>
      </w:pPr>
    </w:p>
    <w:p>
      <w:pPr>
        <w:ind w:right="120" w:firstLine="571"/>
        <w:spacing w:after="0" w:line="254" w:lineRule="auto"/>
        <w:rPr>
          <w:sz w:val="20"/>
          <w:szCs w:val="20"/>
          <w:color w:val="auto"/>
        </w:rPr>
      </w:pPr>
      <w:r>
        <w:rPr>
          <w:rFonts w:ascii="Arial" w:cs="Arial" w:eastAsia="Arial" w:hAnsi="Arial"/>
          <w:sz w:val="18"/>
          <w:szCs w:val="18"/>
          <w:color w:val="auto"/>
        </w:rPr>
        <w:t>The Administration Agreement was reapproved by our board of directors, including a majority of our directors who are not interested persons of PennantPark Investment, in February 2017. Unless terminated earlier as described below, our Administration Agreement will continue in effect for a period of one year through February 2018.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20" w:firstLine="571"/>
        <w:spacing w:after="0" w:line="291" w:lineRule="auto"/>
        <w:rPr>
          <w:sz w:val="20"/>
          <w:szCs w:val="20"/>
          <w:color w:val="auto"/>
        </w:rPr>
      </w:pPr>
      <w:r>
        <w:rPr>
          <w:rFonts w:ascii="Arial" w:cs="Arial" w:eastAsia="Arial" w:hAnsi="Arial"/>
          <w:sz w:val="16"/>
          <w:szCs w:val="16"/>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PennantPark Investment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PennantPark Investment.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96"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We expect that there will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could be material. Our investments are generally structured as debt and equity investments in the form of senior secured debt, mezzanine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 as described below.</w:t>
      </w:r>
    </w:p>
    <w:p>
      <w:pPr>
        <w:spacing w:after="0" w:line="40" w:lineRule="exact"/>
        <w:rPr>
          <w:sz w:val="20"/>
          <w:szCs w:val="20"/>
          <w:color w:val="auto"/>
        </w:rPr>
      </w:pPr>
    </w:p>
    <w:p>
      <w:pPr>
        <w:ind w:right="300" w:firstLine="571"/>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800" w:right="560" w:hanging="346"/>
        <w:spacing w:after="0" w:line="268"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800" w:hanging="346"/>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800" w:right="40" w:hanging="346"/>
        <w:spacing w:after="0" w:line="256"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jc w:val="both"/>
        <w:ind w:left="800" w:right="280" w:hanging="346"/>
        <w:spacing w:after="0" w:line="306" w:lineRule="auto"/>
        <w:tabs>
          <w:tab w:leader="none" w:pos="8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those of the independent valuation firms on a quarterly basis, periodically assess the valuation methodologies of the independent valuation firms, and responds to and supplements the valuation recommendations of the independent valuation firms to reflect any comments; and</w:t>
      </w:r>
    </w:p>
    <w:p>
      <w:pPr>
        <w:spacing w:after="0" w:line="25" w:lineRule="exact"/>
        <w:rPr>
          <w:rFonts w:ascii="Arial" w:cs="Arial" w:eastAsia="Arial" w:hAnsi="Arial"/>
          <w:sz w:val="16"/>
          <w:szCs w:val="16"/>
          <w:color w:val="auto"/>
        </w:rPr>
      </w:pPr>
    </w:p>
    <w:p>
      <w:pPr>
        <w:ind w:left="800" w:right="120" w:hanging="346"/>
        <w:spacing w:after="0" w:line="268"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 the extent we invest in derivative instruments in the future, such instruments would be valued in accordance with our valuation policy.</w:t>
      </w:r>
    </w:p>
    <w:p>
      <w:pPr>
        <w:spacing w:after="0" w:line="171"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12" w:lineRule="exact"/>
        <w:rPr>
          <w:sz w:val="20"/>
          <w:szCs w:val="20"/>
          <w:color w:val="auto"/>
        </w:rPr>
      </w:pPr>
    </w:p>
    <w:p>
      <w:pPr>
        <w:ind w:left="1540" w:right="800" w:hanging="796"/>
        <w:spacing w:after="0" w:line="268" w:lineRule="auto"/>
        <w:tabs>
          <w:tab w:leader="none" w:pos="1520" w:val="left"/>
        </w:tabs>
        <w:rPr>
          <w:sz w:val="20"/>
          <w:szCs w:val="20"/>
          <w:color w:val="auto"/>
        </w:rPr>
      </w:pPr>
      <w:r>
        <w:rPr>
          <w:rFonts w:ascii="Arial" w:cs="Arial" w:eastAsia="Arial" w:hAnsi="Arial"/>
          <w:sz w:val="18"/>
          <w:szCs w:val="18"/>
          <w:color w:val="auto"/>
        </w:rPr>
        <w:t>Level 1:</w:t>
        <w:tab/>
        <w:t>Inputs that are quoted prices (unadjusted) in active markets for identical assets or liabilities, accessible by us at the measurement date.</w:t>
      </w:r>
    </w:p>
    <w:p>
      <w:pPr>
        <w:spacing w:after="0" w:line="78" w:lineRule="exact"/>
        <w:rPr>
          <w:sz w:val="20"/>
          <w:szCs w:val="20"/>
          <w:color w:val="auto"/>
        </w:rPr>
      </w:pPr>
    </w:p>
    <w:p>
      <w:pPr>
        <w:ind w:left="1540" w:right="1060" w:hanging="796"/>
        <w:spacing w:after="0" w:line="306" w:lineRule="auto"/>
        <w:tabs>
          <w:tab w:leader="none" w:pos="15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3" w:lineRule="exact"/>
        <w:rPr>
          <w:sz w:val="20"/>
          <w:szCs w:val="20"/>
          <w:color w:val="auto"/>
        </w:rPr>
      </w:pPr>
    </w:p>
    <w:p>
      <w:pPr>
        <w:ind w:left="1540" w:right="1480" w:hanging="796"/>
        <w:spacing w:after="0" w:line="268" w:lineRule="auto"/>
        <w:tabs>
          <w:tab w:leader="none" w:pos="152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260" w:firstLine="571"/>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62" w:lineRule="exact"/>
        <w:rPr>
          <w:sz w:val="20"/>
          <w:szCs w:val="20"/>
          <w:color w:val="auto"/>
        </w:rPr>
      </w:pPr>
    </w:p>
    <w:p>
      <w:pPr>
        <w:ind w:left="660" w:hanging="314"/>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76" w:lineRule="exact"/>
        <w:rPr>
          <w:rFonts w:ascii="Arial" w:cs="Arial" w:eastAsia="Arial" w:hAnsi="Arial"/>
          <w:sz w:val="18"/>
          <w:szCs w:val="18"/>
          <w:color w:val="auto"/>
        </w:rPr>
      </w:pPr>
    </w:p>
    <w:p>
      <w:pPr>
        <w:ind w:left="660" w:right="140" w:hanging="314"/>
        <w:spacing w:after="0" w:line="259"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45" w:lineRule="exact"/>
        <w:rPr>
          <w:rFonts w:ascii="Arial" w:cs="Arial" w:eastAsia="Arial" w:hAnsi="Arial"/>
          <w:sz w:val="18"/>
          <w:szCs w:val="18"/>
          <w:color w:val="auto"/>
        </w:rPr>
      </w:pPr>
    </w:p>
    <w:p>
      <w:pPr>
        <w:ind w:left="660" w:right="20" w:hanging="314"/>
        <w:spacing w:after="0" w:line="268"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32"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will only sell shares of our common stock at a price below net asset value per share if the following conditions are met:</w:t>
      </w:r>
    </w:p>
    <w:p>
      <w:pPr>
        <w:spacing w:after="0" w:line="90" w:lineRule="exact"/>
        <w:rPr>
          <w:sz w:val="20"/>
          <w:szCs w:val="20"/>
          <w:color w:val="auto"/>
        </w:rPr>
      </w:pPr>
    </w:p>
    <w:p>
      <w:pPr>
        <w:ind w:left="660" w:hanging="314"/>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90" w:lineRule="exact"/>
        <w:rPr>
          <w:rFonts w:ascii="Arial" w:cs="Arial" w:eastAsia="Arial" w:hAnsi="Arial"/>
          <w:sz w:val="18"/>
          <w:szCs w:val="18"/>
          <w:color w:val="auto"/>
        </w:rPr>
      </w:pPr>
    </w:p>
    <w:p>
      <w:pPr>
        <w:ind w:left="660" w:right="80" w:hanging="314"/>
        <w:spacing w:after="0" w:line="256"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60"/>
          </w:cols>
          <w:pgMar w:left="240" w:top="459" w:right="2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23"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ind w:right="420" w:firstLine="571"/>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Generally, we intend to issue new shares to implement the plan, when our shares are trading at a premium to our NAV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18"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3"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generally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400" w:firstLine="571"/>
        <w:spacing w:after="0" w:line="268"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32"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6201 15</w:t>
      </w:r>
      <w:r>
        <w:rPr>
          <w:rFonts w:ascii="Arial" w:cs="Arial" w:eastAsia="Arial" w:hAnsi="Arial"/>
          <w:sz w:val="10"/>
          <w:szCs w:val="10"/>
          <w:color w:val="auto"/>
        </w:rPr>
        <w:t>th</w:t>
      </w:r>
      <w:r>
        <w:rPr>
          <w:rFonts w:ascii="Arial" w:cs="Arial" w:eastAsia="Arial" w:hAnsi="Arial"/>
          <w:sz w:val="16"/>
          <w:szCs w:val="16"/>
          <w:color w:val="auto"/>
        </w:rPr>
        <w:t xml:space="preserve"> Avenue, 3</w:t>
      </w:r>
      <w:r>
        <w:rPr>
          <w:rFonts w:ascii="Arial" w:cs="Arial" w:eastAsia="Arial" w:hAnsi="Arial"/>
          <w:sz w:val="10"/>
          <w:szCs w:val="10"/>
          <w:color w:val="auto"/>
        </w:rPr>
        <w:t>rd</w:t>
      </w:r>
      <w:r>
        <w:rPr>
          <w:rFonts w:ascii="Arial" w:cs="Arial" w:eastAsia="Arial" w:hAnsi="Arial"/>
          <w:sz w:val="16"/>
          <w:szCs w:val="16"/>
          <w:color w:val="auto"/>
        </w:rPr>
        <w:t xml:space="preserve"> Floor, Brooklyn, New York 11219, or by the plan administrator’s Interactive Voice Response System at 1-800-278-4353.</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260" w:firstLine="571"/>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As of December 31, 2016, our authorized capital stock consisted of 100,000,000 shares of stock, par value $0.001 per share, all of which is classified as common stock. Our common stock is quoted on the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last reported closing market price of our common stock on April 20, 2017 was $7.81 per share. As of March 31, 2017, we had 12 stockholders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record.</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are our outstanding classes of securities as of December 31, 2016: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ind w:left="460"/>
              <w:spacing w:after="0"/>
              <w:rPr>
                <w:sz w:val="20"/>
                <w:szCs w:val="20"/>
                <w:color w:val="auto"/>
              </w:rPr>
            </w:pPr>
            <w:r>
              <w:rPr>
                <w:rFonts w:ascii="Arial" w:cs="Arial" w:eastAsia="Arial" w:hAnsi="Arial"/>
                <w:sz w:val="14"/>
                <w:szCs w:val="14"/>
                <w:b w:val="1"/>
                <w:bCs w:val="1"/>
                <w:color w:val="auto"/>
              </w:rPr>
              <w:t>Amount Held by</w:t>
            </w:r>
          </w:p>
        </w:tc>
        <w:tc>
          <w:tcPr>
            <w:tcW w:w="1820" w:type="dxa"/>
            <w:vAlign w:val="bottom"/>
          </w:tcPr>
          <w:p>
            <w:pPr>
              <w:spacing w:after="0"/>
              <w:rPr>
                <w:sz w:val="14"/>
                <w:szCs w:val="14"/>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ind w:left="680"/>
              <w:spacing w:after="0" w:line="149" w:lineRule="exact"/>
              <w:rPr>
                <w:sz w:val="20"/>
                <w:szCs w:val="20"/>
                <w:color w:val="auto"/>
              </w:rPr>
            </w:pPr>
            <w:r>
              <w:rPr>
                <w:rFonts w:ascii="Arial" w:cs="Arial" w:eastAsia="Arial" w:hAnsi="Arial"/>
                <w:sz w:val="14"/>
                <w:szCs w:val="14"/>
                <w:b w:val="1"/>
                <w:bCs w:val="1"/>
                <w:color w:val="auto"/>
              </w:rPr>
              <w:t>Amount</w:t>
            </w: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r>
      <w:tr>
        <w:trPr>
          <w:trHeight w:val="17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 of Class</w:t>
            </w:r>
          </w:p>
        </w:tc>
        <w:tc>
          <w:tcPr>
            <w:tcW w:w="1940" w:type="dxa"/>
            <w:vAlign w:val="bottom"/>
            <w:gridSpan w:val="2"/>
          </w:tcPr>
          <w:p>
            <w:pPr>
              <w:ind w:left="560"/>
              <w:spacing w:after="0"/>
              <w:rPr>
                <w:sz w:val="20"/>
                <w:szCs w:val="20"/>
                <w:color w:val="auto"/>
              </w:rPr>
            </w:pPr>
            <w:r>
              <w:rPr>
                <w:rFonts w:ascii="Arial" w:cs="Arial" w:eastAsia="Arial" w:hAnsi="Arial"/>
                <w:sz w:val="14"/>
                <w:szCs w:val="14"/>
                <w:b w:val="1"/>
                <w:bCs w:val="1"/>
                <w:color w:val="auto"/>
              </w:rPr>
              <w:t>Authorized</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Account</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r>
      <w:tr>
        <w:trPr>
          <w:trHeight w:val="55"/>
        </w:trPr>
        <w:tc>
          <w:tcPr>
            <w:tcW w:w="5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216"/>
        </w:trPr>
        <w:tc>
          <w:tcPr>
            <w:tcW w:w="5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Common Stock, par value $0.001 per share</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100,000,000</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71,060,836</w:t>
            </w:r>
          </w:p>
        </w:tc>
      </w:tr>
      <w:tr>
        <w:trPr>
          <w:trHeight w:val="61"/>
        </w:trPr>
        <w:tc>
          <w:tcPr>
            <w:tcW w:w="5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r>
    </w:tbl>
    <w:p>
      <w:pPr>
        <w:spacing w:after="0" w:line="154" w:lineRule="exact"/>
        <w:rPr>
          <w:sz w:val="20"/>
          <w:szCs w:val="20"/>
          <w:color w:val="auto"/>
        </w:rPr>
      </w:pPr>
    </w:p>
    <w:p>
      <w:pPr>
        <w:ind w:right="240" w:firstLine="571"/>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180" w:firstLine="571"/>
        <w:spacing w:after="0" w:line="286" w:lineRule="auto"/>
        <w:rPr>
          <w:sz w:val="20"/>
          <w:szCs w:val="20"/>
          <w:color w:val="auto"/>
        </w:rPr>
      </w:pPr>
      <w:r>
        <w:rPr>
          <w:rFonts w:ascii="Arial" w:cs="Arial" w:eastAsia="Arial" w:hAnsi="Arial"/>
          <w:sz w:val="16"/>
          <w:szCs w:val="16"/>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w:t>
      </w:r>
    </w:p>
    <w:p>
      <w:pPr>
        <w:ind w:right="700" w:firstLine="8"/>
        <w:spacing w:after="0" w:line="323" w:lineRule="auto"/>
        <w:tabs>
          <w:tab w:leader="none" w:pos="249" w:val="left"/>
        </w:tabs>
        <w:numPr>
          <w:ilvl w:val="0"/>
          <w:numId w:val="59"/>
        </w:numPr>
        <w:rPr>
          <w:rFonts w:ascii="Arial" w:cs="Arial" w:eastAsia="Arial" w:hAnsi="Arial"/>
          <w:sz w:val="16"/>
          <w:szCs w:val="16"/>
          <w:color w:val="auto"/>
        </w:rPr>
      </w:pPr>
      <w:r>
        <w:rPr>
          <w:rFonts w:ascii="Arial" w:cs="Arial" w:eastAsia="Arial" w:hAnsi="Arial"/>
          <w:sz w:val="16"/>
          <w:szCs w:val="16"/>
          <w:color w:val="auto"/>
        </w:rPr>
        <w:t>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63" w:lineRule="exact"/>
        <w:rPr>
          <w:sz w:val="20"/>
          <w:szCs w:val="20"/>
          <w:color w:val="auto"/>
        </w:rPr>
      </w:pPr>
    </w:p>
    <w:p>
      <w:pPr>
        <w:ind w:right="40" w:firstLine="571"/>
        <w:spacing w:after="0" w:line="309" w:lineRule="auto"/>
        <w:rPr>
          <w:sz w:val="20"/>
          <w:szCs w:val="20"/>
          <w:color w:val="auto"/>
        </w:rPr>
      </w:pPr>
      <w:r>
        <w:rPr>
          <w:rFonts w:ascii="Arial" w:cs="Arial" w:eastAsia="Arial" w:hAnsi="Arial"/>
          <w:sz w:val="15"/>
          <w:szCs w:val="15"/>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27"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80" w:firstLine="571"/>
        <w:spacing w:after="0" w:line="253"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terms of the first, second and third classes will expire at the annual meeting of stockholders held in 2020, 2018 and 2019,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200" w:firstLine="571"/>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right="400" w:firstLine="571"/>
        <w:spacing w:after="0" w:line="268" w:lineRule="auto"/>
        <w:rPr>
          <w:sz w:val="20"/>
          <w:szCs w:val="20"/>
          <w:color w:val="auto"/>
        </w:rPr>
      </w:pPr>
      <w:r>
        <w:rPr>
          <w:rFonts w:ascii="Arial" w:cs="Arial" w:eastAsia="Arial" w:hAnsi="Arial"/>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39"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ind w:right="100" w:firstLine="571"/>
        <w:spacing w:after="0" w:line="305" w:lineRule="auto"/>
        <w:rPr>
          <w:sz w:val="20"/>
          <w:szCs w:val="20"/>
          <w:color w:val="auto"/>
        </w:rPr>
      </w:pPr>
      <w:r>
        <w:rPr>
          <w:rFonts w:ascii="Arial" w:cs="Arial" w:eastAsia="Arial" w:hAnsi="Arial"/>
          <w:sz w:val="15"/>
          <w:szCs w:val="15"/>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w:t>
      </w:r>
    </w:p>
    <w:p>
      <w:pPr>
        <w:ind w:right="40" w:firstLine="8"/>
        <w:spacing w:after="0" w:line="290" w:lineRule="auto"/>
        <w:tabs>
          <w:tab w:leader="none" w:pos="249" w:val="left"/>
        </w:tabs>
        <w:numPr>
          <w:ilvl w:val="0"/>
          <w:numId w:val="60"/>
        </w:numPr>
        <w:rPr>
          <w:rFonts w:ascii="Arial" w:cs="Arial" w:eastAsia="Arial" w:hAnsi="Arial"/>
          <w:sz w:val="16"/>
          <w:szCs w:val="16"/>
          <w:color w:val="auto"/>
        </w:rPr>
      </w:pPr>
      <w:r>
        <w:rPr>
          <w:rFonts w:ascii="Arial" w:cs="Arial" w:eastAsia="Arial" w:hAnsi="Arial"/>
          <w:sz w:val="16"/>
          <w:szCs w:val="16"/>
          <w:color w:val="auto"/>
        </w:rPr>
        <w:t>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18"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20" w:firstLine="571"/>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480" w:firstLine="571"/>
        <w:spacing w:after="0" w:line="268" w:lineRule="auto"/>
        <w:rPr>
          <w:sz w:val="20"/>
          <w:szCs w:val="20"/>
          <w:color w:val="auto"/>
        </w:rPr>
      </w:pPr>
      <w:r>
        <w:rPr>
          <w:rFonts w:ascii="Arial" w:cs="Arial" w:eastAsia="Arial" w:hAnsi="Arial"/>
          <w:sz w:val="18"/>
          <w:szCs w:val="18"/>
          <w:color w:val="auto"/>
        </w:rPr>
        <w:t>Except with respect to appraisal rights arising in connection with the Control Share Acquisition Act discussed below, as permitted by the Maryland General Corporation Law, our charter provides that stockholders will not be entitled to exercise appraisal rights.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220" w:firstLine="571"/>
        <w:spacing w:after="0" w:line="332" w:lineRule="auto"/>
        <w:rPr>
          <w:sz w:val="20"/>
          <w:szCs w:val="20"/>
          <w:color w:val="auto"/>
        </w:rPr>
      </w:pPr>
      <w:r>
        <w:rPr>
          <w:rFonts w:ascii="Arial" w:cs="Arial" w:eastAsia="Arial" w:hAnsi="Arial"/>
          <w:sz w:val="16"/>
          <w:szCs w:val="16"/>
          <w:color w:val="auto"/>
        </w:rPr>
        <w:t>Our bylaws contain a provision exempting from the Control Share Acquisition Act any and all acquisitions by any person of shares of our stock. There can be no assurance that such provision will not be amended or eliminated at any time in the future to the extent permitted by the 1940 Act.</w:t>
      </w:r>
    </w:p>
    <w:p>
      <w:pPr>
        <w:spacing w:after="0" w:line="4"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5" w:lineRule="exact"/>
        <w:rPr>
          <w:sz w:val="20"/>
          <w:szCs w:val="20"/>
          <w:color w:val="auto"/>
        </w:rPr>
      </w:pPr>
    </w:p>
    <w:p>
      <w:pPr>
        <w:ind w:left="660" w:hanging="314"/>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90" w:lineRule="exact"/>
        <w:rPr>
          <w:sz w:val="20"/>
          <w:szCs w:val="20"/>
          <w:color w:val="auto"/>
        </w:rPr>
      </w:pPr>
    </w:p>
    <w:p>
      <w:pPr>
        <w:jc w:val="both"/>
        <w:ind w:right="120" w:firstLine="571"/>
        <w:spacing w:after="0" w:line="306" w:lineRule="auto"/>
        <w:rPr>
          <w:sz w:val="20"/>
          <w:szCs w:val="20"/>
          <w:color w:val="auto"/>
        </w:rPr>
      </w:pPr>
      <w:r>
        <w:rPr>
          <w:rFonts w:ascii="Arial" w:cs="Arial" w:eastAsia="Arial" w:hAnsi="Arial"/>
          <w:sz w:val="16"/>
          <w:szCs w:val="16"/>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control shares, subject to certain exceptions.</w:t>
      </w:r>
    </w:p>
    <w:p>
      <w:pPr>
        <w:spacing w:after="0" w:line="26"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62"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37"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660" w:hanging="314"/>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shares; or</w:t>
      </w:r>
    </w:p>
    <w:p>
      <w:pPr>
        <w:spacing w:after="0" w:line="76" w:lineRule="exact"/>
        <w:rPr>
          <w:rFonts w:ascii="Arial" w:cs="Arial" w:eastAsia="Arial" w:hAnsi="Arial"/>
          <w:sz w:val="18"/>
          <w:szCs w:val="18"/>
          <w:color w:val="auto"/>
        </w:rPr>
      </w:pPr>
    </w:p>
    <w:p>
      <w:pPr>
        <w:ind w:left="660" w:right="60" w:hanging="314"/>
        <w:spacing w:after="0" w:line="268"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51"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76" w:lineRule="exact"/>
        <w:rPr>
          <w:rFonts w:ascii="Arial" w:cs="Arial" w:eastAsia="Arial" w:hAnsi="Arial"/>
          <w:sz w:val="18"/>
          <w:szCs w:val="18"/>
          <w:color w:val="auto"/>
        </w:rPr>
      </w:pPr>
    </w:p>
    <w:p>
      <w:pPr>
        <w:ind w:left="660" w:right="40" w:hanging="314"/>
        <w:spacing w:after="0" w:line="332"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4" w:lineRule="exact"/>
        <w:rPr>
          <w:sz w:val="20"/>
          <w:szCs w:val="20"/>
          <w:color w:val="auto"/>
        </w:rPr>
      </w:pPr>
    </w:p>
    <w:p>
      <w:pPr>
        <w:ind w:right="60" w:firstLine="571"/>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4"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76" w:lineRule="exact"/>
        <w:rPr>
          <w:rFonts w:ascii="Arial" w:cs="Arial" w:eastAsia="Arial" w:hAnsi="Arial"/>
          <w:sz w:val="18"/>
          <w:szCs w:val="18"/>
          <w:color w:val="auto"/>
        </w:rPr>
      </w:pPr>
    </w:p>
    <w:p>
      <w:pPr>
        <w:ind w:left="660" w:right="60" w:hanging="314"/>
        <w:spacing w:after="0" w:line="268"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76" w:lineRule="exact"/>
        <w:rPr>
          <w:rFonts w:ascii="Arial" w:cs="Arial" w:eastAsia="Arial" w:hAnsi="Arial"/>
          <w:sz w:val="18"/>
          <w:szCs w:val="18"/>
          <w:color w:val="auto"/>
        </w:rPr>
      </w:pPr>
    </w:p>
    <w:p>
      <w:pPr>
        <w:ind w:left="660" w:right="840" w:hanging="314"/>
        <w:spacing w:after="0" w:line="268"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76" w:lineRule="exact"/>
        <w:rPr>
          <w:rFonts w:ascii="Arial" w:cs="Arial" w:eastAsia="Arial" w:hAnsi="Arial"/>
          <w:sz w:val="18"/>
          <w:szCs w:val="18"/>
          <w:color w:val="auto"/>
        </w:rPr>
      </w:pPr>
    </w:p>
    <w:p>
      <w:pPr>
        <w:ind w:left="660" w:right="760" w:hanging="314"/>
        <w:spacing w:after="0" w:line="268"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571"/>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76" w:lineRule="exact"/>
        <w:rPr>
          <w:rFonts w:ascii="Arial" w:cs="Arial" w:eastAsia="Arial" w:hAnsi="Arial"/>
          <w:sz w:val="18"/>
          <w:szCs w:val="18"/>
          <w:color w:val="auto"/>
        </w:rPr>
      </w:pPr>
    </w:p>
    <w:p>
      <w:pPr>
        <w:ind w:left="660" w:right="20" w:hanging="314"/>
        <w:spacing w:after="0" w:line="268"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37" w:lineRule="exact"/>
        <w:rPr>
          <w:rFonts w:ascii="Arial" w:cs="Arial" w:eastAsia="Arial" w:hAnsi="Arial"/>
          <w:sz w:val="18"/>
          <w:szCs w:val="18"/>
          <w:color w:val="auto"/>
        </w:rPr>
      </w:pPr>
    </w:p>
    <w:p>
      <w:pPr>
        <w:ind w:left="660" w:right="320" w:hanging="314"/>
        <w:spacing w:after="0" w:line="259"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5" w:lineRule="exact"/>
        <w:rPr>
          <w:rFonts w:ascii="Arial" w:cs="Arial" w:eastAsia="Arial" w:hAnsi="Arial"/>
          <w:sz w:val="18"/>
          <w:szCs w:val="18"/>
          <w:color w:val="auto"/>
        </w:rPr>
      </w:pPr>
    </w:p>
    <w:p>
      <w:pPr>
        <w:ind w:left="660" w:right="200" w:hanging="314"/>
        <w:spacing w:after="0" w:line="259"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5"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other terms of such warrants, including terms, procedures and limitations relating to the exchange and exercise of such warrants.</w:t>
      </w:r>
    </w:p>
    <w:p>
      <w:pPr>
        <w:spacing w:after="0" w:line="171"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4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right="120" w:firstLine="571"/>
        <w:spacing w:after="0" w:line="290"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price is not less than the market value of our common stock at the date of issuance, (3)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99" w:lineRule="exact"/>
        <w:rPr>
          <w:rFonts w:ascii="Arial" w:cs="Arial" w:eastAsia="Arial" w:hAnsi="Arial"/>
          <w:sz w:val="16"/>
          <w:szCs w:val="16"/>
          <w:color w:val="auto"/>
        </w:rPr>
      </w:pPr>
    </w:p>
    <w:p>
      <w:pPr>
        <w:ind w:left="660" w:right="760" w:hanging="314"/>
        <w:spacing w:after="0" w:line="268"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76" w:lineRule="exact"/>
        <w:rPr>
          <w:rFonts w:ascii="Arial" w:cs="Arial" w:eastAsia="Arial" w:hAnsi="Arial"/>
          <w:sz w:val="18"/>
          <w:szCs w:val="18"/>
          <w:color w:val="auto"/>
        </w:rPr>
      </w:pPr>
    </w:p>
    <w:p>
      <w:pPr>
        <w:ind w:left="660" w:right="180" w:hanging="314"/>
        <w:spacing w:after="0" w:line="268"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any other terms of such subscription rights, including terms, procedures and limitations relating to the exchange and exercise of such subscription rights.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Subscription Rights</w:t>
      </w:r>
    </w:p>
    <w:p>
      <w:pPr>
        <w:spacing w:after="0" w:line="96" w:lineRule="exact"/>
        <w:rPr>
          <w:sz w:val="20"/>
          <w:szCs w:val="20"/>
          <w:color w:val="auto"/>
        </w:rPr>
      </w:pPr>
    </w:p>
    <w:p>
      <w:pPr>
        <w:ind w:right="140" w:firstLine="571"/>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right="40" w:firstLine="571"/>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DEBT SECURITIES</w:t>
      </w:r>
    </w:p>
    <w:p>
      <w:pPr>
        <w:spacing w:after="0" w:line="96"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As of December 31, 2016 and September 30, 2016, we had $250.0 million in aggregate principal amount of 2019 Notes. Interest on the 2019 Notes accrues at a rate of 4.50% per year and is paid semi-annually.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w:t>
      </w:r>
    </w:p>
    <w:p>
      <w:pPr>
        <w:spacing w:after="0" w:line="62"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As of December 31, 2016 and September 30, 2016, we had $71.3 million in aggregate principal amount of 2025 Notes. Interest on the 2025 Notes accrues at a rate of 6.25% per year and is paid quarterly. The 2025 Notes mature on February 1, 2025. The 2025 Notes are our general, unsecured obligations and rank equal in right of payment with all of our existing and future senior unsecured indebtedness. The 2025 Notes are structurally subordinated to our SBA debentures and the assets pledged or secured under our Credit Facility. The 2025 Notes are quoted on the NYSE under the ticker symbol “PNTA.” The last reported closing market price of the 2025 Notes on April 20, 2017 was $25.235 per $25 of par.</w:t>
      </w:r>
    </w:p>
    <w:p>
      <w:pPr>
        <w:spacing w:after="0" w:line="35"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62" w:lineRule="exact"/>
        <w:rPr>
          <w:sz w:val="20"/>
          <w:szCs w:val="20"/>
          <w:color w:val="auto"/>
        </w:rPr>
      </w:pPr>
    </w:p>
    <w:p>
      <w:pPr>
        <w:ind w:right="180" w:firstLine="571"/>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w:t>
      </w:r>
    </w:p>
    <w:p>
      <w:pPr>
        <w:spacing w:after="0" w:line="35"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indenture with the SEC.</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prospectus supplement will describe the particular series of debt securities being offered by including:</w:t>
      </w:r>
    </w:p>
    <w:p>
      <w:pPr>
        <w:spacing w:after="0" w:line="77" w:lineRule="exact"/>
        <w:rPr>
          <w:sz w:val="20"/>
          <w:szCs w:val="20"/>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36" w:lineRule="exact"/>
        <w:rPr>
          <w:rFonts w:ascii="Arial" w:cs="Arial" w:eastAsia="Arial" w:hAnsi="Arial"/>
          <w:sz w:val="18"/>
          <w:szCs w:val="18"/>
          <w:color w:val="auto"/>
        </w:rPr>
      </w:pPr>
    </w:p>
    <w:p>
      <w:pPr>
        <w:ind w:left="660" w:right="180" w:hanging="314"/>
        <w:spacing w:after="0" w:line="266"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36" w:lineRule="exact"/>
        <w:rPr>
          <w:rFonts w:ascii="Arial" w:cs="Arial" w:eastAsia="Arial" w:hAnsi="Arial"/>
          <w:sz w:val="18"/>
          <w:szCs w:val="18"/>
          <w:color w:val="auto"/>
        </w:rPr>
      </w:pPr>
    </w:p>
    <w:p>
      <w:pPr>
        <w:ind w:left="660" w:right="20" w:hanging="314"/>
        <w:spacing w:after="0" w:line="266"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36" w:lineRule="exact"/>
        <w:rPr>
          <w:rFonts w:ascii="Arial" w:cs="Arial" w:eastAsia="Arial" w:hAnsi="Arial"/>
          <w:sz w:val="18"/>
          <w:szCs w:val="18"/>
          <w:color w:val="auto"/>
        </w:rPr>
      </w:pPr>
    </w:p>
    <w:p>
      <w:pPr>
        <w:ind w:left="660" w:right="60" w:hanging="314"/>
        <w:spacing w:after="0" w:line="259"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59" w:lineRule="exact"/>
        <w:rPr>
          <w:rFonts w:ascii="Arial" w:cs="Arial" w:eastAsia="Arial" w:hAnsi="Arial"/>
          <w:sz w:val="16"/>
          <w:szCs w:val="16"/>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40" w:hanging="314"/>
        <w:spacing w:after="0" w:line="299"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ind w:left="660" w:hanging="314"/>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90"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The debt securities may be secured or unsecured obligations. Under the provisions of the 1940 Act, we are permitted, as a BDC, to issue debt only in amounts such that we are in compliance with our asset coverage ratio, as defined in the 1940 Act, excluding the SBA debentures due to SEC exemptive relief granted in June 2011. Unless the prospectus supplement states otherwise, principal (and premium, if any) and interest, if any, will be paid by us in immediately available funds.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any prospectus supplement, or offered debt securities, and any debt securities issuable upon the exercise of warrants or upon conversion or exchange of other offered securities, or underlying debt securities may be issued under the indenture in one or more series.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20"/>
          </w:cols>
          <w:pgMar w:left="240" w:top="459"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571"/>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24"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86" w:lineRule="exact"/>
        <w:rPr>
          <w:sz w:val="20"/>
          <w:szCs w:val="20"/>
          <w:color w:val="auto"/>
        </w:rPr>
      </w:pPr>
    </w:p>
    <w:p>
      <w:pPr>
        <w:ind w:right="560" w:firstLine="571"/>
        <w:spacing w:after="0" w:line="317" w:lineRule="auto"/>
        <w:rPr>
          <w:sz w:val="20"/>
          <w:szCs w:val="20"/>
          <w:color w:val="auto"/>
        </w:rPr>
      </w:pPr>
      <w:r>
        <w:rPr>
          <w:rFonts w:ascii="Arial" w:cs="Arial" w:eastAsia="Arial" w:hAnsi="Arial"/>
          <w:sz w:val="16"/>
          <w:szCs w:val="16"/>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ind w:right="180" w:firstLine="571"/>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32"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69"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69"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32" w:lineRule="exact"/>
        <w:rPr>
          <w:sz w:val="20"/>
          <w:szCs w:val="20"/>
          <w:color w:val="auto"/>
        </w:rPr>
      </w:pPr>
    </w:p>
    <w:p>
      <w:pPr>
        <w:ind w:right="180" w:firstLine="571"/>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63"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5"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58" w:lineRule="exact"/>
        <w:rPr>
          <w:sz w:val="20"/>
          <w:szCs w:val="20"/>
          <w:color w:val="auto"/>
        </w:rPr>
      </w:pPr>
    </w:p>
    <w:p>
      <w:pPr>
        <w:jc w:val="both"/>
        <w:ind w:right="40" w:firstLine="571"/>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571"/>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16" w:lineRule="exact"/>
        <w:rPr>
          <w:sz w:val="20"/>
          <w:szCs w:val="20"/>
          <w:color w:val="auto"/>
        </w:rPr>
      </w:pPr>
    </w:p>
    <w:p>
      <w:pPr>
        <w:ind w:right="360" w:firstLine="571"/>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660" w:hanging="314"/>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76"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37" w:lineRule="exact"/>
        <w:rPr>
          <w:rFonts w:ascii="Arial" w:cs="Arial" w:eastAsia="Arial" w:hAnsi="Arial"/>
          <w:sz w:val="18"/>
          <w:szCs w:val="18"/>
          <w:color w:val="auto"/>
        </w:rPr>
      </w:pPr>
    </w:p>
    <w:p>
      <w:pPr>
        <w:ind w:left="660" w:right="20" w:hanging="314"/>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20" w:firstLine="571"/>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660" w:right="100" w:hanging="314"/>
        <w:spacing w:after="0" w:line="26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37" w:lineRule="exact"/>
        <w:rPr>
          <w:rFonts w:ascii="Arial" w:cs="Arial" w:eastAsia="Arial" w:hAnsi="Arial"/>
          <w:sz w:val="18"/>
          <w:szCs w:val="18"/>
          <w:color w:val="auto"/>
        </w:rPr>
      </w:pPr>
    </w:p>
    <w:p>
      <w:pPr>
        <w:ind w:left="660" w:right="100" w:hanging="314"/>
        <w:spacing w:after="0" w:line="347" w:lineRule="auto"/>
        <w:tabs>
          <w:tab w:leader="none" w:pos="6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ind w:left="660" w:right="340" w:hanging="314"/>
        <w:spacing w:after="0" w:line="26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37" w:lineRule="exact"/>
        <w:rPr>
          <w:rFonts w:ascii="Arial" w:cs="Arial" w:eastAsia="Arial" w:hAnsi="Arial"/>
          <w:sz w:val="18"/>
          <w:szCs w:val="18"/>
          <w:color w:val="auto"/>
        </w:rPr>
      </w:pPr>
    </w:p>
    <w:p>
      <w:pPr>
        <w:ind w:left="660" w:right="120" w:hanging="314"/>
        <w:spacing w:after="0" w:line="26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37" w:lineRule="exact"/>
        <w:rPr>
          <w:rFonts w:ascii="Arial" w:cs="Arial" w:eastAsia="Arial" w:hAnsi="Arial"/>
          <w:sz w:val="18"/>
          <w:szCs w:val="18"/>
          <w:color w:val="auto"/>
        </w:rPr>
      </w:pPr>
    </w:p>
    <w:p>
      <w:pPr>
        <w:ind w:left="660" w:right="140" w:hanging="314"/>
        <w:spacing w:after="0" w:line="259"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45" w:lineRule="exact"/>
        <w:rPr>
          <w:rFonts w:ascii="Arial" w:cs="Arial" w:eastAsia="Arial" w:hAnsi="Arial"/>
          <w:sz w:val="18"/>
          <w:szCs w:val="18"/>
          <w:color w:val="auto"/>
        </w:rPr>
      </w:pPr>
    </w:p>
    <w:p>
      <w:pPr>
        <w:ind w:left="660" w:right="360" w:hanging="314"/>
        <w:spacing w:after="0" w:line="26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37" w:lineRule="exact"/>
        <w:rPr>
          <w:rFonts w:ascii="Arial" w:cs="Arial" w:eastAsia="Arial" w:hAnsi="Arial"/>
          <w:sz w:val="18"/>
          <w:szCs w:val="18"/>
          <w:color w:val="auto"/>
        </w:rPr>
      </w:pPr>
    </w:p>
    <w:p>
      <w:pPr>
        <w:ind w:left="660" w:right="180" w:hanging="314"/>
        <w:spacing w:after="0" w:line="259"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5" w:lineRule="exact"/>
        <w:rPr>
          <w:rFonts w:ascii="Arial" w:cs="Arial" w:eastAsia="Arial" w:hAnsi="Arial"/>
          <w:sz w:val="18"/>
          <w:szCs w:val="18"/>
          <w:color w:val="auto"/>
        </w:rPr>
      </w:pPr>
    </w:p>
    <w:p>
      <w:pPr>
        <w:ind w:left="660" w:right="240" w:hanging="314"/>
        <w:spacing w:after="0" w:line="325"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1" w:lineRule="exact"/>
        <w:rPr>
          <w:rFonts w:ascii="Arial" w:cs="Arial" w:eastAsia="Arial" w:hAnsi="Arial"/>
          <w:sz w:val="16"/>
          <w:szCs w:val="16"/>
          <w:color w:val="auto"/>
        </w:rPr>
      </w:pPr>
    </w:p>
    <w:p>
      <w:pPr>
        <w:ind w:left="660" w:right="20" w:hanging="314"/>
        <w:spacing w:after="0" w:line="306"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660" w:right="400" w:hanging="314"/>
        <w:spacing w:after="0" w:line="268"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76" w:lineRule="exact"/>
        <w:rPr>
          <w:rFonts w:ascii="Arial" w:cs="Arial" w:eastAsia="Arial" w:hAnsi="Arial"/>
          <w:sz w:val="18"/>
          <w:szCs w:val="18"/>
          <w:color w:val="auto"/>
        </w:rPr>
      </w:pPr>
    </w:p>
    <w:p>
      <w:pPr>
        <w:ind w:left="660" w:right="280" w:hanging="314"/>
        <w:spacing w:after="0" w:line="268"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213" w:lineRule="exact"/>
        <w:rPr>
          <w:sz w:val="20"/>
          <w:szCs w:val="20"/>
          <w:color w:val="auto"/>
        </w:rPr>
      </w:pPr>
    </w:p>
    <w:p>
      <w:pPr>
        <w:jc w:val="both"/>
        <w:ind w:firstLine="571"/>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jc w:val="center"/>
        <w:ind w:left="500" w:right="320"/>
        <w:spacing w:after="0" w:line="440"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 102</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660" w:hanging="314"/>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76" w:lineRule="exact"/>
        <w:rPr>
          <w:rFonts w:ascii="Arial" w:cs="Arial" w:eastAsia="Arial" w:hAnsi="Arial"/>
          <w:sz w:val="18"/>
          <w:szCs w:val="18"/>
          <w:color w:val="auto"/>
        </w:rPr>
      </w:pPr>
    </w:p>
    <w:p>
      <w:pPr>
        <w:ind w:left="660" w:right="400" w:hanging="314"/>
        <w:spacing w:after="0" w:line="325"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1" w:lineRule="exact"/>
        <w:rPr>
          <w:rFonts w:ascii="Arial" w:cs="Arial" w:eastAsia="Arial" w:hAnsi="Arial"/>
          <w:sz w:val="16"/>
          <w:szCs w:val="16"/>
          <w:color w:val="auto"/>
        </w:rPr>
      </w:pPr>
    </w:p>
    <w:p>
      <w:pPr>
        <w:ind w:left="660" w:hanging="314"/>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76" w:lineRule="exact"/>
        <w:rPr>
          <w:rFonts w:ascii="Arial" w:cs="Arial" w:eastAsia="Arial" w:hAnsi="Arial"/>
          <w:sz w:val="18"/>
          <w:szCs w:val="18"/>
          <w:color w:val="auto"/>
        </w:rPr>
      </w:pPr>
    </w:p>
    <w:p>
      <w:pPr>
        <w:ind w:left="660" w:right="280" w:hanging="314"/>
        <w:spacing w:after="0" w:line="268"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 including, in the case of the 2019 Notes, certain defaults by any of our significant subsidiaries.</w:t>
      </w:r>
    </w:p>
    <w:p>
      <w:pPr>
        <w:spacing w:after="0" w:line="132"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If an Event of Default has occurred and has not been cured or waived (other than, in the case of the 2019 Notes, an Event of Default expected in the next to last bullet point above),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43"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37" w:lineRule="exact"/>
        <w:rPr>
          <w:sz w:val="20"/>
          <w:szCs w:val="20"/>
          <w:color w:val="auto"/>
        </w:rPr>
      </w:pPr>
    </w:p>
    <w:p>
      <w:pPr>
        <w:ind w:left="660" w:hanging="314"/>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76" w:lineRule="exact"/>
        <w:rPr>
          <w:rFonts w:ascii="Arial" w:cs="Arial" w:eastAsia="Arial" w:hAnsi="Arial"/>
          <w:sz w:val="18"/>
          <w:szCs w:val="18"/>
          <w:color w:val="auto"/>
        </w:rPr>
      </w:pPr>
    </w:p>
    <w:p>
      <w:pPr>
        <w:ind w:left="660" w:right="180" w:hanging="314"/>
        <w:spacing w:after="0" w:line="325"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1" w:lineRule="exact"/>
        <w:rPr>
          <w:rFonts w:ascii="Arial" w:cs="Arial" w:eastAsia="Arial" w:hAnsi="Arial"/>
          <w:sz w:val="16"/>
          <w:szCs w:val="16"/>
          <w:color w:val="auto"/>
        </w:rPr>
      </w:pPr>
    </w:p>
    <w:p>
      <w:pPr>
        <w:ind w:left="660" w:hanging="314"/>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76" w:lineRule="exact"/>
        <w:rPr>
          <w:rFonts w:ascii="Arial" w:cs="Arial" w:eastAsia="Arial" w:hAnsi="Arial"/>
          <w:sz w:val="18"/>
          <w:szCs w:val="18"/>
          <w:color w:val="auto"/>
        </w:rPr>
      </w:pPr>
    </w:p>
    <w:p>
      <w:pPr>
        <w:ind w:left="660" w:right="120" w:hanging="314"/>
        <w:spacing w:after="0" w:line="268"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400" w:firstLine="571"/>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jc w:val="both"/>
        <w:ind w:right="180" w:firstLine="571"/>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firstLine="571"/>
        <w:spacing w:after="0" w:line="33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4" w:lineRule="exact"/>
        <w:rPr>
          <w:sz w:val="20"/>
          <w:szCs w:val="20"/>
          <w:color w:val="auto"/>
        </w:rPr>
      </w:pPr>
    </w:p>
    <w:p>
      <w:pPr>
        <w:ind w:left="660" w:hanging="314"/>
        <w:spacing w:after="0"/>
        <w:tabs>
          <w:tab w:leader="none" w:pos="6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where we merge out of existence or sell our assets, the resulting entity must agree to be legally responsible for our obligations under the debt securities;</w:t>
      </w:r>
    </w:p>
    <w:p>
      <w:pPr>
        <w:spacing w:after="0" w:line="111" w:lineRule="exact"/>
        <w:rPr>
          <w:rFonts w:ascii="Arial" w:cs="Arial" w:eastAsia="Arial" w:hAnsi="Arial"/>
          <w:sz w:val="15"/>
          <w:szCs w:val="15"/>
          <w:color w:val="auto"/>
        </w:rPr>
      </w:pPr>
    </w:p>
    <w:p>
      <w:pPr>
        <w:ind w:left="660" w:hanging="314"/>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alternatively, except in the case of the 2019 Notes, we must be the surviving company;</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13" w:lineRule="exact"/>
        <w:rPr>
          <w:sz w:val="20"/>
          <w:szCs w:val="20"/>
          <w:color w:val="auto"/>
        </w:rPr>
      </w:pPr>
    </w:p>
    <w:p>
      <w:pPr>
        <w:ind w:left="660" w:hanging="314"/>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99" w:lineRule="exact"/>
        <w:rPr>
          <w:rFonts w:ascii="Arial" w:cs="Arial" w:eastAsia="Arial" w:hAnsi="Arial"/>
          <w:sz w:val="16"/>
          <w:szCs w:val="16"/>
          <w:color w:val="auto"/>
        </w:rPr>
      </w:pPr>
    </w:p>
    <w:p>
      <w:pPr>
        <w:ind w:left="660" w:hanging="314"/>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76" w:lineRule="exact"/>
        <w:rPr>
          <w:rFonts w:ascii="Arial" w:cs="Arial" w:eastAsia="Arial" w:hAnsi="Arial"/>
          <w:sz w:val="18"/>
          <w:szCs w:val="18"/>
          <w:color w:val="auto"/>
        </w:rPr>
      </w:pPr>
    </w:p>
    <w:p>
      <w:pPr>
        <w:ind w:left="660" w:right="220" w:hanging="314"/>
        <w:spacing w:after="0" w:line="26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37" w:lineRule="exact"/>
        <w:rPr>
          <w:rFonts w:ascii="Arial" w:cs="Arial" w:eastAsia="Arial" w:hAnsi="Arial"/>
          <w:sz w:val="18"/>
          <w:szCs w:val="18"/>
          <w:color w:val="auto"/>
        </w:rPr>
      </w:pPr>
    </w:p>
    <w:p>
      <w:pPr>
        <w:ind w:left="660" w:right="160" w:hanging="314"/>
        <w:spacing w:after="0" w:line="26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90" w:lineRule="exact"/>
        <w:rPr>
          <w:sz w:val="20"/>
          <w:szCs w:val="20"/>
          <w:color w:val="auto"/>
        </w:rPr>
      </w:pPr>
    </w:p>
    <w:p>
      <w:pPr>
        <w:ind w:left="660" w:hanging="314"/>
        <w:spacing w:after="0"/>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99" w:lineRule="exact"/>
        <w:rPr>
          <w:rFonts w:ascii="Arial" w:cs="Arial" w:eastAsia="Arial" w:hAnsi="Arial"/>
          <w:sz w:val="16"/>
          <w:szCs w:val="16"/>
          <w:color w:val="auto"/>
        </w:rPr>
      </w:pPr>
    </w:p>
    <w:p>
      <w:pPr>
        <w:ind w:left="660" w:right="560" w:hanging="314"/>
        <w:spacing w:after="0" w:line="332"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20"/>
          </w:cols>
          <w:pgMar w:left="240" w:top="459"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660" w:right="300" w:hanging="314"/>
        <w:spacing w:after="0" w:line="268"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37" w:lineRule="exact"/>
        <w:rPr>
          <w:rFonts w:ascii="Arial" w:cs="Arial" w:eastAsia="Arial" w:hAnsi="Arial"/>
          <w:sz w:val="18"/>
          <w:szCs w:val="18"/>
          <w:color w:val="auto"/>
        </w:rPr>
      </w:pPr>
    </w:p>
    <w:p>
      <w:pPr>
        <w:ind w:left="660" w:right="160" w:hanging="314"/>
        <w:spacing w:after="0" w:line="268"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14" w:lineRule="exact"/>
        <w:rPr>
          <w:sz w:val="20"/>
          <w:szCs w:val="20"/>
          <w:color w:val="auto"/>
        </w:rPr>
      </w:pPr>
    </w:p>
    <w:p>
      <w:pPr>
        <w:ind w:right="220" w:firstLine="571"/>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jc w:val="both"/>
        <w:ind w:left="660" w:right="40" w:hanging="314"/>
        <w:spacing w:after="0" w:line="259"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45" w:lineRule="exact"/>
        <w:rPr>
          <w:rFonts w:ascii="Arial" w:cs="Arial" w:eastAsia="Arial" w:hAnsi="Arial"/>
          <w:sz w:val="18"/>
          <w:szCs w:val="18"/>
          <w:color w:val="auto"/>
        </w:rPr>
      </w:pPr>
    </w:p>
    <w:p>
      <w:pPr>
        <w:ind w:left="660" w:right="40" w:hanging="314"/>
        <w:spacing w:after="0" w:line="259"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400" w:firstLine="571"/>
        <w:spacing w:after="0" w:line="33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85" w:lineRule="exact"/>
        <w:rPr>
          <w:sz w:val="20"/>
          <w:szCs w:val="20"/>
          <w:color w:val="auto"/>
        </w:rPr>
      </w:pPr>
    </w:p>
    <w:p>
      <w:pPr>
        <w:ind w:right="260" w:firstLine="571"/>
        <w:spacing w:after="0" w:line="335" w:lineRule="auto"/>
        <w:rPr>
          <w:sz w:val="20"/>
          <w:szCs w:val="20"/>
          <w:color w:val="auto"/>
        </w:rPr>
      </w:pPr>
      <w:r>
        <w:rPr>
          <w:rFonts w:ascii="Arial" w:cs="Arial" w:eastAsia="Arial" w:hAnsi="Arial"/>
          <w:sz w:val="15"/>
          <w:szCs w:val="15"/>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540" w:firstLine="571"/>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jc w:val="both"/>
        <w:ind w:left="660" w:right="80" w:hanging="314"/>
        <w:spacing w:after="0" w:line="259"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45" w:lineRule="exact"/>
        <w:rPr>
          <w:rFonts w:ascii="Arial" w:cs="Arial" w:eastAsia="Arial" w:hAnsi="Arial"/>
          <w:sz w:val="18"/>
          <w:szCs w:val="18"/>
          <w:color w:val="auto"/>
        </w:rPr>
      </w:pPr>
    </w:p>
    <w:p>
      <w:pPr>
        <w:ind w:left="660" w:right="40" w:hanging="314"/>
        <w:spacing w:after="0" w:line="318" w:lineRule="auto"/>
        <w:tabs>
          <w:tab w:leader="none" w:pos="660" w:val="left"/>
        </w:tabs>
        <w:numPr>
          <w:ilvl w:val="0"/>
          <w:numId w:val="79"/>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5" w:lineRule="exact"/>
        <w:rPr>
          <w:rFonts w:ascii="Arial" w:cs="Arial" w:eastAsia="Arial" w:hAnsi="Arial"/>
          <w:sz w:val="15"/>
          <w:szCs w:val="15"/>
          <w:color w:val="auto"/>
        </w:rPr>
      </w:pPr>
    </w:p>
    <w:p>
      <w:pPr>
        <w:ind w:left="660" w:right="200" w:hanging="314"/>
        <w:spacing w:after="0" w:line="268"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32"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90" w:lineRule="exact"/>
        <w:rPr>
          <w:sz w:val="20"/>
          <w:szCs w:val="20"/>
          <w:color w:val="auto"/>
        </w:rPr>
      </w:pPr>
    </w:p>
    <w:p>
      <w:pPr>
        <w:ind w:left="660" w:hanging="314"/>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20" w:firstLine="571"/>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40" w:firstLine="571"/>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jc w:val="both"/>
        <w:ind w:right="440" w:firstLine="571"/>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80" w:firstLine="571"/>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660" w:hanging="314"/>
        <w:spacing w:after="0" w:line="256"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48" w:lineRule="exact"/>
        <w:rPr>
          <w:rFonts w:ascii="Arial" w:cs="Arial" w:eastAsia="Arial" w:hAnsi="Arial"/>
          <w:sz w:val="18"/>
          <w:szCs w:val="18"/>
          <w:color w:val="auto"/>
        </w:rPr>
      </w:pPr>
    </w:p>
    <w:p>
      <w:pPr>
        <w:ind w:left="660" w:hanging="314"/>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320" w:firstLine="571"/>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prospectus supplement will set forth the approximate amount of our Senior Indebtedness outstanding as of a recent date.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American Stock Transfer &amp; Trust Company, LLC is the trustee under the indenture.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jc w:val="both"/>
        <w:ind w:right="120" w:firstLine="571"/>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UNITS</w:t>
      </w:r>
    </w:p>
    <w:p>
      <w:pPr>
        <w:spacing w:after="0" w:line="177"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As specified in the applicable prospectus supplement, we may issue units comprised of one or more of the other securities described in this prospectus in any combination. Each unit may also include securities issued by the U.S. Treasury. Each unit will be issued so that the holder of the unit is also the holder of each security included in the unit. Thus, the holder of a unit will have the rights and obligations of a holder of each included security. The prospectus supplement will describe:</w:t>
      </w:r>
    </w:p>
    <w:p>
      <w:pPr>
        <w:spacing w:after="0" w:line="62" w:lineRule="exact"/>
        <w:rPr>
          <w:sz w:val="20"/>
          <w:szCs w:val="20"/>
          <w:color w:val="auto"/>
        </w:rPr>
      </w:pPr>
    </w:p>
    <w:p>
      <w:pPr>
        <w:ind w:left="660" w:right="680" w:hanging="314"/>
        <w:spacing w:after="0" w:line="268"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the securities comprising the units may be held or transferred separately;</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252" w:lineRule="exact"/>
        <w:rPr>
          <w:sz w:val="20"/>
          <w:szCs w:val="20"/>
          <w:color w:val="auto"/>
        </w:rPr>
      </w:pPr>
    </w:p>
    <w:p>
      <w:pPr>
        <w:ind w:right="80" w:firstLine="571"/>
        <w:spacing w:after="0" w:line="284" w:lineRule="auto"/>
        <w:rPr>
          <w:sz w:val="20"/>
          <w:szCs w:val="20"/>
          <w:color w:val="auto"/>
        </w:rPr>
      </w:pPr>
      <w:r>
        <w:rPr>
          <w:rFonts w:ascii="Arial" w:cs="Arial" w:eastAsia="Arial" w:hAnsi="Arial"/>
          <w:sz w:val="16"/>
          <w:szCs w:val="16"/>
          <w:color w:val="auto"/>
        </w:rPr>
        <w:t>If a unit includes a share of common stock, the public offering price for the unit will reflect a price per share of common stock that equals or exceeds our then current NAV per share, unless the requirements of Section 63 of the 1940 Act have been satisfied. Section 63 permits us to sell shares of common stock below our then current NAV per share if: (1) the majority of our board of directors approves the offering as being in the best interests of us and our stockholders,</w:t>
      </w:r>
    </w:p>
    <w:p>
      <w:pPr>
        <w:spacing w:after="0" w:line="1" w:lineRule="exact"/>
        <w:rPr>
          <w:sz w:val="20"/>
          <w:szCs w:val="20"/>
          <w:color w:val="auto"/>
        </w:rPr>
      </w:pPr>
    </w:p>
    <w:p>
      <w:pPr>
        <w:jc w:val="both"/>
        <w:ind w:firstLine="8"/>
        <w:spacing w:after="0" w:line="254" w:lineRule="auto"/>
        <w:tabs>
          <w:tab w:leader="none" w:pos="249"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majority of our stockholders (including a majority of our stockholders who are not affiliated persons of us) have approved the issuance of common stock below the then current NAV per share in the 12 months preceding the offering and (3) the offering price closely approximates the market value of the common stock. If the requirements of Section 63 of the 1940 Act are met, the price per share of common stock included in a unit may be below the Company’s then current NAV per share. See “Sales of Common Stock Below Net Asset Value” for more information.</w:t>
      </w:r>
    </w:p>
    <w:p>
      <w:pPr>
        <w:spacing w:after="0" w:line="144" w:lineRule="exact"/>
        <w:rPr>
          <w:sz w:val="20"/>
          <w:szCs w:val="20"/>
          <w:color w:val="auto"/>
        </w:rPr>
      </w:pPr>
    </w:p>
    <w:p>
      <w:pPr>
        <w:ind w:right="120" w:firstLine="571"/>
        <w:spacing w:after="0" w:line="290" w:lineRule="auto"/>
        <w:rPr>
          <w:sz w:val="20"/>
          <w:szCs w:val="20"/>
          <w:color w:val="auto"/>
        </w:rPr>
      </w:pPr>
      <w:r>
        <w:rPr>
          <w:rFonts w:ascii="Arial" w:cs="Arial" w:eastAsia="Arial" w:hAnsi="Arial"/>
          <w:sz w:val="16"/>
          <w:szCs w:val="16"/>
          <w:color w:val="auto"/>
        </w:rPr>
        <w:t>Units may also include warrants to purchase shares of our common stock in the future. We may generally only offer such warrants if (1) the warrants expire by their terms within ten years, (2) the exercise price is not less than the market value of our common stock at the date of issuance, (3) the exercise prices is not less than the then current NAV per share of our common stock (unless the Section 63 requirements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have been publicly distributed. The 1940 Act also provides that the amount of our voting securities that would result from the exercise of all outstanding warrants at the time of issuance may not exceed 25% of our outstanding voting securities.</w:t>
      </w:r>
    </w:p>
    <w:p>
      <w:pPr>
        <w:spacing w:after="0" w:line="118"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Units may also include subscription rights to purchase shares of our common stock. We will not offer transferable subscription rights in a unit providing for subscription at a price below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w:t>
      </w:r>
    </w:p>
    <w:p>
      <w:pPr>
        <w:spacing w:after="0" w:line="113" w:lineRule="exact"/>
        <w:rPr>
          <w:sz w:val="20"/>
          <w:szCs w:val="20"/>
          <w:color w:val="auto"/>
        </w:rPr>
      </w:pPr>
    </w:p>
    <w:p>
      <w:pPr>
        <w:ind w:right="40" w:firstLine="571"/>
        <w:spacing w:after="0" w:line="332" w:lineRule="auto"/>
        <w:rPr>
          <w:sz w:val="20"/>
          <w:szCs w:val="20"/>
          <w:color w:val="auto"/>
        </w:rPr>
      </w:pPr>
      <w:r>
        <w:rPr>
          <w:rFonts w:ascii="Arial" w:cs="Arial" w:eastAsia="Arial" w:hAnsi="Arial"/>
          <w:sz w:val="16"/>
          <w:szCs w:val="16"/>
          <w:color w:val="auto"/>
        </w:rPr>
        <w:t>Units may also include debt securities. If such debt securities are convertible into shares of our common stock, the exercise price for such conversion will not be less than the NAV per share of our common stock at the time of issuance of the unit (unless the Section 63 requirements are met).</w:t>
      </w:r>
    </w:p>
    <w:p>
      <w:pPr>
        <w:spacing w:after="0" w:line="85" w:lineRule="exact"/>
        <w:rPr>
          <w:sz w:val="20"/>
          <w:szCs w:val="20"/>
          <w:color w:val="auto"/>
        </w:rPr>
      </w:pPr>
    </w:p>
    <w:p>
      <w:pPr>
        <w:ind w:right="80" w:firstLine="571"/>
        <w:spacing w:after="0" w:line="335" w:lineRule="auto"/>
        <w:rPr>
          <w:sz w:val="20"/>
          <w:szCs w:val="20"/>
          <w:color w:val="auto"/>
        </w:rPr>
      </w:pPr>
      <w:r>
        <w:rPr>
          <w:rFonts w:ascii="Arial" w:cs="Arial" w:eastAsia="Arial" w:hAnsi="Arial"/>
          <w:sz w:val="15"/>
          <w:szCs w:val="15"/>
          <w:color w:val="auto"/>
        </w:rPr>
        <w:t>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have been or will be filed as exhibits to the registration statement of which this prospectus forms a part.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116"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540" w:firstLine="571"/>
        <w:spacing w:after="0" w:line="259"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181" w:lineRule="exact"/>
        <w:rPr>
          <w:sz w:val="20"/>
          <w:szCs w:val="20"/>
          <w:color w:val="auto"/>
        </w:rPr>
      </w:pPr>
    </w:p>
    <w:p>
      <w:pPr>
        <w:ind w:left="800" w:right="40" w:hanging="346"/>
        <w:spacing w:after="0" w:line="256" w:lineRule="auto"/>
        <w:tabs>
          <w:tab w:leader="none" w:pos="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48" w:lineRule="exact"/>
        <w:rPr>
          <w:rFonts w:ascii="Arial" w:cs="Arial" w:eastAsia="Arial" w:hAnsi="Arial"/>
          <w:sz w:val="18"/>
          <w:szCs w:val="18"/>
          <w:color w:val="auto"/>
        </w:rPr>
      </w:pPr>
    </w:p>
    <w:p>
      <w:pPr>
        <w:ind w:left="1700" w:hanging="328"/>
        <w:spacing w:after="0"/>
        <w:tabs>
          <w:tab w:leader="none" w:pos="17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76" w:lineRule="exact"/>
        <w:rPr>
          <w:rFonts w:ascii="Arial" w:cs="Arial" w:eastAsia="Arial" w:hAnsi="Arial"/>
          <w:sz w:val="18"/>
          <w:szCs w:val="18"/>
          <w:color w:val="auto"/>
        </w:rPr>
      </w:pPr>
    </w:p>
    <w:p>
      <w:pPr>
        <w:ind w:left="1700" w:right="120" w:hanging="328"/>
        <w:spacing w:after="0" w:line="325" w:lineRule="auto"/>
        <w:tabs>
          <w:tab w:leader="none" w:pos="1700" w:val="left"/>
        </w:tabs>
        <w:numPr>
          <w:ilvl w:val="1"/>
          <w:numId w:val="84"/>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1" w:lineRule="exact"/>
        <w:rPr>
          <w:rFonts w:ascii="Arial" w:cs="Arial" w:eastAsia="Arial" w:hAnsi="Arial"/>
          <w:sz w:val="16"/>
          <w:szCs w:val="16"/>
          <w:color w:val="auto"/>
        </w:rPr>
      </w:pPr>
    </w:p>
    <w:p>
      <w:pPr>
        <w:ind w:left="1700" w:hanging="328"/>
        <w:spacing w:after="0"/>
        <w:tabs>
          <w:tab w:leader="none" w:pos="17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76" w:lineRule="exact"/>
        <w:rPr>
          <w:rFonts w:ascii="Arial" w:cs="Arial" w:eastAsia="Arial" w:hAnsi="Arial"/>
          <w:sz w:val="18"/>
          <w:szCs w:val="18"/>
          <w:color w:val="auto"/>
        </w:rPr>
      </w:pPr>
    </w:p>
    <w:p>
      <w:pPr>
        <w:ind w:left="2620" w:hanging="559"/>
        <w:spacing w:after="0"/>
        <w:tabs>
          <w:tab w:leader="none" w:pos="2620" w:val="left"/>
        </w:tabs>
        <w:numPr>
          <w:ilvl w:val="2"/>
          <w:numId w:val="84"/>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76" w:lineRule="exact"/>
        <w:rPr>
          <w:rFonts w:ascii="Arial" w:cs="Arial" w:eastAsia="Arial" w:hAnsi="Arial"/>
          <w:sz w:val="18"/>
          <w:szCs w:val="18"/>
          <w:color w:val="auto"/>
        </w:rPr>
      </w:pPr>
    </w:p>
    <w:p>
      <w:pPr>
        <w:ind w:left="2620" w:right="360" w:hanging="559"/>
        <w:spacing w:after="0" w:line="268" w:lineRule="auto"/>
        <w:tabs>
          <w:tab w:leader="none" w:pos="2620" w:val="left"/>
        </w:tabs>
        <w:numPr>
          <w:ilvl w:val="2"/>
          <w:numId w:val="84"/>
        </w:numPr>
        <w:rPr>
          <w:rFonts w:ascii="Arial" w:cs="Arial" w:eastAsia="Arial" w:hAnsi="Arial"/>
          <w:sz w:val="18"/>
          <w:szCs w:val="18"/>
          <w:color w:val="auto"/>
        </w:rPr>
      </w:pPr>
      <w:r>
        <w:rPr>
          <w:rFonts w:ascii="Arial" w:cs="Arial" w:eastAsia="Arial" w:hAnsi="Arial"/>
          <w:sz w:val="18"/>
          <w:szCs w:val="18"/>
          <w:color w:val="auto"/>
        </w:rPr>
        <w:t>has any class of securities listed on a national securities exchange subject to a maximum market capitalization of $250.0 million; or</w:t>
      </w:r>
    </w:p>
    <w:p>
      <w:pPr>
        <w:spacing w:after="0" w:line="37" w:lineRule="exact"/>
        <w:rPr>
          <w:rFonts w:ascii="Arial" w:cs="Arial" w:eastAsia="Arial" w:hAnsi="Arial"/>
          <w:sz w:val="18"/>
          <w:szCs w:val="18"/>
          <w:color w:val="auto"/>
        </w:rPr>
      </w:pPr>
    </w:p>
    <w:p>
      <w:pPr>
        <w:ind w:left="2620" w:right="500" w:hanging="559"/>
        <w:spacing w:after="0" w:line="306" w:lineRule="auto"/>
        <w:tabs>
          <w:tab w:leader="none" w:pos="2620" w:val="left"/>
        </w:tabs>
        <w:numPr>
          <w:ilvl w:val="2"/>
          <w:numId w:val="84"/>
        </w:numPr>
        <w:rPr>
          <w:rFonts w:ascii="Arial" w:cs="Arial" w:eastAsia="Arial" w:hAnsi="Arial"/>
          <w:sz w:val="16"/>
          <w:szCs w:val="16"/>
          <w:color w:val="auto"/>
        </w:rPr>
      </w:pPr>
      <w:r>
        <w:rPr>
          <w:rFonts w:ascii="Arial" w:cs="Arial" w:eastAsia="Arial" w:hAnsi="Arial"/>
          <w:sz w:val="16"/>
          <w:szCs w:val="16"/>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12" w:lineRule="exact"/>
        <w:rPr>
          <w:rFonts w:ascii="Arial" w:cs="Arial" w:eastAsia="Arial" w:hAnsi="Arial"/>
          <w:sz w:val="16"/>
          <w:szCs w:val="16"/>
          <w:color w:val="auto"/>
        </w:rPr>
      </w:pPr>
    </w:p>
    <w:p>
      <w:pPr>
        <w:ind w:left="800" w:hanging="346"/>
        <w:spacing w:after="0"/>
        <w:tabs>
          <w:tab w:leader="none" w:pos="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76" w:lineRule="exact"/>
        <w:rPr>
          <w:rFonts w:ascii="Arial" w:cs="Arial" w:eastAsia="Arial" w:hAnsi="Arial"/>
          <w:sz w:val="18"/>
          <w:szCs w:val="18"/>
          <w:color w:val="auto"/>
        </w:rPr>
      </w:pPr>
    </w:p>
    <w:p>
      <w:pPr>
        <w:ind w:left="800" w:right="260" w:hanging="346"/>
        <w:spacing w:after="0" w:line="306" w:lineRule="auto"/>
        <w:tabs>
          <w:tab w:leader="none" w:pos="8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2" w:lineRule="exact"/>
        <w:rPr>
          <w:rFonts w:ascii="Arial" w:cs="Arial" w:eastAsia="Arial" w:hAnsi="Arial"/>
          <w:sz w:val="16"/>
          <w:szCs w:val="16"/>
          <w:color w:val="auto"/>
        </w:rPr>
      </w:pPr>
    </w:p>
    <w:p>
      <w:pPr>
        <w:ind w:left="800" w:right="260" w:hanging="346"/>
        <w:spacing w:after="0" w:line="268" w:lineRule="auto"/>
        <w:tabs>
          <w:tab w:leader="none" w:pos="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37" w:lineRule="exact"/>
        <w:rPr>
          <w:rFonts w:ascii="Arial" w:cs="Arial" w:eastAsia="Arial" w:hAnsi="Arial"/>
          <w:sz w:val="18"/>
          <w:szCs w:val="18"/>
          <w:color w:val="auto"/>
        </w:rPr>
      </w:pPr>
    </w:p>
    <w:p>
      <w:pPr>
        <w:ind w:left="800" w:right="400" w:hanging="346"/>
        <w:spacing w:after="0" w:line="268" w:lineRule="auto"/>
        <w:tabs>
          <w:tab w:leader="none" w:pos="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56"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provide assistance to our controlled affiliates.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56"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56" w:lineRule="exact"/>
        <w:rPr>
          <w:sz w:val="20"/>
          <w:szCs w:val="20"/>
          <w:color w:val="auto"/>
        </w:rPr>
      </w:pPr>
    </w:p>
    <w:p>
      <w:pPr>
        <w:ind w:firstLine="571"/>
        <w:spacing w:after="0" w:line="312" w:lineRule="auto"/>
        <w:rPr>
          <w:sz w:val="20"/>
          <w:szCs w:val="20"/>
          <w:color w:val="auto"/>
        </w:rPr>
      </w:pPr>
      <w:r>
        <w:rPr>
          <w:rFonts w:ascii="Arial" w:cs="Arial" w:eastAsia="Arial" w:hAnsi="Arial"/>
          <w:sz w:val="15"/>
          <w:szCs w:val="15"/>
          <w:color w:val="auto"/>
        </w:rPr>
        <w:t>We are permitted, under specified conditions, to issue multiple classes of indebtedness and one class of stock senior to our common stock if our asset coverage, as defined in the 1940 Act,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our asset coverage ratio. We received exemptive relief from the SEC allowing us to modify the asset coverage requirement to exclude the SBA debentures from the calculation.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56"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You may also obtain a copy of our joint code of ethics, after paying a duplicating fee, by electronic request at the following email address: </w:t>
      </w:r>
      <w:r>
        <w:rPr>
          <w:rFonts w:ascii="Arial" w:cs="Arial" w:eastAsia="Arial" w:hAnsi="Arial"/>
          <w:sz w:val="16"/>
          <w:szCs w:val="16"/>
          <w:i w:val="1"/>
          <w:iCs w:val="1"/>
          <w:u w:val="single" w:color="auto"/>
          <w:color w:val="auto"/>
        </w:rPr>
        <w:t>publicinfo@sec.gov</w:t>
      </w:r>
      <w:r>
        <w:rPr>
          <w:rFonts w:ascii="Arial" w:cs="Arial" w:eastAsia="Arial" w:hAnsi="Arial"/>
          <w:sz w:val="16"/>
          <w:szCs w:val="16"/>
          <w:color w:val="auto"/>
        </w:rPr>
        <w:t>, or by writing the SEC’s Public Reference Section, 100 F Street, N.E., Washington, D.C. 20549.</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56"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00" w:firstLine="571"/>
        <w:spacing w:after="0" w:line="308"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ind w:right="460" w:firstLine="571"/>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interests of our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60" w:firstLine="571"/>
        <w:spacing w:after="0" w:line="303" w:lineRule="auto"/>
        <w:rPr>
          <w:sz w:val="20"/>
          <w:szCs w:val="20"/>
          <w:color w:val="auto"/>
        </w:rPr>
      </w:pPr>
      <w:r>
        <w:rPr>
          <w:rFonts w:ascii="Arial" w:cs="Arial" w:eastAsia="Arial" w:hAnsi="Arial"/>
          <w:sz w:val="15"/>
          <w:szCs w:val="15"/>
          <w:color w:val="auto"/>
        </w:rPr>
        <w:t>Our proxy voting decisions are made by the senior investment professionals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w:t>
      </w:r>
    </w:p>
    <w:p>
      <w:pPr>
        <w:spacing w:after="0" w:line="1" w:lineRule="exact"/>
        <w:rPr>
          <w:sz w:val="20"/>
          <w:szCs w:val="20"/>
          <w:color w:val="auto"/>
        </w:rPr>
      </w:pPr>
    </w:p>
    <w:p>
      <w:pPr>
        <w:ind w:right="440" w:firstLine="8"/>
        <w:spacing w:after="0" w:line="261" w:lineRule="auto"/>
        <w:tabs>
          <w:tab w:leader="none" w:pos="249" w:val="left"/>
        </w:tabs>
        <w:numPr>
          <w:ilvl w:val="0"/>
          <w:numId w:val="85"/>
        </w:numPr>
        <w:rPr>
          <w:rFonts w:ascii="Arial" w:cs="Arial" w:eastAsia="Arial" w:hAnsi="Arial"/>
          <w:sz w:val="18"/>
          <w:szCs w:val="18"/>
          <w:color w:val="auto"/>
        </w:rPr>
      </w:pPr>
      <w:r>
        <w:rPr>
          <w:rFonts w:ascii="Arial" w:cs="Arial" w:eastAsia="Arial" w:hAnsi="Arial"/>
          <w:sz w:val="18"/>
          <w:szCs w:val="18"/>
          <w:color w:val="auto"/>
        </w:rPr>
        <w:t>employees involved in the decision making process or vote administration are prohibited from revealing how we intend to vote on a proposal in order to reduce any attempted influence from interested parties.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20" w:firstLine="571"/>
        <w:spacing w:after="0" w:line="332" w:lineRule="auto"/>
        <w:rPr>
          <w:sz w:val="20"/>
          <w:szCs w:val="20"/>
          <w:color w:val="auto"/>
        </w:rPr>
      </w:pPr>
      <w:r>
        <w:rPr>
          <w:rFonts w:ascii="Arial" w:cs="Arial" w:eastAsia="Arial" w:hAnsi="Arial"/>
          <w:sz w:val="16"/>
          <w:szCs w:val="16"/>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96"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200" w:firstLine="571"/>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40"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 xml:space="preserve">Our privacy protection policies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 addition, the privacy policy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filed as an exhibit to our annual report on Form 10-K (File No. 814-00736, filed on November 16, 2011). You may also obtain copies of our privacy policy, after paying a duplicating fee, by electronic request at the following email address: </w:t>
      </w:r>
      <w:r>
        <w:rPr>
          <w:rFonts w:ascii="Arial" w:cs="Arial" w:eastAsia="Arial" w:hAnsi="Arial"/>
          <w:sz w:val="16"/>
          <w:szCs w:val="16"/>
          <w:i w:val="1"/>
          <w:iCs w:val="1"/>
          <w:u w:val="single" w:color="auto"/>
          <w:color w:val="auto"/>
        </w:rPr>
        <w:t>publicinfo@sec.gov</w:t>
      </w:r>
      <w:r>
        <w:rPr>
          <w:rFonts w:ascii="Arial" w:cs="Arial" w:eastAsia="Arial" w:hAnsi="Arial"/>
          <w:sz w:val="16"/>
          <w:szCs w:val="16"/>
          <w:color w:val="auto"/>
        </w:rPr>
        <w:t>, or by writing the SEC’s Public Reference Section, 100 F Street, N.E., 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00" w:firstLine="571"/>
        <w:spacing w:after="0" w:line="332" w:lineRule="auto"/>
        <w:rPr>
          <w:sz w:val="20"/>
          <w:szCs w:val="20"/>
          <w:color w:val="auto"/>
        </w:rPr>
      </w:pPr>
      <w:r>
        <w:rPr>
          <w:rFonts w:ascii="Arial" w:cs="Arial" w:eastAsia="Arial" w:hAnsi="Arial"/>
          <w:sz w:val="16"/>
          <w:szCs w:val="16"/>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will be periodically examined by the SEC and SBA for compliance with the 1940 Act and 1958 Act, respectively.</w:t>
      </w:r>
    </w:p>
    <w:p>
      <w:pPr>
        <w:spacing w:after="0" w:line="171" w:lineRule="exact"/>
        <w:rPr>
          <w:sz w:val="20"/>
          <w:szCs w:val="20"/>
          <w:color w:val="auto"/>
        </w:rPr>
      </w:pPr>
    </w:p>
    <w:p>
      <w:pPr>
        <w:jc w:val="both"/>
        <w:ind w:right="20" w:firstLine="571"/>
        <w:spacing w:after="0" w:line="306" w:lineRule="auto"/>
        <w:rPr>
          <w:sz w:val="20"/>
          <w:szCs w:val="20"/>
          <w:color w:val="auto"/>
        </w:rPr>
      </w:pPr>
      <w:r>
        <w:rPr>
          <w:rFonts w:ascii="Arial" w:cs="Arial" w:eastAsia="Arial" w:hAnsi="Arial"/>
          <w:sz w:val="16"/>
          <w:szCs w:val="16"/>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Sarbanes-Oxley Act imposes several regulatory requirements on publicly held companies and their insiders. Many of these requirements affect us.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example:</w:t>
      </w:r>
    </w:p>
    <w:p>
      <w:pPr>
        <w:spacing w:after="0" w:line="90" w:lineRule="exact"/>
        <w:rPr>
          <w:sz w:val="20"/>
          <w:szCs w:val="20"/>
          <w:color w:val="auto"/>
        </w:rPr>
      </w:pPr>
    </w:p>
    <w:p>
      <w:pPr>
        <w:ind w:left="660" w:right="640" w:hanging="314"/>
        <w:spacing w:after="0" w:line="268"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37" w:lineRule="exact"/>
        <w:rPr>
          <w:rFonts w:ascii="Arial" w:cs="Arial" w:eastAsia="Arial" w:hAnsi="Arial"/>
          <w:sz w:val="18"/>
          <w:szCs w:val="18"/>
          <w:color w:val="auto"/>
        </w:rPr>
      </w:pPr>
    </w:p>
    <w:p>
      <w:pPr>
        <w:ind w:left="660" w:right="560" w:hanging="314"/>
        <w:spacing w:after="0" w:line="268"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37" w:lineRule="exact"/>
        <w:rPr>
          <w:rFonts w:ascii="Arial" w:cs="Arial" w:eastAsia="Arial" w:hAnsi="Arial"/>
          <w:sz w:val="18"/>
          <w:szCs w:val="18"/>
          <w:color w:val="auto"/>
        </w:rPr>
      </w:pPr>
    </w:p>
    <w:p>
      <w:pPr>
        <w:ind w:left="660" w:right="400" w:hanging="314"/>
        <w:spacing w:after="0" w:line="268"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and</w:t>
      </w:r>
    </w:p>
    <w:p>
      <w:pPr>
        <w:spacing w:after="0" w:line="37" w:lineRule="exact"/>
        <w:rPr>
          <w:rFonts w:ascii="Arial" w:cs="Arial" w:eastAsia="Arial" w:hAnsi="Arial"/>
          <w:sz w:val="18"/>
          <w:szCs w:val="18"/>
          <w:color w:val="auto"/>
        </w:rPr>
      </w:pPr>
    </w:p>
    <w:p>
      <w:pPr>
        <w:jc w:val="both"/>
        <w:ind w:left="660" w:right="20" w:hanging="314"/>
        <w:spacing w:after="0" w:line="306" w:lineRule="auto"/>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88" w:lineRule="exact"/>
        <w:rPr>
          <w:sz w:val="20"/>
          <w:szCs w:val="20"/>
          <w:color w:val="auto"/>
        </w:rPr>
      </w:pPr>
    </w:p>
    <w:p>
      <w:pPr>
        <w:jc w:val="both"/>
        <w:ind w:right="80" w:firstLine="571"/>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SBA Regulations</w:t>
      </w:r>
    </w:p>
    <w:p>
      <w:pPr>
        <w:spacing w:after="0" w:line="96"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color w:val="auto"/>
        </w:rPr>
        <w:t>Our SBIC Funds are licensed under the SBA as SBICs under Section 301(c) of the 1958 Act. SBIC LP and SBIC II received their licenses in 2010 and 2013, respectively.</w:t>
      </w:r>
    </w:p>
    <w:p>
      <w:pPr>
        <w:spacing w:after="0" w:line="51"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SBICs are designed to stimulate the flow of capital to businesses that meet specified eligibility requirements discussed below. Under SBA regulations, our SBIC Funds are subject to regulatory requirements including making investments in SBA eligible businesses, investing at least 25% of regulatory capital in eligible smaller businesses, placing certain limitations on the financing terms of investments, prohibiting investing in certain industries, and required capitalization thresholds among other regulations. Furthermore, our SBIC Funds are subject to periodic audits and examinations of their financial statements that are prepared on a basis of accounting other than GAAP pursuant to SBA accounting standards and financial reporting requirements for SBICs. For example, our SBIC Funds do not use fair value accounting on its assets or liabilities under SBA valuation guidelines. If either of our SBIC Funds fails to comply with applicable SBA regulations, the SBA could, depending on the severity of the violation, limit or prohibit use of debentures, declare outstanding debentures immediately due and payable, and/or limit our SBIC Funds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Eligible Small and Smaller Businesses</w:t>
      </w:r>
    </w:p>
    <w:p>
      <w:pPr>
        <w:spacing w:after="0" w:line="90" w:lineRule="exact"/>
        <w:rPr>
          <w:sz w:val="20"/>
          <w:szCs w:val="20"/>
          <w:color w:val="auto"/>
        </w:rPr>
      </w:pPr>
    </w:p>
    <w:p>
      <w:pPr>
        <w:ind w:right="40" w:firstLine="571"/>
        <w:spacing w:after="0" w:line="253" w:lineRule="auto"/>
        <w:rPr>
          <w:sz w:val="20"/>
          <w:szCs w:val="20"/>
          <w:color w:val="auto"/>
        </w:rPr>
      </w:pPr>
      <w:r>
        <w:rPr>
          <w:rFonts w:ascii="Arial" w:cs="Arial" w:eastAsia="Arial" w:hAnsi="Arial"/>
          <w:sz w:val="18"/>
          <w:szCs w:val="18"/>
          <w:color w:val="auto"/>
        </w:rPr>
        <w:t>Under present SBA regulations, eligible small business include businesses that (together with their affiliates) have tangible net worth not exceeding $19.5 million and have average annual net income of $6.5 million for the two most recent fiscal years. In addition, each of our SBIC Funds must invest at least 25% of investments in “smaller” concerns. A smaller concern is a business that has tangible net worth not exceeding $6.0 million and has average annual net income not exceeding $2.0 million for the two most recent fiscal years or, as an alternative to the aforementioned requirement, meet the size requirements based on either the number of employees or gross revenue, which is based on the industry in which the smaller concern operates. Once an SBIC has invested in a company, it may continue to make follow-on investments in the company, regardless of the size of the business, up and until the time a business offers its securities in a public market.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Limitations, Terms and Changes in Control</w:t>
      </w:r>
    </w:p>
    <w:p>
      <w:pPr>
        <w:spacing w:after="0" w:line="90"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The SBA prohibits an SBIC from financing small businesses in certain industries such as relending, gambling, oil and gas exploration and other passive businesses. Additional SBA prohibitions include investing outside the United States, investing more than 30% of regulatory capital in one company and lending money to any officer, director or employee or to invest in any affiliate thereof. The SBA places certain limits on the financing terms of investments by our SBIC Funds in portfolio companies such as limiting the interest rate on debt securities and loans provided to portfolio companies. The SBA also limits fees, prepayment terms and other economic arrangements that are typically charged in lending arrangements.</w:t>
      </w:r>
    </w:p>
    <w:p>
      <w:pPr>
        <w:spacing w:after="0" w:line="116"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The SBA also prohibits, without prior written approval, a “change in control” of our SBIC Funds or transfers that would result in any person or group owning 10% or more of a class of capital stock (or its equivalent in the case of a partnership) of a licensed SBIC. A “change of control” is any event which would result in the transfer of power, direct or indirect, to direct management and policies of an SBIC, whether through ownership, contractual arrangements or otherwise.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Idle Funds Limitation</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SBA limits an SBIC to investing idle funds in the following types of securities:</w:t>
      </w:r>
    </w:p>
    <w:p>
      <w:pPr>
        <w:spacing w:after="0" w:line="77" w:lineRule="exact"/>
        <w:rPr>
          <w:sz w:val="20"/>
          <w:szCs w:val="20"/>
          <w:color w:val="auto"/>
        </w:rPr>
      </w:pPr>
    </w:p>
    <w:p>
      <w:pPr>
        <w:ind w:left="660" w:right="200" w:hanging="314"/>
        <w:spacing w:after="0" w:line="268"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United States government, which mature within 15 months from the date of the investment;</w:t>
      </w:r>
    </w:p>
    <w:p>
      <w:pPr>
        <w:spacing w:after="0" w:line="37" w:lineRule="exact"/>
        <w:rPr>
          <w:rFonts w:ascii="Arial" w:cs="Arial" w:eastAsia="Arial" w:hAnsi="Arial"/>
          <w:sz w:val="18"/>
          <w:szCs w:val="18"/>
          <w:color w:val="auto"/>
        </w:rPr>
      </w:pPr>
    </w:p>
    <w:p>
      <w:pPr>
        <w:ind w:left="660" w:right="100" w:hanging="314"/>
        <w:spacing w:after="0" w:line="268"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withdrawal restriction of one year or less.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 Leverage or Debentures</w:t>
      </w:r>
    </w:p>
    <w:p>
      <w:pPr>
        <w:spacing w:after="0" w:line="90" w:lineRule="exact"/>
        <w:rPr>
          <w:sz w:val="20"/>
          <w:szCs w:val="20"/>
          <w:color w:val="auto"/>
        </w:rPr>
      </w:pPr>
    </w:p>
    <w:p>
      <w:pPr>
        <w:ind w:right="280" w:firstLine="571"/>
        <w:spacing w:after="0" w:line="298" w:lineRule="auto"/>
        <w:rPr>
          <w:sz w:val="20"/>
          <w:szCs w:val="20"/>
          <w:color w:val="auto"/>
        </w:rPr>
      </w:pPr>
      <w:r>
        <w:rPr>
          <w:rFonts w:ascii="Arial" w:cs="Arial" w:eastAsia="Arial" w:hAnsi="Arial"/>
          <w:sz w:val="16"/>
          <w:szCs w:val="16"/>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an SBIC may borrow to a maximum of $150 million, which is up to twice its regulatory capital, and a maximum of $350 million as part of a group of SBICs under common control.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660" w:hanging="314"/>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76" w:lineRule="exact"/>
        <w:rPr>
          <w:rFonts w:ascii="Arial" w:cs="Arial" w:eastAsia="Arial" w:hAnsi="Arial"/>
          <w:sz w:val="18"/>
          <w:szCs w:val="18"/>
          <w:color w:val="auto"/>
        </w:rPr>
      </w:pPr>
    </w:p>
    <w:p>
      <w:pPr>
        <w:ind w:left="660" w:right="40" w:hanging="314"/>
        <w:spacing w:after="0" w:line="268"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w:t>
      </w:r>
    </w:p>
    <w:p>
      <w:pPr>
        <w:spacing w:after="0" w:line="37" w:lineRule="exact"/>
        <w:rPr>
          <w:rFonts w:ascii="Arial" w:cs="Arial" w:eastAsia="Arial" w:hAnsi="Arial"/>
          <w:sz w:val="18"/>
          <w:szCs w:val="18"/>
          <w:color w:val="auto"/>
        </w:rPr>
      </w:pPr>
    </w:p>
    <w:p>
      <w:pPr>
        <w:ind w:left="660" w:right="260" w:hanging="314"/>
        <w:spacing w:after="0" w:line="347" w:lineRule="auto"/>
        <w:tabs>
          <w:tab w:leader="none" w:pos="660" w:val="left"/>
        </w:tabs>
        <w:numPr>
          <w:ilvl w:val="0"/>
          <w:numId w:val="88"/>
        </w:numPr>
        <w:rPr>
          <w:rFonts w:ascii="Arial" w:cs="Arial" w:eastAsia="Arial" w:hAnsi="Arial"/>
          <w:sz w:val="15"/>
          <w:szCs w:val="15"/>
          <w:color w:val="auto"/>
        </w:rPr>
      </w:pPr>
      <w:r>
        <w:rPr>
          <w:rFonts w:ascii="Arial" w:cs="Arial" w:eastAsia="Arial" w:hAnsi="Arial"/>
          <w:sz w:val="15"/>
          <w:szCs w:val="15"/>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ind w:left="660" w:hanging="314"/>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171" w:lineRule="exact"/>
        <w:rPr>
          <w:sz w:val="20"/>
          <w:szCs w:val="20"/>
          <w:color w:val="auto"/>
        </w:rPr>
      </w:pPr>
    </w:p>
    <w:p>
      <w:pPr>
        <w:ind w:right="560" w:firstLine="571"/>
        <w:spacing w:after="0" w:line="268"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32"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 certain source-of-income and quarterly asset diversification requirements (as described below). We also must annually distribute dividends for U.S.federal income tax purposes income to our stockholders of an amount generally at least equal to 90% of the sum of our ordinary income and realized net short-term capital gains in excess of realized net long-term capital losses, if any, or investment company taxable income, and determined without regard to any deduction for dividends paid out of the assets legally available for distribution, or the Annual Distribution Requirement.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660" w:hanging="314"/>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76" w:lineRule="exact"/>
        <w:rPr>
          <w:rFonts w:ascii="Arial" w:cs="Arial" w:eastAsia="Arial" w:hAnsi="Arial"/>
          <w:sz w:val="18"/>
          <w:szCs w:val="18"/>
          <w:color w:val="auto"/>
        </w:rPr>
      </w:pPr>
    </w:p>
    <w:p>
      <w:pPr>
        <w:jc w:val="both"/>
        <w:ind w:left="660" w:right="180" w:hanging="314"/>
        <w:spacing w:after="0" w:line="259"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45" w:lineRule="exact"/>
        <w:rPr>
          <w:rFonts w:ascii="Arial" w:cs="Arial" w:eastAsia="Arial" w:hAnsi="Arial"/>
          <w:sz w:val="18"/>
          <w:szCs w:val="18"/>
          <w:color w:val="auto"/>
        </w:rPr>
      </w:pPr>
    </w:p>
    <w:p>
      <w:pPr>
        <w:ind w:left="660" w:hanging="314"/>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76" w:lineRule="exact"/>
        <w:rPr>
          <w:rFonts w:ascii="Arial" w:cs="Arial" w:eastAsia="Arial" w:hAnsi="Arial"/>
          <w:sz w:val="18"/>
          <w:szCs w:val="18"/>
          <w:color w:val="auto"/>
        </w:rPr>
      </w:pPr>
    </w:p>
    <w:p>
      <w:pPr>
        <w:ind w:left="1700" w:right="100" w:hanging="328"/>
        <w:spacing w:after="0" w:line="259" w:lineRule="auto"/>
        <w:tabs>
          <w:tab w:leader="none" w:pos="17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45" w:lineRule="exact"/>
        <w:rPr>
          <w:rFonts w:ascii="Arial" w:cs="Arial" w:eastAsia="Arial" w:hAnsi="Arial"/>
          <w:sz w:val="18"/>
          <w:szCs w:val="18"/>
          <w:color w:val="auto"/>
        </w:rPr>
      </w:pPr>
    </w:p>
    <w:p>
      <w:pPr>
        <w:ind w:left="1700" w:right="140" w:hanging="328"/>
        <w:spacing w:after="0" w:line="306" w:lineRule="auto"/>
        <w:tabs>
          <w:tab w:leader="none" w:pos="1700" w:val="left"/>
        </w:tabs>
        <w:numPr>
          <w:ilvl w:val="1"/>
          <w:numId w:val="89"/>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07" w:lineRule="exact"/>
        <w:rPr>
          <w:sz w:val="20"/>
          <w:szCs w:val="20"/>
          <w:color w:val="auto"/>
        </w:rPr>
      </w:pPr>
    </w:p>
    <w:p>
      <w:pPr>
        <w:ind w:right="40" w:firstLine="571"/>
        <w:spacing w:after="0" w:line="254"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in respect of each calendar year dividends to our stockholders of an amount at least equal to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may retain and be subject to excise tax on such net capital gains or investment company taxable income, subject to maintaining our ability to be treated as a RIC for federal income tax purposes, in order to provide us with additional liquidity.</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as a RIC</w:t>
      </w:r>
    </w:p>
    <w:p>
      <w:pPr>
        <w:spacing w:after="0" w:line="90"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If we qualify as a RIC, and satisfy the Annual Distribution Requirement, then we will not be subject to federal income tax on the portion of our investment company taxable income and net capital gains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deemed to have been distributed) as dividends for U.S. federal income tax purposes to our stockholders.</w:t>
      </w:r>
    </w:p>
    <w:p>
      <w:pPr>
        <w:spacing w:after="0" w:line="89" w:lineRule="exact"/>
        <w:rPr>
          <w:sz w:val="20"/>
          <w:szCs w:val="20"/>
          <w:color w:val="auto"/>
        </w:rPr>
      </w:pPr>
    </w:p>
    <w:p>
      <w:pPr>
        <w:ind w:right="40" w:firstLine="571"/>
        <w:spacing w:after="0" w:line="254" w:lineRule="auto"/>
        <w:rPr>
          <w:sz w:val="20"/>
          <w:szCs w:val="20"/>
          <w:color w:val="auto"/>
        </w:rPr>
      </w:pPr>
      <w:r>
        <w:rPr>
          <w:rFonts w:ascii="Arial" w:cs="Arial" w:eastAsia="Arial" w:hAnsi="Arial"/>
          <w:sz w:val="18"/>
          <w:szCs w:val="18"/>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17"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debt instruments in default should be allocated between principal and income and whether exchanges of debt instruments in a bankruptcy or workout context are taxable. We will address these and other issues to the extent necessary in order to continue to maintain our qualification to be treated, as a RIC for federal income tax purposes.</w:t>
      </w:r>
    </w:p>
    <w:p>
      <w:pPr>
        <w:spacing w:after="0" w:line="89"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the particular equity security or warrant.</w:t>
      </w:r>
    </w:p>
    <w:p>
      <w:pPr>
        <w:spacing w:after="0" w:line="113" w:lineRule="exact"/>
        <w:rPr>
          <w:sz w:val="20"/>
          <w:szCs w:val="20"/>
          <w:color w:val="auto"/>
        </w:rPr>
      </w:pPr>
    </w:p>
    <w:p>
      <w:pPr>
        <w:ind w:firstLine="571"/>
        <w:spacing w:after="0" w:line="303" w:lineRule="auto"/>
        <w:rPr>
          <w:sz w:val="20"/>
          <w:szCs w:val="20"/>
          <w:color w:val="auto"/>
        </w:rPr>
      </w:pPr>
      <w:r>
        <w:rPr>
          <w:rFonts w:ascii="Arial" w:cs="Arial" w:eastAsia="Arial" w:hAnsi="Arial"/>
          <w:sz w:val="15"/>
          <w:szCs w:val="15"/>
          <w:color w:val="auto"/>
        </w:rPr>
        <w:t>We are authorized to borrow funds and to sell assets in order to satisfy our Annual Distribution Requirement or Exercise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w:t>
      </w:r>
    </w:p>
    <w:p>
      <w:pPr>
        <w:spacing w:after="0" w:line="1" w:lineRule="exact"/>
        <w:rPr>
          <w:sz w:val="20"/>
          <w:szCs w:val="20"/>
          <w:color w:val="auto"/>
        </w:rPr>
      </w:pPr>
    </w:p>
    <w:p>
      <w:pPr>
        <w:jc w:val="both"/>
        <w:ind w:right="100" w:firstLine="8"/>
        <w:spacing w:after="0" w:line="255" w:lineRule="auto"/>
        <w:tabs>
          <w:tab w:leader="none" w:pos="249"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We may distribute our common stock as a dividend of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generally would be taxable income to a stockholder even though only a small portion of the dividend was paid in cash to pay any taxes due on the total dividend. We have not yet elected to distribute stock as a dividend but reserve the right to do so.</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Failure to Qualify as a RIC</w:t>
      </w:r>
    </w:p>
    <w:p>
      <w:pPr>
        <w:spacing w:after="0" w:line="90" w:lineRule="exact"/>
        <w:rPr>
          <w:sz w:val="20"/>
          <w:szCs w:val="20"/>
          <w:color w:val="auto"/>
        </w:rPr>
      </w:pPr>
    </w:p>
    <w:p>
      <w:pPr>
        <w:ind w:right="40" w:firstLine="571"/>
        <w:spacing w:after="0" w:line="252"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ind w:firstLine="571"/>
        <w:spacing w:after="0" w:line="286" w:lineRule="auto"/>
        <w:rPr>
          <w:sz w:val="20"/>
          <w:szCs w:val="20"/>
          <w:color w:val="auto"/>
        </w:rPr>
      </w:pPr>
      <w:r>
        <w:rPr>
          <w:rFonts w:ascii="Arial" w:cs="Arial" w:eastAsia="Arial" w:hAnsi="Arial"/>
          <w:sz w:val="16"/>
          <w:szCs w:val="16"/>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21" w:lineRule="exact"/>
        <w:rPr>
          <w:sz w:val="20"/>
          <w:szCs w:val="20"/>
          <w:color w:val="auto"/>
        </w:rPr>
      </w:pPr>
    </w:p>
    <w:p>
      <w:pPr>
        <w:ind w:right="2140" w:firstLine="571"/>
        <w:spacing w:after="0" w:line="391" w:lineRule="auto"/>
        <w:rPr>
          <w:sz w:val="20"/>
          <w:szCs w:val="20"/>
          <w:color w:val="auto"/>
        </w:rPr>
      </w:pPr>
      <w:r>
        <w:rPr>
          <w:rFonts w:ascii="Arial" w:cs="Arial" w:eastAsia="Arial" w:hAnsi="Arial"/>
          <w:sz w:val="18"/>
          <w:szCs w:val="18"/>
          <w:color w:val="auto"/>
        </w:rPr>
        <w:t xml:space="preserve">The remainder of this discussion assumes that we qualify as a RIC and have satisfied the Annual Distribution Requirement. </w:t>
      </w:r>
      <w:r>
        <w:rPr>
          <w:rFonts w:ascii="Arial" w:cs="Arial" w:eastAsia="Arial" w:hAnsi="Arial"/>
          <w:sz w:val="18"/>
          <w:szCs w:val="18"/>
          <w:b w:val="1"/>
          <w:bCs w:val="1"/>
          <w:color w:val="auto"/>
        </w:rPr>
        <w:t>Taxation of U.S. Stockholders</w:t>
      </w:r>
    </w:p>
    <w:p>
      <w:pPr>
        <w:spacing w:after="0" w:line="1"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tax rate,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dividends”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4"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rates,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13" w:lineRule="exact"/>
        <w:rPr>
          <w:sz w:val="20"/>
          <w:szCs w:val="20"/>
          <w:color w:val="auto"/>
        </w:rPr>
      </w:pPr>
    </w:p>
    <w:p>
      <w:pPr>
        <w:ind w:right="120" w:firstLine="571"/>
        <w:spacing w:after="0" w:line="291"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20" w:lineRule="exact"/>
        <w:rPr>
          <w:sz w:val="20"/>
          <w:szCs w:val="20"/>
          <w:color w:val="auto"/>
        </w:rPr>
      </w:pPr>
    </w:p>
    <w:p>
      <w:pPr>
        <w:ind w:right="240" w:firstLine="571"/>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140" w:firstLine="571"/>
        <w:spacing w:after="0" w:line="290" w:lineRule="auto"/>
        <w:rPr>
          <w:sz w:val="20"/>
          <w:szCs w:val="20"/>
          <w:color w:val="auto"/>
        </w:rPr>
      </w:pPr>
      <w:r>
        <w:rPr>
          <w:rFonts w:ascii="Arial" w:cs="Arial" w:eastAsia="Arial" w:hAnsi="Arial"/>
          <w:sz w:val="16"/>
          <w:szCs w:val="16"/>
          <w:color w:val="auto"/>
        </w:rPr>
        <w:t>A stockholder generally will recognize taxable gain or loss if the stockholder sells or otherwise disposes of his, her or its shares of our common stock. Any gain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18"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18"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2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40" w:lineRule="exact"/>
        <w:rPr>
          <w:sz w:val="20"/>
          <w:szCs w:val="20"/>
          <w:color w:val="auto"/>
        </w:rPr>
      </w:pPr>
    </w:p>
    <w:p>
      <w:pPr>
        <w:ind w:right="220" w:firstLine="571"/>
        <w:spacing w:after="0" w:line="286"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a rate of 28% from all taxable distributions to any U.S. stockholder</w:t>
      </w:r>
    </w:p>
    <w:p>
      <w:pPr>
        <w:ind w:right="220" w:firstLine="8"/>
        <w:spacing w:after="0" w:line="261" w:lineRule="auto"/>
        <w:tabs>
          <w:tab w:leader="none" w:pos="249"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who fails to furnish a correct taxpayer identification number or a certificate that such stockholder is exempt from backup withholding, or (2) with respect to whom the IRS notifies a withholding agent that such</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18"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20"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44"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We are required to withhold U.S. tax (at a 30% rate) on payments of taxable dividends and (effective January 1, 2019) redemption proceeds and certain capital gain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20" w:lineRule="exact"/>
        <w:rPr>
          <w:sz w:val="20"/>
          <w:szCs w:val="20"/>
          <w:color w:val="auto"/>
        </w:rPr>
      </w:pPr>
    </w:p>
    <w:p>
      <w:pPr>
        <w:ind w:right="140" w:firstLine="571"/>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right="220" w:firstLine="571"/>
        <w:spacing w:after="0" w:line="298" w:lineRule="auto"/>
        <w:rPr>
          <w:sz w:val="20"/>
          <w:szCs w:val="20"/>
          <w:color w:val="auto"/>
        </w:rPr>
      </w:pPr>
      <w:r>
        <w:rPr>
          <w:rFonts w:ascii="Arial" w:cs="Arial" w:eastAsia="Arial" w:hAnsi="Arial"/>
          <w:sz w:val="16"/>
          <w:szCs w:val="16"/>
          <w:color w:val="auto"/>
        </w:rPr>
        <w:t>A Non-U.S. stockholder who is a non-resident alien individual, and who is otherwise subject to withholding of federal income tax, may be subject to information reporting and backup tax withholding of federal income tax on distributions unless the Non-U.S. stockholder provides us or the distribution paying agent with an IRS Form W-8BEN, IRS Form W-8BEN-E, or an acceptable substitute form, or otherwise meets documentary evidence requirements for establishing that it is a Non-U.S. stockholder or otherwise establishes an exemption from backup withholding.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171"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both"/>
        <w:ind w:right="20" w:firstLine="571"/>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660" w:hanging="314"/>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 and the amounts of securities underwritten or purchased by each of them;</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offering price of the securities and the proceeds to us and any discounts, commissions or concessions allowed or reallowed or paid to dealers; and</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40"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40" w:lineRule="exact"/>
        <w:rPr>
          <w:sz w:val="20"/>
          <w:szCs w:val="20"/>
          <w:color w:val="auto"/>
        </w:rPr>
      </w:pPr>
    </w:p>
    <w:p>
      <w:pPr>
        <w:ind w:right="40" w:firstLine="571"/>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43"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40"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177"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225 Liberty Street, New York, NY 10286. American Stock Transfer &amp; Trust Company, LLC acts as our transfer agent, distribution paying agent and registrar. The principal business address of American Stock Transfer &amp; Trust Company, LLC is 6201 15th Avenue, 3</w:t>
      </w:r>
      <w:r>
        <w:rPr>
          <w:rFonts w:ascii="Arial" w:cs="Arial" w:eastAsia="Arial" w:hAnsi="Arial"/>
          <w:sz w:val="11"/>
          <w:szCs w:val="11"/>
          <w:color w:val="auto"/>
        </w:rPr>
        <w:t>rd</w:t>
      </w:r>
      <w:r>
        <w:rPr>
          <w:rFonts w:ascii="Arial" w:cs="Arial" w:eastAsia="Arial" w:hAnsi="Arial"/>
          <w:sz w:val="18"/>
          <w:szCs w:val="18"/>
          <w:color w:val="auto"/>
        </w:rPr>
        <w:t xml:space="preserve"> Floor, Brooklyn, NY 11219, telephone number: (800) 937-5449. American Stock Transfer &amp; Trust Company, LLC serves as trustee for our 2019 Notes and 2025 Notes.</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Maryland counsel.</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INDEPENDENT REGISTERED PUBLIC ACCOUNTING FIRM/INDEPENDENT AUDITOR</w:t>
      </w:r>
    </w:p>
    <w:p>
      <w:pPr>
        <w:spacing w:after="0" w:line="177" w:lineRule="exact"/>
        <w:rPr>
          <w:sz w:val="20"/>
          <w:szCs w:val="20"/>
          <w:color w:val="auto"/>
        </w:rPr>
      </w:pPr>
    </w:p>
    <w:p>
      <w:pPr>
        <w:ind w:right="20" w:firstLine="571"/>
        <w:spacing w:after="0" w:line="306" w:lineRule="auto"/>
        <w:rPr>
          <w:sz w:val="20"/>
          <w:szCs w:val="20"/>
          <w:color w:val="auto"/>
        </w:rPr>
      </w:pPr>
      <w:r>
        <w:rPr>
          <w:rFonts w:ascii="Arial" w:cs="Arial" w:eastAsia="Arial" w:hAnsi="Arial"/>
          <w:sz w:val="16"/>
          <w:szCs w:val="16"/>
          <w:color w:val="auto"/>
        </w:rPr>
        <w:t>The consolidated financial statements and the related senior securities table appearing in this Prospectus and Registration Statement have been audited by RSM US LLP, an independent registered public accounting firm located at 1185 Avenue of the Americas, New York, NY 10036, as stated in their reports appearing elsewhere herein, and are included in reliance upon such reports and upon the authority of such firm as experts in accounting and auditing.</w:t>
      </w:r>
    </w:p>
    <w:p>
      <w:pPr>
        <w:spacing w:after="0" w:line="107" w:lineRule="exact"/>
        <w:rPr>
          <w:sz w:val="20"/>
          <w:szCs w:val="20"/>
          <w:color w:val="auto"/>
        </w:rPr>
      </w:pPr>
    </w:p>
    <w:p>
      <w:pPr>
        <w:jc w:val="both"/>
        <w:ind w:right="40" w:firstLine="571"/>
        <w:spacing w:after="0" w:line="259" w:lineRule="auto"/>
        <w:rPr>
          <w:sz w:val="20"/>
          <w:szCs w:val="20"/>
          <w:color w:val="auto"/>
        </w:rPr>
      </w:pPr>
      <w:r>
        <w:rPr>
          <w:rFonts w:ascii="Arial" w:cs="Arial" w:eastAsia="Arial" w:hAnsi="Arial"/>
          <w:sz w:val="18"/>
          <w:szCs w:val="18"/>
          <w:color w:val="auto"/>
        </w:rPr>
        <w:t>The consolidated financial statements of RAM Energy Holdings LLC as of and for the year ended December 31, 2016 included in this Prospectus and in the Registration Statement have been so included in reliance on the report of BDO USA, LLP, Independent Auditor, given on the authority of said firm as experts in auditing and accounting.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80"/>
          </w:cols>
          <w:pgMar w:left="240" w:top="45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60" w:type="dxa"/>
            <w:vAlign w:val="bottom"/>
            <w:gridSpan w:val="13"/>
          </w:tcPr>
          <w:p>
            <w:pPr>
              <w:jc w:val="center"/>
              <w:ind w:right="1300"/>
              <w:spacing w:after="0"/>
              <w:rPr>
                <w:sz w:val="20"/>
                <w:szCs w:val="20"/>
                <w:color w:val="auto"/>
              </w:rPr>
            </w:pPr>
            <w:r>
              <w:rPr>
                <w:rFonts w:ascii="Arial" w:cs="Arial" w:eastAsia="Arial" w:hAnsi="Arial"/>
                <w:sz w:val="14"/>
                <w:szCs w:val="14"/>
                <w:b w:val="1"/>
                <w:bCs w:val="1"/>
                <w:color w:val="auto"/>
              </w:rPr>
              <w:t>INDEX TO CONSOLIDATED FINANCIAL STATEMENTS</w:t>
            </w: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9340" w:type="dxa"/>
            <w:vAlign w:val="bottom"/>
            <w:gridSpan w:val="16"/>
          </w:tcPr>
          <w:p>
            <w:pPr>
              <w:spacing w:after="0"/>
              <w:rPr>
                <w:sz w:val="20"/>
                <w:szCs w:val="20"/>
                <w:color w:val="auto"/>
              </w:rPr>
            </w:pPr>
            <w:r>
              <w:rPr>
                <w:rFonts w:ascii="Arial" w:cs="Arial" w:eastAsia="Arial" w:hAnsi="Arial"/>
                <w:sz w:val="14"/>
                <w:szCs w:val="14"/>
                <w:b w:val="1"/>
                <w:bCs w:val="1"/>
                <w:color w:val="auto"/>
              </w:rPr>
              <w:t>PennantPark Investment Corporation</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340" w:type="dxa"/>
            <w:vAlign w:val="bottom"/>
            <w:gridSpan w:val="16"/>
          </w:tcPr>
          <w:p>
            <w:pPr>
              <w:spacing w:after="0"/>
              <w:rPr>
                <w:sz w:val="20"/>
                <w:szCs w:val="20"/>
                <w:color w:val="auto"/>
              </w:rPr>
            </w:pPr>
            <w:r>
              <w:rPr>
                <w:rFonts w:ascii="Arial" w:cs="Arial" w:eastAsia="Arial" w:hAnsi="Arial"/>
                <w:sz w:val="14"/>
                <w:szCs w:val="14"/>
                <w:b w:val="1"/>
                <w:bCs w:val="1"/>
                <w:color w:val="auto"/>
              </w:rPr>
              <w:t>Interim Financial Statements</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96"/>
        </w:trPr>
        <w:tc>
          <w:tcPr>
            <w:tcW w:w="9340" w:type="dxa"/>
            <w:vAlign w:val="bottom"/>
            <w:gridSpan w:val="16"/>
          </w:tcPr>
          <w:p>
            <w:pPr>
              <w:spacing w:after="0"/>
              <w:rPr>
                <w:rFonts w:ascii="Arial" w:cs="Arial" w:eastAsia="Arial" w:hAnsi="Arial"/>
                <w:sz w:val="14"/>
                <w:szCs w:val="14"/>
                <w:color w:val="0000EE"/>
              </w:rPr>
            </w:pPr>
            <w:hyperlink w:anchor="page129">
              <w:r>
                <w:rPr>
                  <w:rFonts w:ascii="Arial" w:cs="Arial" w:eastAsia="Arial" w:hAnsi="Arial"/>
                  <w:sz w:val="14"/>
                  <w:szCs w:val="14"/>
                  <w:color w:val="0000EE"/>
                </w:rPr>
                <w:t>Report of Independent Registered Public Accounting Firm</w:t>
              </w:r>
            </w:hyperlink>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F-2</w:t>
            </w:r>
          </w:p>
        </w:tc>
        <w:tc>
          <w:tcPr>
            <w:tcW w:w="0" w:type="dxa"/>
            <w:vAlign w:val="bottom"/>
          </w:tcPr>
          <w:p>
            <w:pPr>
              <w:spacing w:after="0"/>
              <w:rPr>
                <w:sz w:val="1"/>
                <w:szCs w:val="1"/>
                <w:color w:val="auto"/>
              </w:rPr>
            </w:pPr>
          </w:p>
        </w:tc>
      </w:tr>
      <w:tr>
        <w:trPr>
          <w:trHeight w:val="20"/>
        </w:trPr>
        <w:tc>
          <w:tcPr>
            <w:tcW w:w="27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F-3</w:t>
            </w:r>
          </w:p>
        </w:tc>
        <w:tc>
          <w:tcPr>
            <w:tcW w:w="0" w:type="dxa"/>
            <w:vAlign w:val="bottom"/>
          </w:tcPr>
          <w:p>
            <w:pPr>
              <w:spacing w:after="0" w:line="20" w:lineRule="exact"/>
              <w:rPr>
                <w:sz w:val="1"/>
                <w:szCs w:val="1"/>
                <w:color w:val="auto"/>
              </w:rPr>
            </w:pPr>
          </w:p>
        </w:tc>
      </w:tr>
      <w:tr>
        <w:trPr>
          <w:trHeight w:val="304"/>
        </w:trPr>
        <w:tc>
          <w:tcPr>
            <w:tcW w:w="6520" w:type="dxa"/>
            <w:vAlign w:val="bottom"/>
            <w:tcBorders>
              <w:bottom w:val="single" w:sz="8" w:color="0000EE"/>
            </w:tcBorders>
            <w:gridSpan w:val="14"/>
          </w:tcPr>
          <w:p>
            <w:pPr>
              <w:spacing w:after="0"/>
              <w:rPr>
                <w:rFonts w:ascii="Arial" w:cs="Arial" w:eastAsia="Arial" w:hAnsi="Arial"/>
                <w:sz w:val="14"/>
                <w:szCs w:val="14"/>
                <w:color w:val="0000EE"/>
                <w:w w:val="92"/>
              </w:rPr>
            </w:pPr>
            <w:hyperlink w:anchor="page130">
              <w:r>
                <w:rPr>
                  <w:rFonts w:ascii="Arial" w:cs="Arial" w:eastAsia="Arial" w:hAnsi="Arial"/>
                  <w:sz w:val="14"/>
                  <w:szCs w:val="14"/>
                  <w:color w:val="0000EE"/>
                  <w:w w:val="92"/>
                </w:rPr>
                <w:t>Consolidated Statements of Assets and Liabilities as of December 31, 2016 (unaudited) and September 30, 2016</w:t>
              </w:r>
            </w:hyperlink>
          </w:p>
        </w:tc>
        <w:tc>
          <w:tcPr>
            <w:tcW w:w="2820" w:type="dxa"/>
            <w:vAlign w:val="bottom"/>
            <w:gridSpan w:val="2"/>
          </w:tcPr>
          <w:p>
            <w:pPr>
              <w:spacing w:after="0"/>
              <w:rPr>
                <w:sz w:val="24"/>
                <w:szCs w:val="24"/>
                <w:color w:val="auto"/>
              </w:rPr>
            </w:pPr>
          </w:p>
        </w:tc>
        <w:tc>
          <w:tcPr>
            <w:tcW w:w="2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280" w:type="dxa"/>
            <w:vAlign w:val="bottom"/>
            <w:tcBorders>
              <w:bottom w:val="single" w:sz="8" w:color="0000EE"/>
            </w:tcBorders>
            <w:gridSpan w:val="12"/>
          </w:tcPr>
          <w:p>
            <w:pPr>
              <w:spacing w:after="0"/>
              <w:rPr>
                <w:rFonts w:ascii="Arial" w:cs="Arial" w:eastAsia="Arial" w:hAnsi="Arial"/>
                <w:sz w:val="14"/>
                <w:szCs w:val="14"/>
                <w:color w:val="0000EE"/>
                <w:w w:val="92"/>
              </w:rPr>
            </w:pPr>
            <w:hyperlink w:anchor="page131">
              <w:r>
                <w:rPr>
                  <w:rFonts w:ascii="Arial" w:cs="Arial" w:eastAsia="Arial" w:hAnsi="Arial"/>
                  <w:sz w:val="14"/>
                  <w:szCs w:val="14"/>
                  <w:color w:val="0000EE"/>
                  <w:w w:val="92"/>
                </w:rPr>
                <w:t>Consolidated Statements of Operations for the three months ended December 31, 2016 and 2015 (unaudited)</w:t>
              </w:r>
            </w:hyperlink>
          </w:p>
        </w:tc>
        <w:tc>
          <w:tcPr>
            <w:tcW w:w="3060" w:type="dxa"/>
            <w:vAlign w:val="bottom"/>
            <w:gridSpan w:val="4"/>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F-4</w:t>
            </w:r>
          </w:p>
        </w:tc>
        <w:tc>
          <w:tcPr>
            <w:tcW w:w="0" w:type="dxa"/>
            <w:vAlign w:val="bottom"/>
          </w:tcPr>
          <w:p>
            <w:pPr>
              <w:spacing w:after="0"/>
              <w:rPr>
                <w:sz w:val="1"/>
                <w:szCs w:val="1"/>
                <w:color w:val="auto"/>
              </w:rPr>
            </w:pPr>
          </w:p>
        </w:tc>
      </w:tr>
      <w:tr>
        <w:trPr>
          <w:trHeight w:val="304"/>
        </w:trPr>
        <w:tc>
          <w:tcPr>
            <w:tcW w:w="6940" w:type="dxa"/>
            <w:vAlign w:val="bottom"/>
            <w:tcBorders>
              <w:bottom w:val="single" w:sz="8" w:color="0000EE"/>
            </w:tcBorders>
            <w:gridSpan w:val="15"/>
          </w:tcPr>
          <w:p>
            <w:pPr>
              <w:spacing w:after="0"/>
              <w:rPr>
                <w:rFonts w:ascii="Arial" w:cs="Arial" w:eastAsia="Arial" w:hAnsi="Arial"/>
                <w:sz w:val="14"/>
                <w:szCs w:val="14"/>
                <w:color w:val="0000EE"/>
                <w:w w:val="91"/>
              </w:rPr>
            </w:pPr>
            <w:hyperlink w:anchor="page132">
              <w:r>
                <w:rPr>
                  <w:rFonts w:ascii="Arial" w:cs="Arial" w:eastAsia="Arial" w:hAnsi="Arial"/>
                  <w:sz w:val="14"/>
                  <w:szCs w:val="14"/>
                  <w:color w:val="0000EE"/>
                  <w:w w:val="91"/>
                </w:rPr>
                <w:t>Consolidated Statements of Changes in Net Assets for the three months ended December 31, 2016 and 2015 (unaudited)</w:t>
              </w:r>
            </w:hyperlink>
          </w:p>
        </w:tc>
        <w:tc>
          <w:tcPr>
            <w:tcW w:w="24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F-5</w:t>
            </w:r>
          </w:p>
        </w:tc>
        <w:tc>
          <w:tcPr>
            <w:tcW w:w="0" w:type="dxa"/>
            <w:vAlign w:val="bottom"/>
          </w:tcPr>
          <w:p>
            <w:pPr>
              <w:spacing w:after="0"/>
              <w:rPr>
                <w:sz w:val="1"/>
                <w:szCs w:val="1"/>
                <w:color w:val="auto"/>
              </w:rPr>
            </w:pPr>
          </w:p>
        </w:tc>
      </w:tr>
      <w:tr>
        <w:trPr>
          <w:trHeight w:val="304"/>
        </w:trPr>
        <w:tc>
          <w:tcPr>
            <w:tcW w:w="6320" w:type="dxa"/>
            <w:vAlign w:val="bottom"/>
            <w:tcBorders>
              <w:bottom w:val="single" w:sz="8" w:color="0000EE"/>
            </w:tcBorders>
            <w:gridSpan w:val="13"/>
          </w:tcPr>
          <w:p>
            <w:pPr>
              <w:spacing w:after="0"/>
              <w:rPr>
                <w:rFonts w:ascii="Arial" w:cs="Arial" w:eastAsia="Arial" w:hAnsi="Arial"/>
                <w:sz w:val="14"/>
                <w:szCs w:val="14"/>
                <w:color w:val="0000EE"/>
                <w:w w:val="91"/>
              </w:rPr>
            </w:pPr>
            <w:hyperlink w:anchor="page133">
              <w:r>
                <w:rPr>
                  <w:rFonts w:ascii="Arial" w:cs="Arial" w:eastAsia="Arial" w:hAnsi="Arial"/>
                  <w:sz w:val="14"/>
                  <w:szCs w:val="14"/>
                  <w:color w:val="0000EE"/>
                  <w:w w:val="91"/>
                </w:rPr>
                <w:t>Consolidated Statements of Cash Flows for the three months ended December 31, 2016 and 2015 (unaudited)</w:t>
              </w:r>
            </w:hyperlink>
          </w:p>
        </w:tc>
        <w:tc>
          <w:tcPr>
            <w:tcW w:w="3020" w:type="dxa"/>
            <w:vAlign w:val="bottom"/>
            <w:gridSpan w:val="3"/>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F-6</w:t>
            </w:r>
          </w:p>
        </w:tc>
        <w:tc>
          <w:tcPr>
            <w:tcW w:w="0" w:type="dxa"/>
            <w:vAlign w:val="bottom"/>
          </w:tcPr>
          <w:p>
            <w:pPr>
              <w:spacing w:after="0"/>
              <w:rPr>
                <w:sz w:val="1"/>
                <w:szCs w:val="1"/>
                <w:color w:val="auto"/>
              </w:rPr>
            </w:pPr>
          </w:p>
        </w:tc>
      </w:tr>
      <w:tr>
        <w:trPr>
          <w:trHeight w:val="304"/>
        </w:trPr>
        <w:tc>
          <w:tcPr>
            <w:tcW w:w="9340" w:type="dxa"/>
            <w:vAlign w:val="bottom"/>
            <w:gridSpan w:val="16"/>
          </w:tcPr>
          <w:p>
            <w:pPr>
              <w:spacing w:after="0"/>
              <w:rPr>
                <w:rFonts w:ascii="Arial" w:cs="Arial" w:eastAsia="Arial" w:hAnsi="Arial"/>
                <w:sz w:val="14"/>
                <w:szCs w:val="14"/>
                <w:color w:val="0000EE"/>
              </w:rPr>
            </w:pPr>
            <w:hyperlink w:anchor="page134">
              <w:r>
                <w:rPr>
                  <w:rFonts w:ascii="Arial" w:cs="Arial" w:eastAsia="Arial" w:hAnsi="Arial"/>
                  <w:sz w:val="14"/>
                  <w:szCs w:val="14"/>
                  <w:color w:val="0000EE"/>
                </w:rPr>
                <w:t>Consolidated Schedules of Investments as of December 31, 2016 (unaudited) and September 30, 2016</w:t>
              </w:r>
            </w:hyperlink>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F-7</w:t>
            </w:r>
          </w:p>
        </w:tc>
        <w:tc>
          <w:tcPr>
            <w:tcW w:w="0" w:type="dxa"/>
            <w:vAlign w:val="bottom"/>
          </w:tcPr>
          <w:p>
            <w:pPr>
              <w:spacing w:after="0"/>
              <w:rPr>
                <w:sz w:val="1"/>
                <w:szCs w:val="1"/>
                <w:color w:val="auto"/>
              </w:rPr>
            </w:pPr>
          </w:p>
        </w:tc>
      </w:tr>
      <w:tr>
        <w:trPr>
          <w:trHeight w:val="304"/>
        </w:trPr>
        <w:tc>
          <w:tcPr>
            <w:tcW w:w="5880" w:type="dxa"/>
            <w:vAlign w:val="bottom"/>
            <w:tcBorders>
              <w:top w:val="single" w:sz="8" w:color="0000EE"/>
            </w:tcBorders>
            <w:gridSpan w:val="9"/>
          </w:tcPr>
          <w:p>
            <w:pPr>
              <w:spacing w:after="0"/>
              <w:rPr>
                <w:rFonts w:ascii="Arial" w:cs="Arial" w:eastAsia="Arial" w:hAnsi="Arial"/>
                <w:sz w:val="14"/>
                <w:szCs w:val="14"/>
                <w:color w:val="0000EE"/>
              </w:rPr>
            </w:pPr>
            <w:hyperlink w:anchor="page140">
              <w:r>
                <w:rPr>
                  <w:rFonts w:ascii="Arial" w:cs="Arial" w:eastAsia="Arial" w:hAnsi="Arial"/>
                  <w:sz w:val="14"/>
                  <w:szCs w:val="14"/>
                  <w:color w:val="0000EE"/>
                </w:rPr>
                <w:t>Notes to Consolidated Financial Statements (unaudited)</w:t>
              </w:r>
            </w:hyperlink>
          </w:p>
        </w:tc>
        <w:tc>
          <w:tcPr>
            <w:tcW w:w="3460" w:type="dxa"/>
            <w:vAlign w:val="bottom"/>
            <w:gridSpan w:val="7"/>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F-13</w:t>
            </w:r>
          </w:p>
        </w:tc>
        <w:tc>
          <w:tcPr>
            <w:tcW w:w="0" w:type="dxa"/>
            <w:vAlign w:val="bottom"/>
          </w:tcPr>
          <w:p>
            <w:pPr>
              <w:spacing w:after="0"/>
              <w:rPr>
                <w:sz w:val="1"/>
                <w:szCs w:val="1"/>
                <w:color w:val="auto"/>
              </w:rPr>
            </w:pPr>
          </w:p>
        </w:tc>
      </w:tr>
      <w:tr>
        <w:trPr>
          <w:trHeight w:val="306"/>
        </w:trPr>
        <w:tc>
          <w:tcPr>
            <w:tcW w:w="322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Annual Financial Statments</w:t>
            </w:r>
          </w:p>
        </w:tc>
        <w:tc>
          <w:tcPr>
            <w:tcW w:w="6120" w:type="dxa"/>
            <w:vAlign w:val="bottom"/>
            <w:gridSpan w:val="14"/>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3900" w:type="dxa"/>
            <w:vAlign w:val="bottom"/>
            <w:tcBorders>
              <w:bottom w:val="single" w:sz="8" w:color="0000EE"/>
            </w:tcBorders>
            <w:gridSpan w:val="4"/>
          </w:tcPr>
          <w:p>
            <w:pPr>
              <w:spacing w:after="0"/>
              <w:rPr>
                <w:rFonts w:ascii="Arial" w:cs="Arial" w:eastAsia="Arial" w:hAnsi="Arial"/>
                <w:sz w:val="14"/>
                <w:szCs w:val="14"/>
                <w:color w:val="0000EE"/>
                <w:w w:val="94"/>
              </w:rPr>
            </w:pPr>
            <w:hyperlink w:anchor="page151">
              <w:r>
                <w:rPr>
                  <w:rFonts w:ascii="Arial" w:cs="Arial" w:eastAsia="Arial" w:hAnsi="Arial"/>
                  <w:sz w:val="14"/>
                  <w:szCs w:val="14"/>
                  <w:color w:val="0000EE"/>
                  <w:w w:val="94"/>
                </w:rPr>
                <w:t>Management’s Report on Internal Control over Financial Reporting</w:t>
              </w:r>
            </w:hyperlink>
          </w:p>
        </w:tc>
        <w:tc>
          <w:tcPr>
            <w:tcW w:w="5440" w:type="dxa"/>
            <w:vAlign w:val="bottom"/>
            <w:gridSpan w:val="12"/>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F-24</w:t>
            </w:r>
          </w:p>
        </w:tc>
        <w:tc>
          <w:tcPr>
            <w:tcW w:w="0" w:type="dxa"/>
            <w:vAlign w:val="bottom"/>
          </w:tcPr>
          <w:p>
            <w:pPr>
              <w:spacing w:after="0"/>
              <w:rPr>
                <w:sz w:val="1"/>
                <w:szCs w:val="1"/>
                <w:color w:val="auto"/>
              </w:rPr>
            </w:pPr>
          </w:p>
        </w:tc>
      </w:tr>
      <w:tr>
        <w:trPr>
          <w:trHeight w:val="304"/>
        </w:trPr>
        <w:tc>
          <w:tcPr>
            <w:tcW w:w="9340" w:type="dxa"/>
            <w:vAlign w:val="bottom"/>
            <w:gridSpan w:val="16"/>
          </w:tcPr>
          <w:p>
            <w:pPr>
              <w:spacing w:after="0"/>
              <w:rPr>
                <w:rFonts w:ascii="Arial" w:cs="Arial" w:eastAsia="Arial" w:hAnsi="Arial"/>
                <w:sz w:val="14"/>
                <w:szCs w:val="14"/>
                <w:color w:val="0000EE"/>
              </w:rPr>
            </w:pPr>
            <w:hyperlink w:anchor="page152">
              <w:r>
                <w:rPr>
                  <w:rFonts w:ascii="Arial" w:cs="Arial" w:eastAsia="Arial" w:hAnsi="Arial"/>
                  <w:sz w:val="14"/>
                  <w:szCs w:val="14"/>
                  <w:color w:val="0000EE"/>
                </w:rPr>
                <w:t>Report of Independent Registered Public Accounting Firm</w:t>
              </w:r>
            </w:hyperlink>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F-25</w:t>
            </w:r>
          </w:p>
        </w:tc>
        <w:tc>
          <w:tcPr>
            <w:tcW w:w="0" w:type="dxa"/>
            <w:vAlign w:val="bottom"/>
          </w:tcPr>
          <w:p>
            <w:pPr>
              <w:spacing w:after="0"/>
              <w:rPr>
                <w:sz w:val="1"/>
                <w:szCs w:val="1"/>
                <w:color w:val="auto"/>
              </w:rPr>
            </w:pPr>
          </w:p>
        </w:tc>
      </w:tr>
      <w:tr>
        <w:trPr>
          <w:trHeight w:val="20"/>
        </w:trPr>
        <w:tc>
          <w:tcPr>
            <w:tcW w:w="27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2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F-26</w:t>
            </w:r>
          </w:p>
        </w:tc>
        <w:tc>
          <w:tcPr>
            <w:tcW w:w="0" w:type="dxa"/>
            <w:vAlign w:val="bottom"/>
          </w:tcPr>
          <w:p>
            <w:pPr>
              <w:spacing w:after="0" w:line="20" w:lineRule="exact"/>
              <w:rPr>
                <w:sz w:val="1"/>
                <w:szCs w:val="1"/>
                <w:color w:val="auto"/>
              </w:rPr>
            </w:pPr>
          </w:p>
        </w:tc>
      </w:tr>
      <w:tr>
        <w:trPr>
          <w:trHeight w:val="304"/>
        </w:trPr>
        <w:tc>
          <w:tcPr>
            <w:tcW w:w="6060" w:type="dxa"/>
            <w:vAlign w:val="bottom"/>
            <w:tcBorders>
              <w:bottom w:val="single" w:sz="8" w:color="0000EE"/>
            </w:tcBorders>
            <w:gridSpan w:val="10"/>
          </w:tcPr>
          <w:p>
            <w:pPr>
              <w:spacing w:after="0"/>
              <w:rPr>
                <w:rFonts w:ascii="Arial" w:cs="Arial" w:eastAsia="Arial" w:hAnsi="Arial"/>
                <w:sz w:val="14"/>
                <w:szCs w:val="14"/>
                <w:color w:val="0000EE"/>
                <w:w w:val="94"/>
              </w:rPr>
            </w:pPr>
            <w:hyperlink w:anchor="page153">
              <w:r>
                <w:rPr>
                  <w:rFonts w:ascii="Arial" w:cs="Arial" w:eastAsia="Arial" w:hAnsi="Arial"/>
                  <w:sz w:val="14"/>
                  <w:szCs w:val="14"/>
                  <w:color w:val="0000EE"/>
                  <w:w w:val="94"/>
                </w:rPr>
                <w:t>Report of Independent Registered Public Accounting Firm On Internal Control Over Financial Reporting</w:t>
              </w:r>
            </w:hyperlink>
          </w:p>
        </w:tc>
        <w:tc>
          <w:tcPr>
            <w:tcW w:w="3280" w:type="dxa"/>
            <w:vAlign w:val="bottom"/>
            <w:gridSpan w:val="6"/>
          </w:tcPr>
          <w:p>
            <w:pPr>
              <w:spacing w:after="0"/>
              <w:rPr>
                <w:sz w:val="24"/>
                <w:szCs w:val="24"/>
                <w:color w:val="auto"/>
              </w:rPr>
            </w:pPr>
          </w:p>
        </w:tc>
        <w:tc>
          <w:tcPr>
            <w:tcW w:w="2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980" w:type="dxa"/>
            <w:vAlign w:val="bottom"/>
            <w:tcBorders>
              <w:bottom w:val="single" w:sz="8" w:color="0000EE"/>
            </w:tcBorders>
            <w:gridSpan w:val="6"/>
          </w:tcPr>
          <w:p>
            <w:pPr>
              <w:spacing w:after="0"/>
              <w:rPr>
                <w:rFonts w:ascii="Arial" w:cs="Arial" w:eastAsia="Arial" w:hAnsi="Arial"/>
                <w:sz w:val="14"/>
                <w:szCs w:val="14"/>
                <w:color w:val="0000EE"/>
                <w:w w:val="92"/>
              </w:rPr>
            </w:pPr>
            <w:hyperlink w:anchor="page154">
              <w:r>
                <w:rPr>
                  <w:rFonts w:ascii="Arial" w:cs="Arial" w:eastAsia="Arial" w:hAnsi="Arial"/>
                  <w:sz w:val="14"/>
                  <w:szCs w:val="14"/>
                  <w:color w:val="0000EE"/>
                  <w:w w:val="92"/>
                </w:rPr>
                <w:t>Consolidated Statements of Assets and Liabilities as of September 30, 2016 and 2015</w:t>
              </w:r>
            </w:hyperlink>
          </w:p>
        </w:tc>
        <w:tc>
          <w:tcPr>
            <w:tcW w:w="4360" w:type="dxa"/>
            <w:vAlign w:val="bottom"/>
            <w:gridSpan w:val="10"/>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F-27</w:t>
            </w:r>
          </w:p>
        </w:tc>
        <w:tc>
          <w:tcPr>
            <w:tcW w:w="0" w:type="dxa"/>
            <w:vAlign w:val="bottom"/>
          </w:tcPr>
          <w:p>
            <w:pPr>
              <w:spacing w:after="0"/>
              <w:rPr>
                <w:sz w:val="1"/>
                <w:szCs w:val="1"/>
                <w:color w:val="auto"/>
              </w:rPr>
            </w:pPr>
          </w:p>
        </w:tc>
      </w:tr>
      <w:tr>
        <w:trPr>
          <w:trHeight w:val="304"/>
        </w:trPr>
        <w:tc>
          <w:tcPr>
            <w:tcW w:w="9340" w:type="dxa"/>
            <w:vAlign w:val="bottom"/>
            <w:gridSpan w:val="16"/>
          </w:tcPr>
          <w:p>
            <w:pPr>
              <w:spacing w:after="0"/>
              <w:rPr>
                <w:rFonts w:ascii="Arial" w:cs="Arial" w:eastAsia="Arial" w:hAnsi="Arial"/>
                <w:sz w:val="14"/>
                <w:szCs w:val="14"/>
                <w:color w:val="0000EE"/>
              </w:rPr>
            </w:pPr>
            <w:hyperlink w:anchor="page155">
              <w:r>
                <w:rPr>
                  <w:rFonts w:ascii="Arial" w:cs="Arial" w:eastAsia="Arial" w:hAnsi="Arial"/>
                  <w:sz w:val="14"/>
                  <w:szCs w:val="14"/>
                  <w:color w:val="0000EE"/>
                </w:rPr>
                <w:t>Consolidated Statements of Operations for the years ended September 30, 2016, 2015 and 2014</w:t>
              </w:r>
            </w:hyperlink>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F-28</w:t>
            </w:r>
          </w:p>
        </w:tc>
        <w:tc>
          <w:tcPr>
            <w:tcW w:w="0" w:type="dxa"/>
            <w:vAlign w:val="bottom"/>
          </w:tcPr>
          <w:p>
            <w:pPr>
              <w:spacing w:after="0"/>
              <w:rPr>
                <w:sz w:val="1"/>
                <w:szCs w:val="1"/>
                <w:color w:val="auto"/>
              </w:rPr>
            </w:pPr>
          </w:p>
        </w:tc>
      </w:tr>
      <w:tr>
        <w:trPr>
          <w:trHeight w:val="20"/>
        </w:trPr>
        <w:tc>
          <w:tcPr>
            <w:tcW w:w="2740" w:type="dxa"/>
            <w:vAlign w:val="bottom"/>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2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F-29</w:t>
            </w:r>
          </w:p>
        </w:tc>
        <w:tc>
          <w:tcPr>
            <w:tcW w:w="0" w:type="dxa"/>
            <w:vAlign w:val="bottom"/>
          </w:tcPr>
          <w:p>
            <w:pPr>
              <w:spacing w:after="0" w:line="20" w:lineRule="exact"/>
              <w:rPr>
                <w:sz w:val="1"/>
                <w:szCs w:val="1"/>
                <w:color w:val="auto"/>
              </w:rPr>
            </w:pPr>
          </w:p>
        </w:tc>
      </w:tr>
      <w:tr>
        <w:trPr>
          <w:trHeight w:val="304"/>
        </w:trPr>
        <w:tc>
          <w:tcPr>
            <w:tcW w:w="6180" w:type="dxa"/>
            <w:vAlign w:val="bottom"/>
            <w:tcBorders>
              <w:bottom w:val="single" w:sz="8" w:color="0000EE"/>
            </w:tcBorders>
            <w:gridSpan w:val="11"/>
          </w:tcPr>
          <w:p>
            <w:pPr>
              <w:spacing w:after="0"/>
              <w:rPr>
                <w:rFonts w:ascii="Arial" w:cs="Arial" w:eastAsia="Arial" w:hAnsi="Arial"/>
                <w:sz w:val="14"/>
                <w:szCs w:val="14"/>
                <w:color w:val="0000EE"/>
                <w:w w:val="91"/>
              </w:rPr>
            </w:pPr>
            <w:hyperlink w:anchor="page156">
              <w:r>
                <w:rPr>
                  <w:rFonts w:ascii="Arial" w:cs="Arial" w:eastAsia="Arial" w:hAnsi="Arial"/>
                  <w:sz w:val="14"/>
                  <w:szCs w:val="14"/>
                  <w:color w:val="0000EE"/>
                  <w:w w:val="91"/>
                </w:rPr>
                <w:t>Consolidated Statements of Changes in Net Assets for the years ended September 30, 2016, 2015 and 2014</w:t>
              </w:r>
            </w:hyperlink>
          </w:p>
        </w:tc>
        <w:tc>
          <w:tcPr>
            <w:tcW w:w="3160" w:type="dxa"/>
            <w:vAlign w:val="bottom"/>
            <w:gridSpan w:val="5"/>
          </w:tcPr>
          <w:p>
            <w:pPr>
              <w:spacing w:after="0"/>
              <w:rPr>
                <w:sz w:val="24"/>
                <w:szCs w:val="24"/>
                <w:color w:val="auto"/>
              </w:rPr>
            </w:pPr>
          </w:p>
        </w:tc>
        <w:tc>
          <w:tcPr>
            <w:tcW w:w="2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0" w:type="dxa"/>
            <w:vAlign w:val="bottom"/>
            <w:tcBorders>
              <w:bottom w:val="single" w:sz="8" w:color="0000EE"/>
            </w:tcBorders>
            <w:gridSpan w:val="8"/>
          </w:tcPr>
          <w:p>
            <w:pPr>
              <w:spacing w:after="0"/>
              <w:rPr>
                <w:rFonts w:ascii="Arial" w:cs="Arial" w:eastAsia="Arial" w:hAnsi="Arial"/>
                <w:sz w:val="14"/>
                <w:szCs w:val="14"/>
                <w:color w:val="0000EE"/>
                <w:w w:val="92"/>
              </w:rPr>
            </w:pPr>
            <w:hyperlink w:anchor="page157">
              <w:r>
                <w:rPr>
                  <w:rFonts w:ascii="Arial" w:cs="Arial" w:eastAsia="Arial" w:hAnsi="Arial"/>
                  <w:sz w:val="14"/>
                  <w:szCs w:val="14"/>
                  <w:color w:val="0000EE"/>
                  <w:w w:val="92"/>
                </w:rPr>
                <w:t>Consolidated Statements of Cash Flows for the years ended September 30, 2016, 2015 and 2014</w:t>
              </w:r>
            </w:hyperlink>
          </w:p>
        </w:tc>
        <w:tc>
          <w:tcPr>
            <w:tcW w:w="3740" w:type="dxa"/>
            <w:vAlign w:val="bottom"/>
            <w:gridSpan w:val="8"/>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F-30</w:t>
            </w:r>
          </w:p>
        </w:tc>
        <w:tc>
          <w:tcPr>
            <w:tcW w:w="0" w:type="dxa"/>
            <w:vAlign w:val="bottom"/>
          </w:tcPr>
          <w:p>
            <w:pPr>
              <w:spacing w:after="0"/>
              <w:rPr>
                <w:sz w:val="1"/>
                <w:szCs w:val="1"/>
                <w:color w:val="auto"/>
              </w:rPr>
            </w:pPr>
          </w:p>
        </w:tc>
      </w:tr>
      <w:tr>
        <w:trPr>
          <w:trHeight w:val="304"/>
        </w:trPr>
        <w:tc>
          <w:tcPr>
            <w:tcW w:w="9340" w:type="dxa"/>
            <w:vAlign w:val="bottom"/>
            <w:gridSpan w:val="16"/>
          </w:tcPr>
          <w:p>
            <w:pPr>
              <w:spacing w:after="0"/>
              <w:rPr>
                <w:rFonts w:ascii="Arial" w:cs="Arial" w:eastAsia="Arial" w:hAnsi="Arial"/>
                <w:sz w:val="14"/>
                <w:szCs w:val="14"/>
                <w:color w:val="0000EE"/>
              </w:rPr>
            </w:pPr>
            <w:hyperlink w:anchor="page158">
              <w:r>
                <w:rPr>
                  <w:rFonts w:ascii="Arial" w:cs="Arial" w:eastAsia="Arial" w:hAnsi="Arial"/>
                  <w:sz w:val="14"/>
                  <w:szCs w:val="14"/>
                  <w:color w:val="0000EE"/>
                </w:rPr>
                <w:t>Consolidated Schedules of Investments as of September 30, 2016 and 2015</w:t>
              </w:r>
            </w:hyperlink>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F-31</w:t>
            </w:r>
          </w:p>
        </w:tc>
        <w:tc>
          <w:tcPr>
            <w:tcW w:w="0" w:type="dxa"/>
            <w:vAlign w:val="bottom"/>
          </w:tcPr>
          <w:p>
            <w:pPr>
              <w:spacing w:after="0"/>
              <w:rPr>
                <w:sz w:val="1"/>
                <w:szCs w:val="1"/>
                <w:color w:val="auto"/>
              </w:rPr>
            </w:pPr>
          </w:p>
        </w:tc>
      </w:tr>
      <w:tr>
        <w:trPr>
          <w:trHeight w:val="304"/>
        </w:trPr>
        <w:tc>
          <w:tcPr>
            <w:tcW w:w="4340" w:type="dxa"/>
            <w:vAlign w:val="bottom"/>
            <w:tcBorders>
              <w:top w:val="single" w:sz="8" w:color="0000EE"/>
            </w:tcBorders>
            <w:gridSpan w:val="5"/>
          </w:tcPr>
          <w:p>
            <w:pPr>
              <w:spacing w:after="0"/>
              <w:rPr>
                <w:rFonts w:ascii="Arial" w:cs="Arial" w:eastAsia="Arial" w:hAnsi="Arial"/>
                <w:sz w:val="14"/>
                <w:szCs w:val="14"/>
                <w:color w:val="0000EE"/>
              </w:rPr>
            </w:pPr>
            <w:hyperlink w:anchor="page165">
              <w:r>
                <w:rPr>
                  <w:rFonts w:ascii="Arial" w:cs="Arial" w:eastAsia="Arial" w:hAnsi="Arial"/>
                  <w:sz w:val="14"/>
                  <w:szCs w:val="14"/>
                  <w:color w:val="0000EE"/>
                </w:rPr>
                <w:t>Notes to the Consolidated Financial Statements</w:t>
              </w:r>
            </w:hyperlink>
          </w:p>
        </w:tc>
        <w:tc>
          <w:tcPr>
            <w:tcW w:w="5000" w:type="dxa"/>
            <w:vAlign w:val="bottom"/>
            <w:gridSpan w:val="11"/>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F-38</w:t>
            </w:r>
          </w:p>
        </w:tc>
        <w:tc>
          <w:tcPr>
            <w:tcW w:w="0" w:type="dxa"/>
            <w:vAlign w:val="bottom"/>
          </w:tcPr>
          <w:p>
            <w:pPr>
              <w:spacing w:after="0"/>
              <w:rPr>
                <w:sz w:val="1"/>
                <w:szCs w:val="1"/>
                <w:color w:val="auto"/>
              </w:rPr>
            </w:pPr>
          </w:p>
        </w:tc>
      </w:tr>
      <w:tr>
        <w:trPr>
          <w:trHeight w:val="306"/>
        </w:trPr>
        <w:tc>
          <w:tcPr>
            <w:tcW w:w="27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40" w:type="dxa"/>
            <w:vAlign w:val="bottom"/>
            <w:gridSpan w:val="8"/>
          </w:tcPr>
          <w:p>
            <w:pPr>
              <w:jc w:val="center"/>
              <w:ind w:right="3500"/>
              <w:spacing w:after="0"/>
              <w:rPr>
                <w:sz w:val="20"/>
                <w:szCs w:val="20"/>
                <w:color w:val="auto"/>
              </w:rPr>
            </w:pPr>
            <w:r>
              <w:rPr>
                <w:rFonts w:ascii="Arial" w:cs="Arial" w:eastAsia="Arial" w:hAnsi="Arial"/>
                <w:sz w:val="14"/>
                <w:szCs w:val="14"/>
                <w:color w:val="auto"/>
                <w:w w:val="95"/>
              </w:rPr>
              <w:t>F-1</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124" w:lineRule="exact"/>
        <w:rPr>
          <w:sz w:val="20"/>
          <w:szCs w:val="20"/>
          <w:color w:val="auto"/>
        </w:rPr>
      </w:pPr>
    </w:p>
    <w:p>
      <w:pPr>
        <w:ind w:right="20" w:firstLine="685"/>
        <w:spacing w:after="0" w:line="238" w:lineRule="auto"/>
        <w:rPr>
          <w:sz w:val="20"/>
          <w:szCs w:val="20"/>
          <w:color w:val="auto"/>
        </w:rPr>
      </w:pPr>
      <w:r>
        <w:rPr>
          <w:rFonts w:ascii="Arial" w:cs="Arial" w:eastAsia="Arial" w:hAnsi="Arial"/>
          <w:sz w:val="14"/>
          <w:szCs w:val="14"/>
          <w:color w:val="auto"/>
        </w:rPr>
        <w:t>We have reviewed the accompanying consolidated statements of assets and liabilities of PennantPark Investment Corporation and its Subsidiaries (collectively referred to as the “Company”), including the consolidated schedule of investments, as of December 31, 2016, and the consolidated statements of operations, changes in net assets and cash flows for the three months ended December 31, 2016 and 2015. These consolidated financial statements are the responsibility of the Company’s management.</w:t>
      </w:r>
    </w:p>
    <w:p>
      <w:pPr>
        <w:spacing w:after="0" w:line="102" w:lineRule="exact"/>
        <w:rPr>
          <w:sz w:val="20"/>
          <w:szCs w:val="20"/>
          <w:color w:val="auto"/>
        </w:rPr>
      </w:pPr>
    </w:p>
    <w:p>
      <w:pPr>
        <w:ind w:right="20" w:firstLine="685"/>
        <w:spacing w:after="0" w:line="234" w:lineRule="auto"/>
        <w:rPr>
          <w:sz w:val="20"/>
          <w:szCs w:val="20"/>
          <w:color w:val="auto"/>
        </w:rPr>
      </w:pPr>
      <w:r>
        <w:rPr>
          <w:rFonts w:ascii="Arial" w:cs="Arial" w:eastAsia="Arial" w:hAnsi="Arial"/>
          <w:sz w:val="14"/>
          <w:szCs w:val="14"/>
          <w:color w:val="auto"/>
        </w:rPr>
        <w:t>We conducted our review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115" w:lineRule="exact"/>
        <w:rPr>
          <w:sz w:val="20"/>
          <w:szCs w:val="20"/>
          <w:color w:val="auto"/>
        </w:rPr>
      </w:pPr>
    </w:p>
    <w:p>
      <w:pPr>
        <w:ind w:right="300" w:firstLine="685"/>
        <w:spacing w:after="0" w:line="253" w:lineRule="auto"/>
        <w:rPr>
          <w:sz w:val="20"/>
          <w:szCs w:val="20"/>
          <w:color w:val="auto"/>
        </w:rPr>
      </w:pPr>
      <w:r>
        <w:rPr>
          <w:rFonts w:ascii="Arial" w:cs="Arial" w:eastAsia="Arial" w:hAnsi="Arial"/>
          <w:sz w:val="14"/>
          <w:szCs w:val="14"/>
          <w:color w:val="auto"/>
        </w:rPr>
        <w:t>Based on our review, we are not aware of any material modifications that should be made to the accompanying consolidated financial statements referred to above for them to be in conformity with U.S. generally accepted accounting principles.</w:t>
      </w:r>
    </w:p>
    <w:p>
      <w:pPr>
        <w:spacing w:after="0" w:line="106" w:lineRule="exact"/>
        <w:rPr>
          <w:sz w:val="20"/>
          <w:szCs w:val="20"/>
          <w:color w:val="auto"/>
        </w:rPr>
      </w:pPr>
    </w:p>
    <w:p>
      <w:pPr>
        <w:ind w:firstLine="685"/>
        <w:spacing w:after="0" w:line="256" w:lineRule="auto"/>
        <w:rPr>
          <w:sz w:val="20"/>
          <w:szCs w:val="20"/>
          <w:color w:val="auto"/>
        </w:rPr>
      </w:pPr>
      <w:r>
        <w:rPr>
          <w:rFonts w:ascii="Arial" w:cs="Arial" w:eastAsia="Arial" w:hAnsi="Arial"/>
          <w:sz w:val="13"/>
          <w:szCs w:val="13"/>
          <w:color w:val="auto"/>
        </w:rPr>
        <w:t>We have previously audited, in accordance with the standards of the Public Company Accounting Oversight Board, the consolidated statement of assets and liabilities of the Company, including the consolidated schedule of investments, as of September 30, 2016, and the related consolidated statements of operations, changes in net assets, and cash flows for the year then ended (not presented herein); and in our report dated November 21, 2016, we expressed an unqualified opinion on those financial statements. In our opinion, the information set forth in the accompanying consolidated statements of assets and liabilities as of December 31, 2016, is fairly stated, in all material respects, in relation to the consolidated statements of assets and liabilities.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February 8, 2017</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F-2</w:t>
      </w:r>
    </w:p>
    <w:p>
      <w:pPr>
        <w:sectPr>
          <w:pgSz w:w="11900" w:h="16838" w:orient="portrait"/>
          <w:cols w:equalWidth="0" w:num="1">
            <w:col w:w="11340"/>
          </w:cols>
          <w:pgMar w:left="240" w:top="459" w:right="3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24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7"/>
              </w:rPr>
              <w:t>September 30, 2016</w:t>
            </w:r>
          </w:p>
        </w:tc>
      </w:tr>
      <w:tr>
        <w:trPr>
          <w:trHeight w:val="17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84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8420" w:type="dxa"/>
            <w:vAlign w:val="bottom"/>
          </w:tcPr>
          <w:p>
            <w:pPr>
              <w:spacing w:after="0" w:line="149" w:lineRule="exact"/>
              <w:rPr>
                <w:sz w:val="20"/>
                <w:szCs w:val="20"/>
                <w:color w:val="auto"/>
              </w:rPr>
            </w:pPr>
            <w:r>
              <w:rPr>
                <w:rFonts w:ascii="Arial" w:cs="Arial" w:eastAsia="Arial" w:hAnsi="Arial"/>
                <w:sz w:val="14"/>
                <w:szCs w:val="14"/>
                <w:color w:val="auto"/>
              </w:rPr>
              <w:t>Investments at fair value</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Non-controlled, non-affiliated investments (cost—$918,332,509 and $805,189,545, respectively)</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946,232,162</w:t>
            </w:r>
          </w:p>
        </w:tc>
        <w:tc>
          <w:tcPr>
            <w:tcW w:w="4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813,467,491</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tcPr>
          <w:p>
            <w:pPr>
              <w:ind w:left="140"/>
              <w:spacing w:after="0" w:line="149" w:lineRule="exact"/>
              <w:rPr>
                <w:sz w:val="20"/>
                <w:szCs w:val="20"/>
                <w:color w:val="auto"/>
              </w:rPr>
            </w:pPr>
            <w:r>
              <w:rPr>
                <w:rFonts w:ascii="Arial" w:cs="Arial" w:eastAsia="Arial" w:hAnsi="Arial"/>
                <w:sz w:val="14"/>
                <w:szCs w:val="14"/>
                <w:color w:val="auto"/>
              </w:rPr>
              <w:t>Non-controlled, affiliated investments (cost—$292,491,050 and $262,476,906, respectively)</w:t>
            </w:r>
          </w:p>
        </w:tc>
        <w:tc>
          <w:tcPr>
            <w:tcW w:w="14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266,795,326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215,192,547</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Controlled, affiliated investments (cost—$189,639,082 and $186,290,695, respectively)</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112,516,291</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125,019,637</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420" w:type="dxa"/>
            <w:vAlign w:val="bottom"/>
          </w:tcPr>
          <w:p>
            <w:pPr>
              <w:ind w:left="140"/>
              <w:spacing w:after="0" w:line="155" w:lineRule="exact"/>
              <w:rPr>
                <w:sz w:val="20"/>
                <w:szCs w:val="20"/>
                <w:color w:val="auto"/>
              </w:rPr>
            </w:pPr>
            <w:r>
              <w:rPr>
                <w:rFonts w:ascii="Arial" w:cs="Arial" w:eastAsia="Arial" w:hAnsi="Arial"/>
                <w:sz w:val="14"/>
                <w:szCs w:val="14"/>
                <w:color w:val="auto"/>
              </w:rPr>
              <w:t>Total of investments (cost—$1,400,462,641 and $1,253,957,146, respectively)</w:t>
            </w: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1,325,543,779</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1,153,679,675</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(cost—$45,335,225 and $75,617,133, respectively)</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45,340,576</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75,608,113</w:t>
            </w:r>
          </w:p>
        </w:tc>
      </w:tr>
      <w:tr>
        <w:trPr>
          <w:trHeight w:val="149"/>
        </w:trPr>
        <w:tc>
          <w:tcPr>
            <w:tcW w:w="20" w:type="dxa"/>
            <w:vAlign w:val="bottom"/>
          </w:tcPr>
          <w:p>
            <w:pPr>
              <w:spacing w:after="0"/>
              <w:rPr>
                <w:sz w:val="12"/>
                <w:szCs w:val="12"/>
                <w:color w:val="auto"/>
              </w:rPr>
            </w:pPr>
          </w:p>
        </w:tc>
        <w:tc>
          <w:tcPr>
            <w:tcW w:w="8420" w:type="dxa"/>
            <w:vAlign w:val="bottom"/>
          </w:tcPr>
          <w:p>
            <w:pPr>
              <w:spacing w:after="0" w:line="149" w:lineRule="exact"/>
              <w:rPr>
                <w:sz w:val="20"/>
                <w:szCs w:val="20"/>
                <w:color w:val="auto"/>
              </w:rPr>
            </w:pPr>
            <w:r>
              <w:rPr>
                <w:rFonts w:ascii="Arial" w:cs="Arial" w:eastAsia="Arial" w:hAnsi="Arial"/>
                <w:sz w:val="14"/>
                <w:szCs w:val="14"/>
                <w:color w:val="auto"/>
              </w:rPr>
              <w:t>Interest receivable</w:t>
            </w:r>
          </w:p>
        </w:tc>
        <w:tc>
          <w:tcPr>
            <w:tcW w:w="14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12,749,323</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7,032,858</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Prepaid expenses and other assets</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1,978,725</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2,615,232</w:t>
            </w:r>
          </w:p>
        </w:tc>
        <w:tc>
          <w:tcPr>
            <w:tcW w:w="10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8420" w:type="dxa"/>
            <w:vAlign w:val="bottom"/>
          </w:tcPr>
          <w:p>
            <w:pPr>
              <w:ind w:left="560"/>
              <w:spacing w:after="0" w:line="155" w:lineRule="exact"/>
              <w:rPr>
                <w:sz w:val="20"/>
                <w:szCs w:val="20"/>
                <w:color w:val="auto"/>
              </w:rPr>
            </w:pPr>
            <w:r>
              <w:rPr>
                <w:rFonts w:ascii="Arial" w:cs="Arial" w:eastAsia="Arial" w:hAnsi="Arial"/>
                <w:sz w:val="14"/>
                <w:szCs w:val="14"/>
                <w:b w:val="1"/>
                <w:bCs w:val="1"/>
                <w:color w:val="auto"/>
              </w:rPr>
              <w:t>Total assets</w:t>
            </w: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1,385,612,403</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1,238,935,878</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tcPr>
          <w:p>
            <w:pPr>
              <w:spacing w:after="0" w:line="149" w:lineRule="exact"/>
              <w:rPr>
                <w:sz w:val="20"/>
                <w:szCs w:val="20"/>
                <w:color w:val="auto"/>
              </w:rPr>
            </w:pPr>
            <w:r>
              <w:rPr>
                <w:rFonts w:ascii="Arial" w:cs="Arial" w:eastAsia="Arial" w:hAnsi="Arial"/>
                <w:sz w:val="14"/>
                <w:szCs w:val="14"/>
                <w:color w:val="auto"/>
              </w:rPr>
              <w:t>Distributions payable</w:t>
            </w:r>
          </w:p>
        </w:tc>
        <w:tc>
          <w:tcPr>
            <w:tcW w:w="14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19,897,034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19,897,034</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50,399,000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8420" w:type="dxa"/>
            <w:vAlign w:val="bottom"/>
          </w:tcPr>
          <w:p>
            <w:pPr>
              <w:spacing w:after="0" w:line="149" w:lineRule="exact"/>
              <w:rPr>
                <w:sz w:val="20"/>
                <w:szCs w:val="20"/>
                <w:color w:val="auto"/>
              </w:rPr>
            </w:pPr>
            <w:r>
              <w:rPr>
                <w:rFonts w:ascii="Arial" w:cs="Arial" w:eastAsia="Arial" w:hAnsi="Arial"/>
                <w:sz w:val="14"/>
                <w:szCs w:val="14"/>
                <w:color w:val="auto"/>
              </w:rPr>
              <w:t>Credit Facility payable (cost—$148,118,700 and $50,339,700, respectively) (See Notes 5 and 10)</w:t>
            </w:r>
          </w:p>
        </w:tc>
        <w:tc>
          <w:tcPr>
            <w:tcW w:w="14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136,122,503</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39,551,187</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 payable (par—$250,000,000) (See Notes 5 and 10)</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250,635,000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254,175,000</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tcPr>
          <w:p>
            <w:pPr>
              <w:spacing w:after="0" w:line="149" w:lineRule="exact"/>
              <w:rPr>
                <w:sz w:val="20"/>
                <w:szCs w:val="20"/>
                <w:color w:val="auto"/>
              </w:rPr>
            </w:pPr>
            <w:r>
              <w:rPr>
                <w:rFonts w:ascii="Arial" w:cs="Arial" w:eastAsia="Arial" w:hAnsi="Arial"/>
                <w:sz w:val="14"/>
                <w:szCs w:val="14"/>
                <w:color w:val="auto"/>
              </w:rPr>
              <w:t>SBA debentures payable, net (par—$197,500,000) (See Notes 5 and 10)</w:t>
            </w:r>
          </w:p>
        </w:tc>
        <w:tc>
          <w:tcPr>
            <w:tcW w:w="14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193,413,169</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193,244,534</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2025 Notes payable (par—$71,250,000) (See Notes 5 and 10)</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71,535,000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72,618,000</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tcPr>
          <w:p>
            <w:pPr>
              <w:spacing w:after="0" w:line="149" w:lineRule="exact"/>
              <w:rPr>
                <w:sz w:val="20"/>
                <w:szCs w:val="20"/>
                <w:color w:val="auto"/>
              </w:rPr>
            </w:pPr>
            <w:r>
              <w:rPr>
                <w:rFonts w:ascii="Arial" w:cs="Arial" w:eastAsia="Arial" w:hAnsi="Arial"/>
                <w:sz w:val="14"/>
                <w:szCs w:val="14"/>
                <w:color w:val="auto"/>
              </w:rPr>
              <w:t>Base management fee payable, net (See Note 3)</w:t>
            </w:r>
          </w:p>
        </w:tc>
        <w:tc>
          <w:tcPr>
            <w:tcW w:w="14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5,270,817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5,074,830</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Performance-based incentive fee payable, net (See Note 3)</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2,834,336</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2,865,444</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tcPr>
          <w:p>
            <w:pPr>
              <w:spacing w:after="0" w:line="149" w:lineRule="exact"/>
              <w:rPr>
                <w:sz w:val="20"/>
                <w:szCs w:val="20"/>
                <w:color w:val="auto"/>
              </w:rPr>
            </w:pPr>
            <w:r>
              <w:rPr>
                <w:rFonts w:ascii="Arial" w:cs="Arial" w:eastAsia="Arial" w:hAnsi="Arial"/>
                <w:sz w:val="14"/>
                <w:szCs w:val="14"/>
                <w:color w:val="auto"/>
              </w:rPr>
              <w:t>Interest payable on debt</w:t>
            </w:r>
          </w:p>
        </w:tc>
        <w:tc>
          <w:tcPr>
            <w:tcW w:w="14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6,568,212</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7,520,113</w:t>
            </w: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other expenses</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1,418,383</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622,880</w:t>
            </w:r>
          </w:p>
        </w:tc>
      </w:tr>
      <w:tr>
        <w:trPr>
          <w:trHeight w:val="163"/>
        </w:trPr>
        <w:tc>
          <w:tcPr>
            <w:tcW w:w="20" w:type="dxa"/>
            <w:vAlign w:val="bottom"/>
          </w:tcPr>
          <w:p>
            <w:pPr>
              <w:spacing w:after="0"/>
              <w:rPr>
                <w:sz w:val="14"/>
                <w:szCs w:val="14"/>
                <w:color w:val="auto"/>
              </w:rPr>
            </w:pPr>
          </w:p>
        </w:tc>
        <w:tc>
          <w:tcPr>
            <w:tcW w:w="8420" w:type="dxa"/>
            <w:vAlign w:val="bottom"/>
          </w:tcPr>
          <w:p>
            <w:pPr>
              <w:ind w:left="560"/>
              <w:spacing w:after="0" w:line="155" w:lineRule="exact"/>
              <w:rPr>
                <w:sz w:val="20"/>
                <w:szCs w:val="20"/>
                <w:color w:val="auto"/>
              </w:rPr>
            </w:pPr>
            <w:r>
              <w:rPr>
                <w:rFonts w:ascii="Arial" w:cs="Arial" w:eastAsia="Arial" w:hAnsi="Arial"/>
                <w:sz w:val="14"/>
                <w:szCs w:val="14"/>
                <w:b w:val="1"/>
                <w:bCs w:val="1"/>
                <w:color w:val="auto"/>
              </w:rPr>
              <w:t>Total liabilities</w:t>
            </w: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738,093,454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595,569,022</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(See Note 11)</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8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71,060,836 shares issued and outstanding, respectively</w:t>
            </w: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8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Par value $0.001 per share and 100,000,000 shares authorized</w:t>
            </w: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71,061</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71,061</w:t>
            </w:r>
          </w:p>
        </w:tc>
      </w:tr>
      <w:tr>
        <w:trPr>
          <w:trHeight w:val="149"/>
        </w:trPr>
        <w:tc>
          <w:tcPr>
            <w:tcW w:w="20" w:type="dxa"/>
            <w:vAlign w:val="bottom"/>
          </w:tcPr>
          <w:p>
            <w:pPr>
              <w:spacing w:after="0"/>
              <w:rPr>
                <w:sz w:val="12"/>
                <w:szCs w:val="12"/>
                <w:color w:val="auto"/>
              </w:rPr>
            </w:pPr>
          </w:p>
        </w:tc>
        <w:tc>
          <w:tcPr>
            <w:tcW w:w="8420" w:type="dxa"/>
            <w:vAlign w:val="bottom"/>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14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819,983,676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819,983,676</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in excess of) undistributed net investment income</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(1,736,977)</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3,119,380</w:t>
            </w:r>
          </w:p>
        </w:tc>
      </w:tr>
      <w:tr>
        <w:trPr>
          <w:trHeight w:val="149"/>
        </w:trPr>
        <w:tc>
          <w:tcPr>
            <w:tcW w:w="20" w:type="dxa"/>
            <w:vAlign w:val="bottom"/>
          </w:tcPr>
          <w:p>
            <w:pPr>
              <w:spacing w:after="0"/>
              <w:rPr>
                <w:sz w:val="12"/>
                <w:szCs w:val="12"/>
                <w:color w:val="auto"/>
              </w:rPr>
            </w:pPr>
          </w:p>
        </w:tc>
        <w:tc>
          <w:tcPr>
            <w:tcW w:w="8420" w:type="dxa"/>
            <w:vAlign w:val="bottom"/>
          </w:tcPr>
          <w:p>
            <w:pPr>
              <w:spacing w:after="0" w:line="149" w:lineRule="exact"/>
              <w:rPr>
                <w:sz w:val="20"/>
                <w:szCs w:val="20"/>
                <w:color w:val="auto"/>
              </w:rPr>
            </w:pPr>
            <w:r>
              <w:rPr>
                <w:rFonts w:ascii="Arial" w:cs="Arial" w:eastAsia="Arial" w:hAnsi="Arial"/>
                <w:sz w:val="14"/>
                <w:szCs w:val="14"/>
                <w:color w:val="auto"/>
              </w:rPr>
              <w:t>Accumulated net realized loss on investments</w:t>
            </w:r>
          </w:p>
        </w:tc>
        <w:tc>
          <w:tcPr>
            <w:tcW w:w="14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(106,967,154)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(84,771,820)</w:t>
            </w: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depreciation on investments</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(74,907,854)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(100,280,954)</w:t>
            </w:r>
          </w:p>
        </w:tc>
      </w:tr>
      <w:tr>
        <w:trPr>
          <w:trHeight w:val="156"/>
        </w:trPr>
        <w:tc>
          <w:tcPr>
            <w:tcW w:w="20" w:type="dxa"/>
            <w:vAlign w:val="bottom"/>
          </w:tcPr>
          <w:p>
            <w:pPr>
              <w:spacing w:after="0"/>
              <w:rPr>
                <w:sz w:val="13"/>
                <w:szCs w:val="13"/>
                <w:color w:val="auto"/>
              </w:rPr>
            </w:pPr>
          </w:p>
        </w:tc>
        <w:tc>
          <w:tcPr>
            <w:tcW w:w="8420" w:type="dxa"/>
            <w:vAlign w:val="bottom"/>
          </w:tcPr>
          <w:p>
            <w:pPr>
              <w:spacing w:after="0" w:line="149" w:lineRule="exact"/>
              <w:rPr>
                <w:sz w:val="20"/>
                <w:szCs w:val="20"/>
                <w:color w:val="auto"/>
              </w:rPr>
            </w:pPr>
            <w:r>
              <w:rPr>
                <w:rFonts w:ascii="Arial" w:cs="Arial" w:eastAsia="Arial" w:hAnsi="Arial"/>
                <w:sz w:val="14"/>
                <w:szCs w:val="14"/>
                <w:color w:val="auto"/>
              </w:rPr>
              <w:t>Net unrealized depreciation on debt</w:t>
            </w: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11,076,197</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5,245,513</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b w:val="1"/>
                <w:bCs w:val="1"/>
                <w:color w:val="auto"/>
              </w:rPr>
              <w:t>Total net assets</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647,518,949</w:t>
            </w:r>
          </w:p>
        </w:tc>
        <w:tc>
          <w:tcPr>
            <w:tcW w:w="4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643,366,856</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420" w:type="dxa"/>
            <w:vAlign w:val="bottom"/>
          </w:tcPr>
          <w:p>
            <w:pPr>
              <w:ind w:left="56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1,385,612,403</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1,238,935,878</w:t>
            </w:r>
          </w:p>
        </w:tc>
        <w:tc>
          <w:tcPr>
            <w:tcW w:w="1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4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1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9.11</w:t>
            </w:r>
          </w:p>
        </w:tc>
        <w:tc>
          <w:tcPr>
            <w:tcW w:w="46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9.05</w:t>
            </w: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8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3"/>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9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21,872,130</w:t>
            </w:r>
          </w:p>
        </w:tc>
        <w:tc>
          <w:tcPr>
            <w:tcW w:w="1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28,218,030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tcPr>
          <w:p>
            <w:pPr>
              <w:ind w:left="280"/>
              <w:spacing w:after="0" w:line="149" w:lineRule="exact"/>
              <w:rPr>
                <w:sz w:val="20"/>
                <w:szCs w:val="20"/>
                <w:color w:val="auto"/>
              </w:rPr>
            </w:pPr>
            <w:r>
              <w:rPr>
                <w:rFonts w:ascii="Arial" w:cs="Arial" w:eastAsia="Arial" w:hAnsi="Arial"/>
                <w:sz w:val="14"/>
                <w:szCs w:val="14"/>
                <w:color w:val="auto"/>
              </w:rPr>
              <w:t>Other income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2,102,536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1,667,653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From non-controlled, affiliated investments: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tcPr>
          <w:p>
            <w:pPr>
              <w:ind w:left="280"/>
              <w:spacing w:after="0" w:line="149" w:lineRule="exact"/>
              <w:rPr>
                <w:sz w:val="20"/>
                <w:szCs w:val="20"/>
                <w:color w:val="auto"/>
              </w:rPr>
            </w:pPr>
            <w:r>
              <w:rPr>
                <w:rFonts w:ascii="Arial" w:cs="Arial" w:eastAsia="Arial" w:hAnsi="Arial"/>
                <w:sz w:val="14"/>
                <w:szCs w:val="14"/>
                <w:color w:val="auto"/>
              </w:rPr>
              <w:t>Interest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4,225,681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2,180,576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income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22,500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tcPr>
          <w:p>
            <w:pPr>
              <w:spacing w:after="0" w:line="149" w:lineRule="exact"/>
              <w:rPr>
                <w:sz w:val="20"/>
                <w:szCs w:val="20"/>
                <w:color w:val="auto"/>
              </w:rPr>
            </w:pPr>
            <w:r>
              <w:rPr>
                <w:rFonts w:ascii="Arial" w:cs="Arial" w:eastAsia="Arial" w:hAnsi="Arial"/>
                <w:sz w:val="14"/>
                <w:szCs w:val="14"/>
                <w:color w:val="auto"/>
              </w:rPr>
              <w:t>From controlled, affiliated investments: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3,646,064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3,197,033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94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31,868,911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35,263,292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Expenses: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tcPr>
          <w:p>
            <w:pPr>
              <w:ind w:left="280"/>
              <w:spacing w:after="0" w:line="149" w:lineRule="exact"/>
              <w:rPr>
                <w:sz w:val="20"/>
                <w:szCs w:val="20"/>
                <w:color w:val="auto"/>
              </w:rPr>
            </w:pPr>
            <w:r>
              <w:rPr>
                <w:rFonts w:ascii="Arial" w:cs="Arial" w:eastAsia="Arial" w:hAnsi="Arial"/>
                <w:sz w:val="14"/>
                <w:szCs w:val="14"/>
                <w:color w:val="auto"/>
              </w:rPr>
              <w:t>Base management fee (See Note 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6,274,782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6,505,780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3,374,210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3,795,782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tcPr>
          <w:p>
            <w:pPr>
              <w:ind w:left="280"/>
              <w:spacing w:after="0" w:line="149" w:lineRule="exact"/>
              <w:rPr>
                <w:sz w:val="20"/>
                <w:szCs w:val="20"/>
                <w:color w:val="auto"/>
              </w:rPr>
            </w:pPr>
            <w:r>
              <w:rPr>
                <w:rFonts w:ascii="Arial" w:cs="Arial" w:eastAsia="Arial" w:hAnsi="Arial"/>
                <w:sz w:val="14"/>
                <w:szCs w:val="14"/>
                <w:color w:val="auto"/>
              </w:rPr>
              <w:t>Interest and expenses on debt (See Note 10)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6,735,574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6,726,325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894,000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867,500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940" w:type="dxa"/>
            <w:vAlign w:val="bottom"/>
          </w:tcPr>
          <w:p>
            <w:pPr>
              <w:ind w:left="28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668,507</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884,629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Expenses before Management Fees waiver and provision for taxes</w:t>
            </w:r>
          </w:p>
        </w:tc>
        <w:tc>
          <w:tcPr>
            <w:tcW w:w="2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17,947,073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18,780,016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940" w:type="dxa"/>
            <w:vAlign w:val="bottom"/>
          </w:tcPr>
          <w:p>
            <w:pPr>
              <w:ind w:left="280"/>
              <w:spacing w:after="0" w:line="155" w:lineRule="exact"/>
              <w:rPr>
                <w:sz w:val="20"/>
                <w:szCs w:val="20"/>
                <w:color w:val="auto"/>
              </w:rPr>
            </w:pPr>
            <w:r>
              <w:rPr>
                <w:rFonts w:ascii="Arial" w:cs="Arial" w:eastAsia="Arial" w:hAnsi="Arial"/>
                <w:sz w:val="14"/>
                <w:szCs w:val="14"/>
                <w:color w:val="auto"/>
              </w:rPr>
              <w:t>Management Fees waiver (See Note 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(1,543,839)</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(1,648,254)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Provision for taxes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425,000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94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Net expenses</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16,828,234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18,431,762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Net investment income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15,040,677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16,831,530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Realized and unrealized gain (loss) on investments and debt:</w:t>
            </w: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loss on investments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(22,195,334)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(25,374,963)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tcPr>
          <w:p>
            <w:pPr>
              <w:spacing w:after="0" w:line="149" w:lineRule="exact"/>
              <w:rPr>
                <w:sz w:val="20"/>
                <w:szCs w:val="20"/>
                <w:color w:val="auto"/>
              </w:rPr>
            </w:pPr>
            <w:r>
              <w:rPr>
                <w:rFonts w:ascii="Arial" w:cs="Arial" w:eastAsia="Arial" w:hAnsi="Arial"/>
                <w:sz w:val="14"/>
                <w:szCs w:val="14"/>
                <w:color w:val="auto"/>
              </w:rPr>
              <w:t>Net change in unrealized appreciation (depreciation) 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Non-controlled, non-affiliated investments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19,636,201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(16,742,815)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tcPr>
          <w:p>
            <w:pPr>
              <w:ind w:left="280"/>
              <w:spacing w:after="0" w:line="149" w:lineRule="exact"/>
              <w:rPr>
                <w:sz w:val="20"/>
                <w:szCs w:val="20"/>
                <w:color w:val="auto"/>
              </w:rPr>
            </w:pPr>
            <w:r>
              <w:rPr>
                <w:rFonts w:ascii="Arial" w:cs="Arial" w:eastAsia="Arial" w:hAnsi="Arial"/>
                <w:sz w:val="14"/>
                <w:szCs w:val="14"/>
                <w:color w:val="auto"/>
              </w:rPr>
              <w:t>Non-controlled and controlled, affiliated investments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5,736,899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(23,129,710)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Debt depreciation (See Notes 5 and 10)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5,830,684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7,660,775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94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Net change in unrealized appreciation (depreciation) on investments and debt</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31,203,784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(32,211,750)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realized and unrealized gain (loss) from investments and debt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9,008,450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(57,586,713)</w:t>
            </w:r>
          </w:p>
        </w:tc>
        <w:tc>
          <w:tcPr>
            <w:tcW w:w="0" w:type="dxa"/>
            <w:vAlign w:val="bottom"/>
          </w:tcPr>
          <w:p>
            <w:pPr>
              <w:spacing w:after="0"/>
              <w:rPr>
                <w:sz w:val="1"/>
                <w:szCs w:val="1"/>
                <w:color w:val="auto"/>
              </w:rPr>
            </w:pPr>
          </w:p>
        </w:tc>
      </w:tr>
      <w:tr>
        <w:trPr>
          <w:trHeight w:val="156"/>
        </w:trPr>
        <w:tc>
          <w:tcPr>
            <w:tcW w:w="8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24,049,127</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(40,755,183)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9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increase (decrease) in net assets resulting from operations per common share (See Note 7)</w:t>
            </w:r>
          </w:p>
        </w:tc>
        <w:tc>
          <w:tcPr>
            <w:tcW w:w="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0.34</w:t>
            </w:r>
          </w:p>
        </w:tc>
        <w:tc>
          <w:tcPr>
            <w:tcW w:w="1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20"/>
        </w:trPr>
        <w:tc>
          <w:tcPr>
            <w:tcW w:w="8960" w:type="dxa"/>
            <w:vAlign w:val="bottom"/>
            <w:gridSpan w:val="2"/>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96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0.21</w:t>
            </w: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3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3"/>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(decrease) in net assets from operations:</w:t>
            </w:r>
          </w:p>
        </w:tc>
        <w:tc>
          <w:tcPr>
            <w:tcW w:w="2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ind w:left="280"/>
              <w:spacing w:after="0" w:line="149" w:lineRule="exact"/>
              <w:rPr>
                <w:sz w:val="20"/>
                <w:szCs w:val="20"/>
                <w:color w:val="auto"/>
              </w:rPr>
            </w:pPr>
            <w:r>
              <w:rPr>
                <w:rFonts w:ascii="Arial" w:cs="Arial" w:eastAsia="Arial" w:hAnsi="Arial"/>
                <w:sz w:val="14"/>
                <w:szCs w:val="14"/>
                <w:color w:val="auto"/>
              </w:rPr>
              <w:t>Net investment income</w:t>
            </w:r>
          </w:p>
        </w:tc>
        <w:tc>
          <w:tcPr>
            <w:tcW w:w="2600" w:type="dxa"/>
            <w:vAlign w:val="bottom"/>
            <w:gridSpan w:val="2"/>
          </w:tcPr>
          <w:p>
            <w:pPr>
              <w:jc w:val="right"/>
              <w:ind w:right="38"/>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15,040,677</w:t>
            </w:r>
          </w:p>
        </w:tc>
        <w:tc>
          <w:tcPr>
            <w:tcW w:w="22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16,831,530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realized loss on investments</w:t>
            </w:r>
          </w:p>
        </w:tc>
        <w:tc>
          <w:tcPr>
            <w:tcW w:w="2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(22,195,334)</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(25,374,963)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ind w:left="280"/>
              <w:spacing w:after="0" w:line="149" w:lineRule="exact"/>
              <w:rPr>
                <w:sz w:val="20"/>
                <w:szCs w:val="20"/>
                <w:color w:val="auto"/>
              </w:rPr>
            </w:pPr>
            <w:r>
              <w:rPr>
                <w:rFonts w:ascii="Arial" w:cs="Arial" w:eastAsia="Arial" w:hAnsi="Arial"/>
                <w:sz w:val="14"/>
                <w:szCs w:val="14"/>
                <w:color w:val="auto"/>
              </w:rPr>
              <w:t>Net change in unrealized appreciation (depreciation) on investments</w:t>
            </w:r>
          </w:p>
        </w:tc>
        <w:tc>
          <w:tcPr>
            <w:tcW w:w="2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25,373,100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(39,872,525)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change in debt depreciation</w:t>
            </w:r>
          </w:p>
        </w:tc>
        <w:tc>
          <w:tcPr>
            <w:tcW w:w="24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5,830,684</w:t>
            </w:r>
          </w:p>
        </w:tc>
        <w:tc>
          <w:tcPr>
            <w:tcW w:w="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7,660,775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2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2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24,049,127</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(40,755,183)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2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(19,897,034)</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(20,088,799)</w:t>
            </w:r>
          </w:p>
        </w:tc>
        <w:tc>
          <w:tcPr>
            <w:tcW w:w="0" w:type="dxa"/>
            <w:vAlign w:val="bottom"/>
          </w:tcPr>
          <w:p>
            <w:pPr>
              <w:spacing w:after="0"/>
              <w:rPr>
                <w:sz w:val="1"/>
                <w:szCs w:val="1"/>
                <w:color w:val="auto"/>
              </w:rPr>
            </w:pPr>
          </w:p>
        </w:tc>
      </w:tr>
      <w:tr>
        <w:trPr>
          <w:trHeight w:val="156"/>
        </w:trPr>
        <w:tc>
          <w:tcPr>
            <w:tcW w:w="66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24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Repurchase of common stock</w:t>
            </w:r>
          </w:p>
        </w:tc>
        <w:tc>
          <w:tcPr>
            <w:tcW w:w="2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(8,437,161)</w:t>
            </w:r>
          </w:p>
        </w:tc>
        <w:tc>
          <w:tcPr>
            <w:tcW w:w="0" w:type="dxa"/>
            <w:vAlign w:val="bottom"/>
          </w:tcPr>
          <w:p>
            <w:pPr>
              <w:spacing w:after="0"/>
              <w:rPr>
                <w:sz w:val="1"/>
                <w:szCs w:val="1"/>
                <w:color w:val="auto"/>
              </w:rPr>
            </w:pPr>
          </w:p>
        </w:tc>
      </w:tr>
      <w:tr>
        <w:trPr>
          <w:trHeight w:val="163"/>
        </w:trPr>
        <w:tc>
          <w:tcPr>
            <w:tcW w:w="66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increase (decrease) in net assets</w:t>
            </w:r>
          </w:p>
        </w:tc>
        <w:tc>
          <w:tcPr>
            <w:tcW w:w="24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4,152,093</w:t>
            </w:r>
          </w:p>
        </w:tc>
        <w:tc>
          <w:tcPr>
            <w:tcW w:w="2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(69,281,143)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2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20" w:type="dxa"/>
            <w:vAlign w:val="bottom"/>
          </w:tcPr>
          <w:p>
            <w:pPr>
              <w:ind w:left="280"/>
              <w:spacing w:after="0" w:line="149" w:lineRule="exact"/>
              <w:rPr>
                <w:sz w:val="20"/>
                <w:szCs w:val="20"/>
                <w:color w:val="auto"/>
              </w:rPr>
            </w:pPr>
            <w:r>
              <w:rPr>
                <w:rFonts w:ascii="Arial" w:cs="Arial" w:eastAsia="Arial" w:hAnsi="Arial"/>
                <w:sz w:val="14"/>
                <w:szCs w:val="14"/>
                <w:color w:val="auto"/>
              </w:rPr>
              <w:t>Beginning of period</w:t>
            </w:r>
          </w:p>
        </w:tc>
        <w:tc>
          <w:tcPr>
            <w:tcW w:w="24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643,366,856</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716,590,542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End of period</w:t>
            </w:r>
          </w:p>
        </w:tc>
        <w:tc>
          <w:tcPr>
            <w:tcW w:w="2600" w:type="dxa"/>
            <w:vAlign w:val="bottom"/>
            <w:gridSpan w:val="2"/>
            <w:shd w:val="clear" w:color="auto" w:fill="CCEEFF"/>
          </w:tcPr>
          <w:p>
            <w:pPr>
              <w:jc w:val="right"/>
              <w:ind w:right="38"/>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647,518,949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647,309,399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280"/>
              <w:spacing w:after="0"/>
              <w:rPr>
                <w:sz w:val="20"/>
                <w:szCs w:val="20"/>
                <w:color w:val="auto"/>
              </w:rPr>
            </w:pPr>
            <w:r>
              <w:rPr>
                <w:rFonts w:ascii="Arial" w:cs="Arial" w:eastAsia="Arial" w:hAnsi="Arial"/>
                <w:sz w:val="14"/>
                <w:szCs w:val="14"/>
                <w:color w:val="auto"/>
              </w:rPr>
              <w:t>Distributions in excess of net investment income, at end of period</w:t>
            </w:r>
          </w:p>
        </w:tc>
        <w:tc>
          <w:tcPr>
            <w:tcW w:w="2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620" w:type="dxa"/>
            <w:vAlign w:val="bottom"/>
            <w:vMerge w:val="continue"/>
          </w:tcPr>
          <w:p>
            <w:pPr>
              <w:spacing w:after="0"/>
              <w:rPr>
                <w:sz w:val="12"/>
                <w:szCs w:val="12"/>
                <w:color w:val="auto"/>
              </w:rPr>
            </w:pPr>
          </w:p>
        </w:tc>
        <w:tc>
          <w:tcPr>
            <w:tcW w:w="2440" w:type="dxa"/>
            <w:vAlign w:val="bottom"/>
          </w:tcPr>
          <w:p>
            <w:pPr>
              <w:spacing w:after="0"/>
              <w:rPr>
                <w:sz w:val="12"/>
                <w:szCs w:val="12"/>
                <w:color w:val="auto"/>
              </w:rPr>
            </w:pPr>
          </w:p>
        </w:tc>
        <w:tc>
          <w:tcPr>
            <w:tcW w:w="160" w:type="dxa"/>
            <w:vAlign w:val="bottom"/>
            <w:tcBorders>
              <w:bottom w:val="single" w:sz="8" w:color="auto"/>
            </w:tcBorders>
          </w:tcPr>
          <w:p>
            <w:pPr>
              <w:jc w:val="right"/>
              <w:ind w:right="38"/>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(1,736,977)</w:t>
            </w:r>
          </w:p>
        </w:tc>
        <w:tc>
          <w:tcPr>
            <w:tcW w:w="22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(16,682,155)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6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Capital share activity:</w:t>
            </w:r>
          </w:p>
        </w:tc>
        <w:tc>
          <w:tcPr>
            <w:tcW w:w="2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ind w:left="280"/>
              <w:spacing w:after="0" w:line="149" w:lineRule="exact"/>
              <w:rPr>
                <w:sz w:val="20"/>
                <w:szCs w:val="20"/>
                <w:color w:val="auto"/>
              </w:rPr>
            </w:pPr>
            <w:r>
              <w:rPr>
                <w:rFonts w:ascii="Arial" w:cs="Arial" w:eastAsia="Arial" w:hAnsi="Arial"/>
                <w:sz w:val="14"/>
                <w:szCs w:val="14"/>
                <w:color w:val="auto"/>
              </w:rPr>
              <w:t>Shares of common stock repurchased</w:t>
            </w:r>
          </w:p>
        </w:tc>
        <w:tc>
          <w:tcPr>
            <w:tcW w:w="2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(1,220,333)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919"/>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spacing w:after="0" w:line="1" w:lineRule="exact"/>
        <w:rPr>
          <w:sz w:val="20"/>
          <w:szCs w:val="20"/>
          <w:color w:val="auto"/>
        </w:rPr>
      </w:pPr>
    </w:p>
    <w:p>
      <w:pPr>
        <w:jc w:val="center"/>
        <w:ind w:right="-919"/>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4"/>
              </w:rPr>
              <w:t>Three Months Ended December 31,</w:t>
            </w:r>
          </w:p>
        </w:tc>
        <w:tc>
          <w:tcPr>
            <w:tcW w:w="0" w:type="dxa"/>
            <w:vAlign w:val="bottom"/>
          </w:tcPr>
          <w:p>
            <w:pPr>
              <w:spacing w:after="0"/>
              <w:rPr>
                <w:sz w:val="1"/>
                <w:szCs w:val="1"/>
                <w:color w:val="auto"/>
              </w:rPr>
            </w:pPr>
          </w:p>
        </w:tc>
      </w:tr>
      <w:tr>
        <w:trPr>
          <w:trHeight w:val="142"/>
        </w:trPr>
        <w:tc>
          <w:tcPr>
            <w:tcW w:w="68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800" w:type="dxa"/>
            <w:vAlign w:val="bottom"/>
          </w:tcPr>
          <w:p>
            <w:pPr>
              <w:ind w:left="440"/>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24,049,127</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(40,755,183)</w:t>
            </w:r>
          </w:p>
        </w:tc>
        <w:tc>
          <w:tcPr>
            <w:tcW w:w="0" w:type="dxa"/>
            <w:vAlign w:val="bottom"/>
          </w:tcPr>
          <w:p>
            <w:pPr>
              <w:spacing w:after="0"/>
              <w:rPr>
                <w:sz w:val="1"/>
                <w:szCs w:val="1"/>
                <w:color w:val="auto"/>
              </w:rPr>
            </w:pPr>
          </w:p>
        </w:tc>
      </w:tr>
      <w:tr>
        <w:trPr>
          <w:trHeight w:val="130"/>
        </w:trPr>
        <w:tc>
          <w:tcPr>
            <w:tcW w:w="680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w w:val="95"/>
              </w:rPr>
              <w:t>Adjustments to reconcile net increase (decrease) in net assets resulting from operations to net cash used in</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8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operating activities:</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00" w:type="dxa"/>
            <w:vAlign w:val="bottom"/>
          </w:tcPr>
          <w:p>
            <w:pPr>
              <w:ind w:left="880"/>
              <w:spacing w:after="0" w:line="149" w:lineRule="exact"/>
              <w:rPr>
                <w:sz w:val="20"/>
                <w:szCs w:val="20"/>
                <w:color w:val="auto"/>
              </w:rPr>
            </w:pPr>
            <w:r>
              <w:rPr>
                <w:rFonts w:ascii="Arial" w:cs="Arial" w:eastAsia="Arial" w:hAnsi="Arial"/>
                <w:sz w:val="14"/>
                <w:szCs w:val="14"/>
                <w:color w:val="auto"/>
              </w:rPr>
              <w:t>Net change in net unrealized (appreciation) depreciation on investments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(25,373,100)</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39,872,525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change in unrealized depreciation on debt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(5,830,684)</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(7,660,775)</w:t>
            </w:r>
          </w:p>
        </w:tc>
        <w:tc>
          <w:tcPr>
            <w:tcW w:w="0" w:type="dxa"/>
            <w:vAlign w:val="bottom"/>
          </w:tcPr>
          <w:p>
            <w:pPr>
              <w:spacing w:after="0"/>
              <w:rPr>
                <w:sz w:val="1"/>
                <w:szCs w:val="1"/>
                <w:color w:val="auto"/>
              </w:rPr>
            </w:pPr>
          </w:p>
        </w:tc>
      </w:tr>
      <w:tr>
        <w:trPr>
          <w:trHeight w:val="149"/>
        </w:trPr>
        <w:tc>
          <w:tcPr>
            <w:tcW w:w="6800" w:type="dxa"/>
            <w:vAlign w:val="bottom"/>
          </w:tcPr>
          <w:p>
            <w:pPr>
              <w:ind w:left="880"/>
              <w:spacing w:after="0" w:line="149" w:lineRule="exact"/>
              <w:rPr>
                <w:sz w:val="20"/>
                <w:szCs w:val="20"/>
                <w:color w:val="auto"/>
              </w:rPr>
            </w:pPr>
            <w:r>
              <w:rPr>
                <w:rFonts w:ascii="Arial" w:cs="Arial" w:eastAsia="Arial" w:hAnsi="Arial"/>
                <w:sz w:val="14"/>
                <w:szCs w:val="14"/>
                <w:color w:val="auto"/>
              </w:rPr>
              <w:t>Net realized loss on investments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22,195,334</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25,374,963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(938,502)</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(1,554,643)</w:t>
            </w:r>
          </w:p>
        </w:tc>
        <w:tc>
          <w:tcPr>
            <w:tcW w:w="0" w:type="dxa"/>
            <w:vAlign w:val="bottom"/>
          </w:tcPr>
          <w:p>
            <w:pPr>
              <w:spacing w:after="0"/>
              <w:rPr>
                <w:sz w:val="1"/>
                <w:szCs w:val="1"/>
                <w:color w:val="auto"/>
              </w:rPr>
            </w:pPr>
          </w:p>
        </w:tc>
      </w:tr>
      <w:tr>
        <w:trPr>
          <w:trHeight w:val="149"/>
        </w:trPr>
        <w:tc>
          <w:tcPr>
            <w:tcW w:w="6800" w:type="dxa"/>
            <w:vAlign w:val="bottom"/>
          </w:tcPr>
          <w:p>
            <w:pPr>
              <w:ind w:left="880"/>
              <w:spacing w:after="0" w:line="149" w:lineRule="exact"/>
              <w:rPr>
                <w:sz w:val="20"/>
                <w:szCs w:val="20"/>
                <w:color w:val="auto"/>
              </w:rPr>
            </w:pPr>
            <w:r>
              <w:rPr>
                <w:rFonts w:ascii="Arial" w:cs="Arial" w:eastAsia="Arial" w:hAnsi="Arial"/>
                <w:sz w:val="14"/>
                <w:szCs w:val="14"/>
                <w:color w:val="auto"/>
              </w:rPr>
              <w:t>Purchases of investments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(229,234,313)</w:t>
            </w:r>
          </w:p>
        </w:tc>
        <w:tc>
          <w:tcPr>
            <w:tcW w:w="16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(130,317,861)</w:t>
            </w: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Payment-in-kind income</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(2,914,692)</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(4,512,413)</w:t>
            </w:r>
          </w:p>
        </w:tc>
        <w:tc>
          <w:tcPr>
            <w:tcW w:w="0" w:type="dxa"/>
            <w:vAlign w:val="bottom"/>
          </w:tcPr>
          <w:p>
            <w:pPr>
              <w:spacing w:after="0"/>
              <w:rPr>
                <w:sz w:val="1"/>
                <w:szCs w:val="1"/>
                <w:color w:val="auto"/>
              </w:rPr>
            </w:pPr>
          </w:p>
        </w:tc>
      </w:tr>
      <w:tr>
        <w:trPr>
          <w:trHeight w:val="149"/>
        </w:trPr>
        <w:tc>
          <w:tcPr>
            <w:tcW w:w="6800" w:type="dxa"/>
            <w:vAlign w:val="bottom"/>
          </w:tcPr>
          <w:p>
            <w:pPr>
              <w:ind w:left="88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64,209,266</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108,068,736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Amortization of deferred financing costs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168,635</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142,975</w:t>
            </w:r>
          </w:p>
        </w:tc>
        <w:tc>
          <w:tcPr>
            <w:tcW w:w="0" w:type="dxa"/>
            <w:vAlign w:val="bottom"/>
          </w:tcPr>
          <w:p>
            <w:pPr>
              <w:spacing w:after="0"/>
              <w:rPr>
                <w:sz w:val="1"/>
                <w:szCs w:val="1"/>
                <w:color w:val="auto"/>
              </w:rPr>
            </w:pPr>
          </w:p>
        </w:tc>
      </w:tr>
      <w:tr>
        <w:trPr>
          <w:trHeight w:val="149"/>
        </w:trPr>
        <w:tc>
          <w:tcPr>
            <w:tcW w:w="6800" w:type="dxa"/>
            <w:vAlign w:val="bottom"/>
          </w:tcPr>
          <w:p>
            <w:pPr>
              <w:ind w:left="880"/>
              <w:spacing w:after="0" w:line="149" w:lineRule="exact"/>
              <w:rPr>
                <w:sz w:val="20"/>
                <w:szCs w:val="20"/>
                <w:color w:val="auto"/>
              </w:rPr>
            </w:pPr>
            <w:r>
              <w:rPr>
                <w:rFonts w:ascii="Arial" w:cs="Arial" w:eastAsia="Arial" w:hAnsi="Arial"/>
                <w:sz w:val="14"/>
                <w:szCs w:val="14"/>
                <w:color w:val="auto"/>
              </w:rPr>
              <w:t>(Increase) decrease in interest receivable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(5,716,465)</w:t>
            </w:r>
          </w:p>
        </w:tc>
        <w:tc>
          <w:tcPr>
            <w:tcW w:w="16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586,198</w:t>
            </w: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Decrease in prepaid expenses and other assets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636,507</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4,414,695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0" w:type="dxa"/>
            <w:vAlign w:val="bottom"/>
          </w:tcPr>
          <w:p>
            <w:pPr>
              <w:ind w:left="880"/>
              <w:spacing w:after="0" w:line="149" w:lineRule="exact"/>
              <w:rPr>
                <w:sz w:val="20"/>
                <w:szCs w:val="20"/>
                <w:color w:val="auto"/>
              </w:rPr>
            </w:pPr>
            <w:r>
              <w:rPr>
                <w:rFonts w:ascii="Arial" w:cs="Arial" w:eastAsia="Arial" w:hAnsi="Arial"/>
                <w:sz w:val="14"/>
                <w:szCs w:val="14"/>
                <w:color w:val="auto"/>
              </w:rPr>
              <w:t>Increase in payable for investments purchased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50,399,000</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8,157,322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Decrease in interest payable on debt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(951,901)</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(1,399,934)</w:t>
            </w:r>
          </w:p>
        </w:tc>
        <w:tc>
          <w:tcPr>
            <w:tcW w:w="0" w:type="dxa"/>
            <w:vAlign w:val="bottom"/>
          </w:tcPr>
          <w:p>
            <w:pPr>
              <w:spacing w:after="0"/>
              <w:rPr>
                <w:sz w:val="1"/>
                <w:szCs w:val="1"/>
                <w:color w:val="auto"/>
              </w:rPr>
            </w:pPr>
          </w:p>
        </w:tc>
      </w:tr>
      <w:tr>
        <w:trPr>
          <w:trHeight w:val="149"/>
        </w:trPr>
        <w:tc>
          <w:tcPr>
            <w:tcW w:w="6800" w:type="dxa"/>
            <w:vAlign w:val="bottom"/>
          </w:tcPr>
          <w:p>
            <w:pPr>
              <w:ind w:left="880"/>
              <w:spacing w:after="0" w:line="149" w:lineRule="exact"/>
              <w:rPr>
                <w:sz w:val="20"/>
                <w:szCs w:val="20"/>
                <w:color w:val="auto"/>
              </w:rPr>
            </w:pPr>
            <w:r>
              <w:rPr>
                <w:rFonts w:ascii="Arial" w:cs="Arial" w:eastAsia="Arial" w:hAnsi="Arial"/>
                <w:sz w:val="14"/>
                <w:szCs w:val="14"/>
                <w:color w:val="auto"/>
              </w:rPr>
              <w:t>Increase (decrease) in management fee payable, net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195,987</w:t>
            </w:r>
          </w:p>
        </w:tc>
        <w:tc>
          <w:tcPr>
            <w:tcW w:w="16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(1,137,173)</w:t>
            </w: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Decrease in performance-based incentive fee payable, net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(31,108)</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(1,819,340)</w:t>
            </w:r>
          </w:p>
        </w:tc>
        <w:tc>
          <w:tcPr>
            <w:tcW w:w="0" w:type="dxa"/>
            <w:vAlign w:val="bottom"/>
          </w:tcPr>
          <w:p>
            <w:pPr>
              <w:spacing w:after="0"/>
              <w:rPr>
                <w:sz w:val="1"/>
                <w:szCs w:val="1"/>
                <w:color w:val="auto"/>
              </w:rPr>
            </w:pPr>
          </w:p>
        </w:tc>
      </w:tr>
      <w:tr>
        <w:trPr>
          <w:trHeight w:val="156"/>
        </w:trPr>
        <w:tc>
          <w:tcPr>
            <w:tcW w:w="6800" w:type="dxa"/>
            <w:vAlign w:val="bottom"/>
          </w:tcPr>
          <w:p>
            <w:pPr>
              <w:ind w:left="880"/>
              <w:spacing w:after="0" w:line="149" w:lineRule="exact"/>
              <w:rPr>
                <w:sz w:val="20"/>
                <w:szCs w:val="20"/>
                <w:color w:val="auto"/>
              </w:rPr>
            </w:pPr>
            <w:r>
              <w:rPr>
                <w:rFonts w:ascii="Arial" w:cs="Arial" w:eastAsia="Arial" w:hAnsi="Arial"/>
                <w:sz w:val="14"/>
                <w:szCs w:val="14"/>
                <w:color w:val="auto"/>
              </w:rPr>
              <w:t>Increase in accrued other expenses</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795,503</w:t>
            </w:r>
          </w:p>
        </w:tc>
        <w:tc>
          <w:tcPr>
            <w:tcW w:w="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1,680,036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Net cash used in operating activities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(108,341,406)</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(859,872)</w:t>
            </w:r>
          </w:p>
        </w:tc>
        <w:tc>
          <w:tcPr>
            <w:tcW w:w="0" w:type="dxa"/>
            <w:vAlign w:val="bottom"/>
          </w:tcPr>
          <w:p>
            <w:pPr>
              <w:spacing w:after="0"/>
              <w:rPr>
                <w:sz w:val="1"/>
                <w:szCs w:val="1"/>
                <w:color w:val="auto"/>
              </w:rPr>
            </w:pPr>
          </w:p>
        </w:tc>
      </w:tr>
      <w:tr>
        <w:trPr>
          <w:trHeight w:val="156"/>
        </w:trPr>
        <w:tc>
          <w:tcPr>
            <w:tcW w:w="680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Repurchase of common stock</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(8,437,161)</w:t>
            </w:r>
          </w:p>
        </w:tc>
        <w:tc>
          <w:tcPr>
            <w:tcW w:w="0" w:type="dxa"/>
            <w:vAlign w:val="bottom"/>
          </w:tcPr>
          <w:p>
            <w:pPr>
              <w:spacing w:after="0"/>
              <w:rPr>
                <w:sz w:val="1"/>
                <w:szCs w:val="1"/>
                <w:color w:val="auto"/>
              </w:rPr>
            </w:pPr>
          </w:p>
        </w:tc>
      </w:tr>
      <w:tr>
        <w:trPr>
          <w:trHeight w:val="149"/>
        </w:trPr>
        <w:tc>
          <w:tcPr>
            <w:tcW w:w="6800" w:type="dxa"/>
            <w:vAlign w:val="bottom"/>
          </w:tcPr>
          <w:p>
            <w:pPr>
              <w:ind w:left="880"/>
              <w:spacing w:after="0" w:line="149" w:lineRule="exact"/>
              <w:rPr>
                <w:sz w:val="20"/>
                <w:szCs w:val="20"/>
                <w:color w:val="auto"/>
              </w:rPr>
            </w:pPr>
            <w:r>
              <w:rPr>
                <w:rFonts w:ascii="Arial" w:cs="Arial" w:eastAsia="Arial" w:hAnsi="Arial"/>
                <w:sz w:val="14"/>
                <w:szCs w:val="14"/>
                <w:color w:val="auto"/>
              </w:rPr>
              <w:t>Distributions paid to stockholders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(19,897,034)</w:t>
            </w:r>
          </w:p>
        </w:tc>
        <w:tc>
          <w:tcPr>
            <w:tcW w:w="16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(20,430,492)</w:t>
            </w: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Borrowings under Credit Facility</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160,260,000</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202,316,923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0" w:type="dxa"/>
            <w:vAlign w:val="bottom"/>
          </w:tcPr>
          <w:p>
            <w:pPr>
              <w:ind w:left="880"/>
              <w:spacing w:after="0" w:line="149" w:lineRule="exact"/>
              <w:rPr>
                <w:sz w:val="20"/>
                <w:szCs w:val="20"/>
                <w:color w:val="auto"/>
              </w:rPr>
            </w:pPr>
            <w:r>
              <w:rPr>
                <w:rFonts w:ascii="Arial" w:cs="Arial" w:eastAsia="Arial" w:hAnsi="Arial"/>
                <w:sz w:val="14"/>
                <w:szCs w:val="14"/>
                <w:color w:val="auto"/>
              </w:rPr>
              <w:t>Repayments under Credit Facility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(62,481,000)</w:t>
            </w:r>
          </w:p>
        </w:tc>
        <w:tc>
          <w:tcPr>
            <w:tcW w:w="16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(196,185,900)</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80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77,881,966</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(22,736,630)</w:t>
            </w:r>
          </w:p>
        </w:tc>
        <w:tc>
          <w:tcPr>
            <w:tcW w:w="0" w:type="dxa"/>
            <w:vAlign w:val="bottom"/>
          </w:tcPr>
          <w:p>
            <w:pPr>
              <w:spacing w:after="0"/>
              <w:rPr>
                <w:sz w:val="1"/>
                <w:szCs w:val="1"/>
                <w:color w:val="auto"/>
              </w:rPr>
            </w:pPr>
          </w:p>
        </w:tc>
      </w:tr>
      <w:tr>
        <w:trPr>
          <w:trHeight w:val="156"/>
        </w:trPr>
        <w:tc>
          <w:tcPr>
            <w:tcW w:w="6800" w:type="dxa"/>
            <w:vAlign w:val="bottom"/>
          </w:tcPr>
          <w:p>
            <w:pPr>
              <w:spacing w:after="0" w:line="155" w:lineRule="exact"/>
              <w:rPr>
                <w:sz w:val="20"/>
                <w:szCs w:val="20"/>
                <w:color w:val="auto"/>
              </w:rPr>
            </w:pPr>
            <w:r>
              <w:rPr>
                <w:rFonts w:ascii="Arial" w:cs="Arial" w:eastAsia="Arial" w:hAnsi="Arial"/>
                <w:sz w:val="14"/>
                <w:szCs w:val="14"/>
                <w:b w:val="1"/>
                <w:bCs w:val="1"/>
                <w:color w:val="auto"/>
              </w:rPr>
              <w:t>Net decrease in cash and cash equivalents</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(30,459,440)</w:t>
            </w:r>
          </w:p>
        </w:tc>
        <w:tc>
          <w:tcPr>
            <w:tcW w:w="4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(23,596,502)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191,903</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232,165</w:t>
            </w:r>
          </w:p>
        </w:tc>
        <w:tc>
          <w:tcPr>
            <w:tcW w:w="0" w:type="dxa"/>
            <w:vAlign w:val="bottom"/>
          </w:tcPr>
          <w:p>
            <w:pPr>
              <w:spacing w:after="0"/>
              <w:rPr>
                <w:sz w:val="1"/>
                <w:szCs w:val="1"/>
                <w:color w:val="auto"/>
              </w:rPr>
            </w:pPr>
          </w:p>
        </w:tc>
      </w:tr>
      <w:tr>
        <w:trPr>
          <w:trHeight w:val="156"/>
        </w:trPr>
        <w:tc>
          <w:tcPr>
            <w:tcW w:w="680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 beginning of period</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75,608,113</w:t>
            </w:r>
          </w:p>
        </w:tc>
        <w:tc>
          <w:tcPr>
            <w:tcW w:w="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49,619,256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end of period</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45,340,576</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26,254,919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Interest paid</w:t>
            </w: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7,518,840</w:t>
            </w:r>
          </w:p>
        </w:tc>
        <w:tc>
          <w:tcPr>
            <w:tcW w:w="4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7,983,284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ind w:left="220"/>
              <w:spacing w:after="0"/>
              <w:rPr>
                <w:sz w:val="20"/>
                <w:szCs w:val="20"/>
                <w:color w:val="auto"/>
              </w:rPr>
            </w:pPr>
            <w:r>
              <w:rPr>
                <w:rFonts w:ascii="Arial" w:cs="Arial" w:eastAsia="Arial" w:hAnsi="Arial"/>
                <w:sz w:val="14"/>
                <w:szCs w:val="14"/>
                <w:color w:val="auto"/>
              </w:rPr>
              <w:t>Taxes paid</w:t>
            </w:r>
          </w:p>
        </w:tc>
        <w:tc>
          <w:tcPr>
            <w:tcW w:w="3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86,349</w:t>
            </w:r>
          </w:p>
        </w:tc>
        <w:tc>
          <w:tcPr>
            <w:tcW w:w="4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4,760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80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Non-cash exchanges and conversions</w:t>
            </w:r>
          </w:p>
        </w:tc>
        <w:tc>
          <w:tcPr>
            <w:tcW w:w="3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460"/>
              <w:spacing w:after="0" w:line="143" w:lineRule="exact"/>
              <w:rPr>
                <w:sz w:val="20"/>
                <w:szCs w:val="20"/>
                <w:color w:val="auto"/>
              </w:rPr>
            </w:pPr>
            <w:r>
              <w:rPr>
                <w:rFonts w:ascii="Arial" w:cs="Arial" w:eastAsia="Arial" w:hAnsi="Arial"/>
                <w:sz w:val="14"/>
                <w:szCs w:val="14"/>
                <w:color w:val="auto"/>
              </w:rPr>
              <w:t>18,026,006</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39,438,420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919"/>
        <w:spacing w:after="0"/>
        <w:rPr>
          <w:sz w:val="20"/>
          <w:szCs w:val="20"/>
          <w:color w:val="auto"/>
        </w:rPr>
      </w:pPr>
      <w:r>
        <w:rPr>
          <w:rFonts w:ascii="Arial" w:cs="Arial" w:eastAsia="Arial" w:hAnsi="Arial"/>
          <w:sz w:val="14"/>
          <w:szCs w:val="14"/>
          <w:color w:val="auto"/>
        </w:rPr>
        <w:t>F-6</w:t>
      </w:r>
    </w:p>
    <w:p>
      <w:pPr>
        <w:sectPr>
          <w:pgSz w:w="11900" w:h="16838" w:orient="portrait"/>
          <w:cols w:equalWidth="0" w:num="1">
            <w:col w:w="10500"/>
          </w:cols>
          <w:pgMar w:left="240" w:top="459" w:right="11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2" w:lineRule="auto"/>
        <w:rPr>
          <w:sz w:val="20"/>
          <w:szCs w:val="20"/>
          <w:color w:val="auto"/>
        </w:rPr>
      </w:pPr>
      <w:r>
        <w:rPr>
          <w:rFonts w:ascii="Arial" w:cs="Arial" w:eastAsia="Arial" w:hAnsi="Arial"/>
          <w:sz w:val="14"/>
          <w:szCs w:val="14"/>
          <w:b w:val="1"/>
          <w:bCs w:val="1"/>
          <w:color w:val="auto"/>
        </w:rPr>
        <w:t>DECEMBER 31, 2016</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jc w:val="center"/>
              <w:ind w:right="57"/>
              <w:spacing w:after="0"/>
              <w:rPr>
                <w:sz w:val="20"/>
                <w:szCs w:val="20"/>
                <w:color w:val="auto"/>
              </w:rPr>
            </w:pPr>
            <w:r>
              <w:rPr>
                <w:rFonts w:ascii="Arial" w:cs="Arial" w:eastAsia="Arial" w:hAnsi="Arial"/>
                <w:sz w:val="13"/>
                <w:szCs w:val="13"/>
                <w:b w:val="1"/>
                <w:bCs w:val="1"/>
                <w:color w:val="auto"/>
                <w:w w:val="84"/>
              </w:rPr>
              <w:t>Basis Point</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480" w:type="dxa"/>
            <w:vAlign w:val="bottom"/>
          </w:tcPr>
          <w:p>
            <w:pPr>
              <w:ind w:left="840"/>
              <w:spacing w:after="0" w:line="135" w:lineRule="exact"/>
              <w:rPr>
                <w:sz w:val="20"/>
                <w:szCs w:val="20"/>
                <w:color w:val="auto"/>
              </w:rPr>
            </w:pPr>
            <w:r>
              <w:rPr>
                <w:rFonts w:ascii="Arial" w:cs="Arial" w:eastAsia="Arial" w:hAnsi="Arial"/>
                <w:sz w:val="13"/>
                <w:szCs w:val="13"/>
                <w:b w:val="1"/>
                <w:bCs w:val="1"/>
                <w:color w:val="auto"/>
              </w:rPr>
              <w:t>Maturity /</w:t>
            </w:r>
          </w:p>
        </w:tc>
        <w:tc>
          <w:tcPr>
            <w:tcW w:w="1980" w:type="dxa"/>
            <w:vAlign w:val="bottom"/>
          </w:tcPr>
          <w:p>
            <w:pPr>
              <w:spacing w:after="0"/>
              <w:rPr>
                <w:sz w:val="11"/>
                <w:szCs w:val="11"/>
                <w:color w:val="auto"/>
              </w:rPr>
            </w:pPr>
          </w:p>
        </w:tc>
        <w:tc>
          <w:tcPr>
            <w:tcW w:w="86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Current</w:t>
            </w:r>
          </w:p>
        </w:tc>
        <w:tc>
          <w:tcPr>
            <w:tcW w:w="10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Spread Above</w:t>
            </w:r>
          </w:p>
        </w:tc>
        <w:tc>
          <w:tcPr>
            <w:tcW w:w="160" w:type="dxa"/>
            <w:vAlign w:val="bottom"/>
          </w:tcPr>
          <w:p>
            <w:pPr>
              <w:spacing w:after="0"/>
              <w:rPr>
                <w:sz w:val="11"/>
                <w:szCs w:val="11"/>
                <w:color w:val="auto"/>
              </w:rPr>
            </w:pPr>
          </w:p>
        </w:tc>
        <w:tc>
          <w:tcPr>
            <w:tcW w:w="64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Par /</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80" w:type="dxa"/>
            <w:vAlign w:val="bottom"/>
            <w:gridSpan w:val="2"/>
            <w:vMerge w:val="continue"/>
          </w:tcPr>
          <w:p>
            <w:pPr>
              <w:spacing w:after="0"/>
              <w:rPr>
                <w:sz w:val="13"/>
                <w:szCs w:val="13"/>
                <w:color w:val="auto"/>
              </w:rPr>
            </w:pPr>
          </w:p>
        </w:tc>
        <w:tc>
          <w:tcPr>
            <w:tcW w:w="1480" w:type="dxa"/>
            <w:vAlign w:val="bottom"/>
          </w:tcPr>
          <w:p>
            <w:pPr>
              <w:ind w:left="820"/>
              <w:spacing w:after="0"/>
              <w:rPr>
                <w:sz w:val="20"/>
                <w:szCs w:val="20"/>
                <w:color w:val="auto"/>
              </w:rPr>
            </w:pPr>
            <w:r>
              <w:rPr>
                <w:rFonts w:ascii="Arial" w:cs="Arial" w:eastAsia="Arial" w:hAnsi="Arial"/>
                <w:sz w:val="13"/>
                <w:szCs w:val="13"/>
                <w:b w:val="1"/>
                <w:bCs w:val="1"/>
                <w:color w:val="auto"/>
              </w:rPr>
              <w:t>Expiration</w:t>
            </w:r>
          </w:p>
        </w:tc>
        <w:tc>
          <w:tcPr>
            <w:tcW w:w="1980" w:type="dxa"/>
            <w:vAlign w:val="bottom"/>
          </w:tcPr>
          <w:p>
            <w:pPr>
              <w:jc w:val="center"/>
              <w:spacing w:after="0"/>
              <w:rPr>
                <w:sz w:val="20"/>
                <w:szCs w:val="20"/>
                <w:color w:val="auto"/>
              </w:rPr>
            </w:pPr>
            <w:r>
              <w:rPr>
                <w:rFonts w:ascii="Arial" w:cs="Arial" w:eastAsia="Arial" w:hAnsi="Arial"/>
                <w:sz w:val="13"/>
                <w:szCs w:val="13"/>
                <w:b w:val="1"/>
                <w:bCs w:val="1"/>
                <w:color w:val="auto"/>
                <w:w w:val="93"/>
              </w:rPr>
              <w:t>Industry</w:t>
            </w:r>
          </w:p>
        </w:tc>
        <w:tc>
          <w:tcPr>
            <w:tcW w:w="860" w:type="dxa"/>
            <w:vAlign w:val="bottom"/>
          </w:tcPr>
          <w:p>
            <w:pPr>
              <w:jc w:val="right"/>
              <w:ind w:right="237"/>
              <w:spacing w:after="0"/>
              <w:rPr>
                <w:sz w:val="20"/>
                <w:szCs w:val="20"/>
                <w:color w:val="auto"/>
              </w:rPr>
            </w:pPr>
            <w:r>
              <w:rPr>
                <w:rFonts w:ascii="Arial" w:cs="Arial" w:eastAsia="Arial" w:hAnsi="Arial"/>
                <w:sz w:val="13"/>
                <w:szCs w:val="13"/>
                <w:b w:val="1"/>
                <w:bCs w:val="1"/>
                <w:color w:val="auto"/>
              </w:rPr>
              <w:t>Coupon</w:t>
            </w:r>
          </w:p>
        </w:tc>
        <w:tc>
          <w:tcPr>
            <w:tcW w:w="104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 xml:space="preserve">Index </w:t>
            </w:r>
            <w:r>
              <w:rPr>
                <w:rFonts w:ascii="Arial" w:cs="Arial" w:eastAsia="Arial" w:hAnsi="Arial"/>
                <w:sz w:val="10"/>
                <w:szCs w:val="10"/>
                <w:b w:val="1"/>
                <w:bCs w:val="1"/>
                <w:color w:val="auto"/>
                <w:w w:val="96"/>
              </w:rPr>
              <w:t>(4)</w:t>
            </w:r>
          </w:p>
        </w:tc>
        <w:tc>
          <w:tcPr>
            <w:tcW w:w="160" w:type="dxa"/>
            <w:vAlign w:val="bottom"/>
          </w:tcPr>
          <w:p>
            <w:pPr>
              <w:spacing w:after="0"/>
              <w:rPr>
                <w:sz w:val="13"/>
                <w:szCs w:val="13"/>
                <w:color w:val="auto"/>
              </w:rPr>
            </w:pPr>
          </w:p>
        </w:tc>
        <w:tc>
          <w:tcPr>
            <w:tcW w:w="640" w:type="dxa"/>
            <w:vAlign w:val="bottom"/>
          </w:tcPr>
          <w:p>
            <w:pPr>
              <w:jc w:val="right"/>
              <w:ind w:right="137"/>
              <w:spacing w:after="0"/>
              <w:rPr>
                <w:sz w:val="20"/>
                <w:szCs w:val="20"/>
                <w:color w:val="auto"/>
              </w:rPr>
            </w:pPr>
            <w:r>
              <w:rPr>
                <w:rFonts w:ascii="Arial" w:cs="Arial" w:eastAsia="Arial" w:hAnsi="Arial"/>
                <w:sz w:val="13"/>
                <w:szCs w:val="13"/>
                <w:b w:val="1"/>
                <w:bCs w:val="1"/>
                <w:color w:val="auto"/>
                <w:w w:val="96"/>
              </w:rPr>
              <w:t>Shares</w:t>
            </w:r>
          </w:p>
        </w:tc>
        <w:tc>
          <w:tcPr>
            <w:tcW w:w="140" w:type="dxa"/>
            <w:vAlign w:val="bottom"/>
          </w:tcPr>
          <w:p>
            <w:pPr>
              <w:spacing w:after="0"/>
              <w:rPr>
                <w:sz w:val="13"/>
                <w:szCs w:val="13"/>
                <w:color w:val="auto"/>
              </w:rPr>
            </w:pPr>
          </w:p>
        </w:tc>
        <w:tc>
          <w:tcPr>
            <w:tcW w:w="780" w:type="dxa"/>
            <w:vAlign w:val="bottom"/>
            <w:gridSpan w:val="3"/>
          </w:tcPr>
          <w:p>
            <w:pPr>
              <w:ind w:left="160"/>
              <w:spacing w:after="0"/>
              <w:rPr>
                <w:sz w:val="20"/>
                <w:szCs w:val="20"/>
                <w:color w:val="auto"/>
              </w:rPr>
            </w:pPr>
            <w:r>
              <w:rPr>
                <w:rFonts w:ascii="Arial" w:cs="Arial" w:eastAsia="Arial" w:hAnsi="Arial"/>
                <w:sz w:val="13"/>
                <w:szCs w:val="13"/>
                <w:b w:val="1"/>
                <w:bCs w:val="1"/>
                <w:color w:val="auto"/>
              </w:rPr>
              <w:t>Cost</w:t>
            </w: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4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7"/>
              </w:rPr>
              <w:t xml:space="preserve">Investments in Non-Controlled, Non-Affiliated Portfolio Companies—146.1% </w:t>
            </w:r>
            <w:r>
              <w:rPr>
                <w:rFonts w:ascii="Arial" w:cs="Arial" w:eastAsia="Arial" w:hAnsi="Arial"/>
                <w:sz w:val="10"/>
                <w:szCs w:val="10"/>
                <w:b w:val="1"/>
                <w:bCs w:val="1"/>
                <w:color w:val="auto"/>
                <w:w w:val="97"/>
              </w:rPr>
              <w:t>(1), (2)</w:t>
            </w:r>
          </w:p>
        </w:tc>
        <w:tc>
          <w:tcPr>
            <w:tcW w:w="19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right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Debt—55.4%</w:t>
            </w:r>
          </w:p>
        </w:tc>
        <w:tc>
          <w:tcPr>
            <w:tcW w:w="14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AP Gaming I, LLC</w:t>
            </w:r>
          </w:p>
        </w:tc>
        <w:tc>
          <w:tcPr>
            <w:tcW w:w="1480" w:type="dxa"/>
            <w:vAlign w:val="bottom"/>
            <w:shd w:val="clear" w:color="auto" w:fill="CCEEFF"/>
          </w:tcPr>
          <w:p>
            <w:pPr>
              <w:jc w:val="center"/>
              <w:ind w:left="697"/>
              <w:spacing w:after="0" w:line="135" w:lineRule="exact"/>
              <w:rPr>
                <w:sz w:val="20"/>
                <w:szCs w:val="20"/>
                <w:color w:val="auto"/>
              </w:rPr>
            </w:pPr>
            <w:r>
              <w:rPr>
                <w:rFonts w:ascii="Arial" w:cs="Arial" w:eastAsia="Arial" w:hAnsi="Arial"/>
                <w:sz w:val="13"/>
                <w:szCs w:val="13"/>
                <w:color w:val="auto"/>
                <w:w w:val="86"/>
              </w:rPr>
              <w:t>12/21/2020</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Hotels, Motels, Inns and Gaming</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9.25%</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L+825</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23,273,378</w:t>
            </w:r>
          </w:p>
        </w:tc>
        <w:tc>
          <w:tcPr>
            <w:tcW w:w="14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23,009,381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23,118,144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Broder Bros., Co., Tranche A</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6"/>
              </w:rPr>
              <w:t>06/03/2021</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L+575</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3"/>
              </w:rPr>
              <w:t>9,093,750</w:t>
            </w: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8,942,169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9,093,750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Broder Bros., Co., Tranche B</w:t>
            </w:r>
          </w:p>
        </w:tc>
        <w:tc>
          <w:tcPr>
            <w:tcW w:w="1480" w:type="dxa"/>
            <w:vAlign w:val="bottom"/>
            <w:shd w:val="clear" w:color="auto" w:fill="CCEEFF"/>
          </w:tcPr>
          <w:p>
            <w:pPr>
              <w:jc w:val="center"/>
              <w:ind w:left="697"/>
              <w:spacing w:after="0" w:line="135" w:lineRule="exact"/>
              <w:rPr>
                <w:sz w:val="20"/>
                <w:szCs w:val="20"/>
                <w:color w:val="auto"/>
              </w:rPr>
            </w:pPr>
            <w:r>
              <w:rPr>
                <w:rFonts w:ascii="Arial" w:cs="Arial" w:eastAsia="Arial" w:hAnsi="Arial"/>
                <w:sz w:val="13"/>
                <w:szCs w:val="13"/>
                <w:color w:val="auto"/>
                <w:w w:val="86"/>
              </w:rPr>
              <w:t>06/03/2021</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13.50%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L+1,225</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3"/>
              </w:rPr>
              <w:t>9,187,500</w:t>
            </w: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9,029,482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9,187,500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East Valley Tourist Development Authority</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6"/>
              </w:rPr>
              <w:t>01/17/2022</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Hotels, Motels, Inns and Gaming</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L+800</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15,000,000</w:t>
            </w: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14,625,000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15,000,000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480" w:type="dxa"/>
            <w:vAlign w:val="bottom"/>
            <w:shd w:val="clear" w:color="auto" w:fill="CCEEFF"/>
          </w:tcPr>
          <w:p>
            <w:pPr>
              <w:jc w:val="center"/>
              <w:ind w:left="697"/>
              <w:spacing w:after="0" w:line="135" w:lineRule="exact"/>
              <w:rPr>
                <w:sz w:val="20"/>
                <w:szCs w:val="20"/>
                <w:color w:val="auto"/>
              </w:rPr>
            </w:pPr>
            <w:r>
              <w:rPr>
                <w:rFonts w:ascii="Arial" w:cs="Arial" w:eastAsia="Arial" w:hAnsi="Arial"/>
                <w:sz w:val="13"/>
                <w:szCs w:val="13"/>
                <w:color w:val="auto"/>
                <w:w w:val="86"/>
              </w:rPr>
              <w:t>10/21/2020</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L+800</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3"/>
              </w:rPr>
              <w:t>4,372,074</w:t>
            </w: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4,326,685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4,284,633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Interior Specialists, Inc.</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6"/>
              </w:rPr>
              <w:t>06/30/2020</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93"/>
              </w:rPr>
              <w:t>Building Materials</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L+800</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24,856,494</w:t>
            </w: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24,672,205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24,856,494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Juniper Landscaping of Florida, LLC</w:t>
            </w:r>
          </w:p>
        </w:tc>
        <w:tc>
          <w:tcPr>
            <w:tcW w:w="1480" w:type="dxa"/>
            <w:vAlign w:val="bottom"/>
            <w:shd w:val="clear" w:color="auto" w:fill="CCEEFF"/>
          </w:tcPr>
          <w:p>
            <w:pPr>
              <w:jc w:val="center"/>
              <w:ind w:left="697"/>
              <w:spacing w:after="0" w:line="121" w:lineRule="exact"/>
              <w:rPr>
                <w:sz w:val="20"/>
                <w:szCs w:val="20"/>
                <w:color w:val="auto"/>
              </w:rPr>
            </w:pPr>
            <w:r>
              <w:rPr>
                <w:rFonts w:ascii="Arial" w:cs="Arial" w:eastAsia="Arial" w:hAnsi="Arial"/>
                <w:sz w:val="13"/>
                <w:szCs w:val="13"/>
                <w:color w:val="auto"/>
                <w:w w:val="86"/>
              </w:rPr>
              <w:t>12/22/2021</w:t>
            </w:r>
          </w:p>
        </w:tc>
        <w:tc>
          <w:tcPr>
            <w:tcW w:w="19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Personal, Food and Miscellaneous</w:t>
            </w:r>
          </w:p>
        </w:tc>
        <w:tc>
          <w:tcPr>
            <w:tcW w:w="8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10.50%</w:t>
            </w:r>
          </w:p>
        </w:tc>
        <w:tc>
          <w:tcPr>
            <w:tcW w:w="104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L+950</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w w:val="82"/>
              </w:rPr>
              <w:t>14,445,000</w:t>
            </w: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w w:val="95"/>
              </w:rPr>
              <w:t>14,157,343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w w:val="95"/>
              </w:rPr>
              <w:t>14,156,100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Services</w:t>
            </w:r>
          </w:p>
        </w:tc>
        <w:tc>
          <w:tcPr>
            <w:tcW w:w="8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tcPr>
          <w:p>
            <w:pPr>
              <w:spacing w:after="0" w:line="121" w:lineRule="exact"/>
              <w:rPr>
                <w:sz w:val="20"/>
                <w:szCs w:val="20"/>
                <w:color w:val="auto"/>
              </w:rPr>
            </w:pPr>
            <w:r>
              <w:rPr>
                <w:rFonts w:ascii="Arial" w:cs="Arial" w:eastAsia="Arial" w:hAnsi="Arial"/>
                <w:sz w:val="13"/>
                <w:szCs w:val="13"/>
                <w:color w:val="auto"/>
              </w:rPr>
              <w:t xml:space="preserve">Juniper Landscaping of Florida, LLC (Revolver) </w:t>
            </w:r>
            <w:r>
              <w:rPr>
                <w:rFonts w:ascii="Arial" w:cs="Arial" w:eastAsia="Arial" w:hAnsi="Arial"/>
                <w:sz w:val="10"/>
                <w:szCs w:val="10"/>
                <w:color w:val="auto"/>
              </w:rPr>
              <w:t>(8)</w:t>
            </w:r>
          </w:p>
        </w:tc>
        <w:tc>
          <w:tcPr>
            <w:tcW w:w="1480" w:type="dxa"/>
            <w:vAlign w:val="bottom"/>
          </w:tcPr>
          <w:p>
            <w:pPr>
              <w:jc w:val="center"/>
              <w:ind w:left="697"/>
              <w:spacing w:after="0" w:line="121" w:lineRule="exact"/>
              <w:rPr>
                <w:sz w:val="20"/>
                <w:szCs w:val="20"/>
                <w:color w:val="auto"/>
              </w:rPr>
            </w:pPr>
            <w:r>
              <w:rPr>
                <w:rFonts w:ascii="Arial" w:cs="Arial" w:eastAsia="Arial" w:hAnsi="Arial"/>
                <w:sz w:val="13"/>
                <w:szCs w:val="13"/>
                <w:color w:val="auto"/>
                <w:w w:val="86"/>
              </w:rPr>
              <w:t>12/22/2021</w:t>
            </w:r>
          </w:p>
        </w:tc>
        <w:tc>
          <w:tcPr>
            <w:tcW w:w="1980" w:type="dxa"/>
            <w:vAlign w:val="bottom"/>
          </w:tcPr>
          <w:p>
            <w:pPr>
              <w:jc w:val="center"/>
              <w:spacing w:after="0" w:line="121" w:lineRule="exact"/>
              <w:rPr>
                <w:sz w:val="20"/>
                <w:szCs w:val="20"/>
                <w:color w:val="auto"/>
              </w:rPr>
            </w:pPr>
            <w:r>
              <w:rPr>
                <w:rFonts w:ascii="Arial" w:cs="Arial" w:eastAsia="Arial" w:hAnsi="Arial"/>
                <w:sz w:val="13"/>
                <w:szCs w:val="13"/>
                <w:color w:val="auto"/>
                <w:w w:val="86"/>
              </w:rPr>
              <w:t>Personal, Food and Miscellaneous</w:t>
            </w:r>
          </w:p>
        </w:tc>
        <w:tc>
          <w:tcPr>
            <w:tcW w:w="86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40" w:type="dxa"/>
            <w:vAlign w:val="bottom"/>
          </w:tcPr>
          <w:p>
            <w:pPr>
              <w:jc w:val="right"/>
              <w:ind w:right="17"/>
              <w:spacing w:after="0" w:line="121" w:lineRule="exact"/>
              <w:rPr>
                <w:sz w:val="20"/>
                <w:szCs w:val="20"/>
                <w:color w:val="auto"/>
              </w:rPr>
            </w:pPr>
            <w:r>
              <w:rPr>
                <w:rFonts w:ascii="Arial" w:cs="Arial" w:eastAsia="Arial" w:hAnsi="Arial"/>
                <w:sz w:val="13"/>
                <w:szCs w:val="13"/>
                <w:color w:val="auto"/>
                <w:w w:val="93"/>
              </w:rPr>
              <w:t>3,600,000</w:t>
            </w:r>
          </w:p>
        </w:tc>
        <w:tc>
          <w:tcPr>
            <w:tcW w:w="140" w:type="dxa"/>
            <w:vAlign w:val="bottom"/>
          </w:tcPr>
          <w:p>
            <w:pPr>
              <w:spacing w:after="0"/>
              <w:rPr>
                <w:sz w:val="10"/>
                <w:szCs w:val="10"/>
                <w:color w:val="auto"/>
              </w:rPr>
            </w:pPr>
          </w:p>
        </w:tc>
        <w:tc>
          <w:tcPr>
            <w:tcW w:w="78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7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80" w:type="dxa"/>
            <w:vAlign w:val="bottom"/>
          </w:tcPr>
          <w:p>
            <w:pPr>
              <w:jc w:val="center"/>
              <w:spacing w:after="0"/>
              <w:rPr>
                <w:sz w:val="20"/>
                <w:szCs w:val="20"/>
                <w:color w:val="auto"/>
              </w:rPr>
            </w:pPr>
            <w:r>
              <w:rPr>
                <w:rFonts w:ascii="Arial" w:cs="Arial" w:eastAsia="Arial" w:hAnsi="Arial"/>
                <w:sz w:val="13"/>
                <w:szCs w:val="13"/>
                <w:color w:val="auto"/>
                <w:w w:val="88"/>
              </w:rPr>
              <w:t>Services</w:t>
            </w: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K2 Pure Solutions NoCal, L.P.</w:t>
            </w:r>
          </w:p>
        </w:tc>
        <w:tc>
          <w:tcPr>
            <w:tcW w:w="1480" w:type="dxa"/>
            <w:vAlign w:val="bottom"/>
            <w:shd w:val="clear" w:color="auto" w:fill="CCEEFF"/>
          </w:tcPr>
          <w:p>
            <w:pPr>
              <w:jc w:val="center"/>
              <w:ind w:left="697"/>
              <w:spacing w:after="0" w:line="135" w:lineRule="exact"/>
              <w:rPr>
                <w:sz w:val="20"/>
                <w:szCs w:val="20"/>
                <w:color w:val="auto"/>
              </w:rPr>
            </w:pPr>
            <w:r>
              <w:rPr>
                <w:rFonts w:ascii="Arial" w:cs="Arial" w:eastAsia="Arial" w:hAnsi="Arial"/>
                <w:sz w:val="13"/>
                <w:szCs w:val="13"/>
                <w:color w:val="auto"/>
                <w:w w:val="86"/>
              </w:rPr>
              <w:t>02/19/2021</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10.00%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L+900</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14,522,529</w:t>
            </w: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14,277,953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14,250,687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LSF9 Atlantis Holdings, LLC</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6"/>
              </w:rPr>
              <w:t>01/15/2021</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L+900</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37,898,852</w:t>
            </w: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37,422,706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37,898,852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Montreign Operating Company, LLC</w:t>
            </w:r>
          </w:p>
        </w:tc>
        <w:tc>
          <w:tcPr>
            <w:tcW w:w="1480" w:type="dxa"/>
            <w:vAlign w:val="bottom"/>
            <w:shd w:val="clear" w:color="auto" w:fill="CCEEFF"/>
          </w:tcPr>
          <w:p>
            <w:pPr>
              <w:jc w:val="center"/>
              <w:ind w:left="697"/>
              <w:spacing w:after="0" w:line="135" w:lineRule="exact"/>
              <w:rPr>
                <w:sz w:val="20"/>
                <w:szCs w:val="20"/>
                <w:color w:val="auto"/>
              </w:rPr>
            </w:pPr>
            <w:r>
              <w:rPr>
                <w:rFonts w:ascii="Arial" w:cs="Arial" w:eastAsia="Arial" w:hAnsi="Arial"/>
                <w:sz w:val="13"/>
                <w:szCs w:val="13"/>
                <w:color w:val="auto"/>
                <w:w w:val="86"/>
              </w:rPr>
              <w:t>01/24/2023</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Hotels, Motels, Inns and Gaming</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9.25%</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L+825</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23,800,000</w:t>
            </w: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23,324,000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23,978,500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tcPr>
          <w:p>
            <w:pPr>
              <w:spacing w:after="0" w:line="121" w:lineRule="exact"/>
              <w:rPr>
                <w:sz w:val="20"/>
                <w:szCs w:val="20"/>
                <w:color w:val="auto"/>
              </w:rPr>
            </w:pPr>
            <w:r>
              <w:rPr>
                <w:rFonts w:ascii="Arial" w:cs="Arial" w:eastAsia="Arial" w:hAnsi="Arial"/>
                <w:sz w:val="13"/>
                <w:szCs w:val="13"/>
                <w:color w:val="auto"/>
              </w:rPr>
              <w:t xml:space="preserve">Prince Mineral Holding Corp. </w:t>
            </w:r>
            <w:r>
              <w:rPr>
                <w:rFonts w:ascii="Arial" w:cs="Arial" w:eastAsia="Arial" w:hAnsi="Arial"/>
                <w:sz w:val="10"/>
                <w:szCs w:val="10"/>
                <w:color w:val="auto"/>
              </w:rPr>
              <w:t>(5)</w:t>
            </w:r>
          </w:p>
        </w:tc>
        <w:tc>
          <w:tcPr>
            <w:tcW w:w="1480" w:type="dxa"/>
            <w:vAlign w:val="bottom"/>
          </w:tcPr>
          <w:p>
            <w:pPr>
              <w:jc w:val="center"/>
              <w:ind w:left="697"/>
              <w:spacing w:after="0" w:line="121" w:lineRule="exact"/>
              <w:rPr>
                <w:sz w:val="20"/>
                <w:szCs w:val="20"/>
                <w:color w:val="auto"/>
              </w:rPr>
            </w:pPr>
            <w:r>
              <w:rPr>
                <w:rFonts w:ascii="Arial" w:cs="Arial" w:eastAsia="Arial" w:hAnsi="Arial"/>
                <w:sz w:val="13"/>
                <w:szCs w:val="13"/>
                <w:color w:val="auto"/>
                <w:w w:val="86"/>
              </w:rPr>
              <w:t>12/16/2019</w:t>
            </w:r>
          </w:p>
        </w:tc>
        <w:tc>
          <w:tcPr>
            <w:tcW w:w="1980" w:type="dxa"/>
            <w:vAlign w:val="bottom"/>
          </w:tcPr>
          <w:p>
            <w:pPr>
              <w:jc w:val="center"/>
              <w:spacing w:after="0" w:line="121" w:lineRule="exact"/>
              <w:rPr>
                <w:sz w:val="20"/>
                <w:szCs w:val="20"/>
                <w:color w:val="auto"/>
              </w:rPr>
            </w:pPr>
            <w:r>
              <w:rPr>
                <w:rFonts w:ascii="Arial" w:cs="Arial" w:eastAsia="Arial" w:hAnsi="Arial"/>
                <w:sz w:val="13"/>
                <w:szCs w:val="13"/>
                <w:color w:val="auto"/>
                <w:w w:val="89"/>
              </w:rPr>
              <w:t>Mining, Steel, Iron and</w:t>
            </w:r>
          </w:p>
        </w:tc>
        <w:tc>
          <w:tcPr>
            <w:tcW w:w="8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11.50%</w:t>
            </w:r>
          </w:p>
        </w:tc>
        <w:tc>
          <w:tcPr>
            <w:tcW w:w="104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40" w:type="dxa"/>
            <w:vAlign w:val="bottom"/>
          </w:tcPr>
          <w:p>
            <w:pPr>
              <w:jc w:val="right"/>
              <w:ind w:right="17"/>
              <w:spacing w:after="0" w:line="121" w:lineRule="exact"/>
              <w:rPr>
                <w:sz w:val="20"/>
                <w:szCs w:val="20"/>
                <w:color w:val="auto"/>
              </w:rPr>
            </w:pPr>
            <w:r>
              <w:rPr>
                <w:rFonts w:ascii="Arial" w:cs="Arial" w:eastAsia="Arial" w:hAnsi="Arial"/>
                <w:sz w:val="13"/>
                <w:szCs w:val="13"/>
                <w:color w:val="auto"/>
                <w:w w:val="82"/>
              </w:rPr>
              <w:t>14,250,000</w:t>
            </w:r>
          </w:p>
        </w:tc>
        <w:tc>
          <w:tcPr>
            <w:tcW w:w="140" w:type="dxa"/>
            <w:vAlign w:val="bottom"/>
          </w:tcPr>
          <w:p>
            <w:pPr>
              <w:spacing w:after="0"/>
              <w:rPr>
                <w:sz w:val="10"/>
                <w:szCs w:val="10"/>
                <w:color w:val="auto"/>
              </w:rPr>
            </w:pPr>
          </w:p>
        </w:tc>
        <w:tc>
          <w:tcPr>
            <w:tcW w:w="6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w w:val="95"/>
              </w:rPr>
              <w:t>14,162,605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w w:val="95"/>
              </w:rPr>
              <w:t>13,929,375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80" w:type="dxa"/>
            <w:vAlign w:val="bottom"/>
          </w:tcPr>
          <w:p>
            <w:pPr>
              <w:jc w:val="center"/>
              <w:spacing w:after="0"/>
              <w:rPr>
                <w:sz w:val="20"/>
                <w:szCs w:val="20"/>
                <w:color w:val="auto"/>
              </w:rPr>
            </w:pPr>
            <w:r>
              <w:rPr>
                <w:rFonts w:ascii="Arial" w:cs="Arial" w:eastAsia="Arial" w:hAnsi="Arial"/>
                <w:sz w:val="13"/>
                <w:szCs w:val="13"/>
                <w:color w:val="auto"/>
                <w:w w:val="89"/>
              </w:rPr>
              <w:t>Non-Precious Metals</w:t>
            </w: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Robertshaw US Holding Corp.</w:t>
            </w:r>
          </w:p>
        </w:tc>
        <w:tc>
          <w:tcPr>
            <w:tcW w:w="1480" w:type="dxa"/>
            <w:vAlign w:val="bottom"/>
            <w:shd w:val="clear" w:color="auto" w:fill="CCEEFF"/>
          </w:tcPr>
          <w:p>
            <w:pPr>
              <w:jc w:val="center"/>
              <w:ind w:left="697"/>
              <w:spacing w:after="0" w:line="135" w:lineRule="exact"/>
              <w:rPr>
                <w:sz w:val="20"/>
                <w:szCs w:val="20"/>
                <w:color w:val="auto"/>
              </w:rPr>
            </w:pPr>
            <w:r>
              <w:rPr>
                <w:rFonts w:ascii="Arial" w:cs="Arial" w:eastAsia="Arial" w:hAnsi="Arial"/>
                <w:sz w:val="13"/>
                <w:szCs w:val="13"/>
                <w:color w:val="auto"/>
                <w:w w:val="86"/>
              </w:rPr>
              <w:t>06/18/2019</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8.50%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L+700</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15,921,316</w:t>
            </w: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15,855,578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15,711,057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6"/>
              </w:rPr>
              <w:t>04/21/2017</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L+750</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37,929,343</w:t>
            </w: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37,718,698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36,981,109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Sunborn Oy, Sunborn Saga Oy </w:t>
            </w:r>
            <w:r>
              <w:rPr>
                <w:rFonts w:ascii="Arial" w:cs="Arial" w:eastAsia="Arial" w:hAnsi="Arial"/>
                <w:sz w:val="10"/>
                <w:szCs w:val="10"/>
                <w:color w:val="auto"/>
              </w:rPr>
              <w:t>(9), (11), (12)</w:t>
            </w:r>
          </w:p>
        </w:tc>
        <w:tc>
          <w:tcPr>
            <w:tcW w:w="1480" w:type="dxa"/>
            <w:vAlign w:val="bottom"/>
            <w:shd w:val="clear" w:color="auto" w:fill="CCEEFF"/>
          </w:tcPr>
          <w:p>
            <w:pPr>
              <w:jc w:val="center"/>
              <w:ind w:left="697"/>
              <w:spacing w:after="0" w:line="121" w:lineRule="exact"/>
              <w:rPr>
                <w:sz w:val="20"/>
                <w:szCs w:val="20"/>
                <w:color w:val="auto"/>
              </w:rPr>
            </w:pPr>
            <w:r>
              <w:rPr>
                <w:rFonts w:ascii="Arial" w:cs="Arial" w:eastAsia="Arial" w:hAnsi="Arial"/>
                <w:sz w:val="13"/>
                <w:szCs w:val="13"/>
                <w:color w:val="auto"/>
                <w:w w:val="86"/>
              </w:rPr>
              <w:t>07/01/2019</w:t>
            </w:r>
          </w:p>
        </w:tc>
        <w:tc>
          <w:tcPr>
            <w:tcW w:w="19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Hotels, Motels, Inns and Gaming</w:t>
            </w:r>
          </w:p>
        </w:tc>
        <w:tc>
          <w:tcPr>
            <w:tcW w:w="8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11.50%</w:t>
            </w:r>
          </w:p>
        </w:tc>
        <w:tc>
          <w:tcPr>
            <w:tcW w:w="104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L+1,050</w:t>
            </w:r>
          </w:p>
        </w:tc>
        <w:tc>
          <w:tcPr>
            <w:tcW w:w="160" w:type="dxa"/>
            <w:vAlign w:val="bottom"/>
            <w:shd w:val="clear" w:color="auto" w:fill="CCEEFF"/>
          </w:tcPr>
          <w:p>
            <w:pPr>
              <w:ind w:left="100"/>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w w:val="82"/>
              </w:rPr>
              <w:t>38,300,000</w:t>
            </w: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w w:val="95"/>
              </w:rPr>
              <w:t>39,444,336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w w:val="95"/>
              </w:rPr>
              <w:t>39,993,032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(PIK 3.50%)</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Triad Manufacturing, Inc.</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6"/>
              </w:rPr>
              <w:t>12/28/2020</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12.02%</w:t>
            </w:r>
          </w:p>
        </w:tc>
        <w:tc>
          <w:tcPr>
            <w:tcW w:w="10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L+1,125</w:t>
            </w:r>
            <w:r>
              <w:rPr>
                <w:rFonts w:ascii="Arial" w:cs="Arial" w:eastAsia="Arial" w:hAnsi="Arial"/>
                <w:sz w:val="10"/>
                <w:szCs w:val="10"/>
                <w:color w:val="auto"/>
              </w:rPr>
              <w:t>(7)</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27,036,269</w:t>
            </w: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26,581,806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27,036,269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Trust Inns Limited </w:t>
            </w:r>
            <w:r>
              <w:rPr>
                <w:rFonts w:ascii="Arial" w:cs="Arial" w:eastAsia="Arial" w:hAnsi="Arial"/>
                <w:sz w:val="10"/>
                <w:szCs w:val="10"/>
                <w:color w:val="auto"/>
              </w:rPr>
              <w:t>(9), (11), (12)</w:t>
            </w:r>
          </w:p>
        </w:tc>
        <w:tc>
          <w:tcPr>
            <w:tcW w:w="1480" w:type="dxa"/>
            <w:vAlign w:val="bottom"/>
            <w:shd w:val="clear" w:color="auto" w:fill="CCEEFF"/>
          </w:tcPr>
          <w:p>
            <w:pPr>
              <w:jc w:val="center"/>
              <w:ind w:left="697"/>
              <w:spacing w:after="0" w:line="135" w:lineRule="exact"/>
              <w:rPr>
                <w:sz w:val="20"/>
                <w:szCs w:val="20"/>
                <w:color w:val="auto"/>
              </w:rPr>
            </w:pPr>
            <w:r>
              <w:rPr>
                <w:rFonts w:ascii="Arial" w:cs="Arial" w:eastAsia="Arial" w:hAnsi="Arial"/>
                <w:sz w:val="13"/>
                <w:szCs w:val="13"/>
                <w:color w:val="auto"/>
                <w:w w:val="86"/>
              </w:rPr>
              <w:t>02/12/2020</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Buildings and Real Estate</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10.87%</w:t>
            </w:r>
          </w:p>
        </w:tc>
        <w:tc>
          <w:tcPr>
            <w:tcW w:w="10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(7)</w:t>
            </w:r>
          </w:p>
        </w:tc>
        <w:tc>
          <w:tcPr>
            <w:tcW w:w="160" w:type="dxa"/>
            <w:vAlign w:val="bottom"/>
            <w:shd w:val="clear" w:color="auto" w:fill="CCEEFF"/>
          </w:tcPr>
          <w:p>
            <w:pPr>
              <w:ind w:left="100"/>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22,083,433</w:t>
            </w: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35,343,737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27,219,664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US Med Acquisition, Inc.</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6"/>
              </w:rPr>
              <w:t>08/13/2021</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L+900</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3"/>
              </w:rPr>
              <w:t>8,629,688</w:t>
            </w: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8,629,688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8,629,688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U.S. Well Services, LLC</w:t>
            </w:r>
          </w:p>
        </w:tc>
        <w:tc>
          <w:tcPr>
            <w:tcW w:w="1480" w:type="dxa"/>
            <w:vAlign w:val="bottom"/>
            <w:shd w:val="clear" w:color="auto" w:fill="CCEEFF"/>
          </w:tcPr>
          <w:p>
            <w:pPr>
              <w:jc w:val="center"/>
              <w:ind w:left="697"/>
              <w:spacing w:after="0" w:line="121" w:lineRule="exact"/>
              <w:rPr>
                <w:sz w:val="20"/>
                <w:szCs w:val="20"/>
                <w:color w:val="auto"/>
              </w:rPr>
            </w:pPr>
            <w:r>
              <w:rPr>
                <w:rFonts w:ascii="Arial" w:cs="Arial" w:eastAsia="Arial" w:hAnsi="Arial"/>
                <w:sz w:val="13"/>
                <w:szCs w:val="13"/>
                <w:color w:val="auto"/>
                <w:w w:val="86"/>
              </w:rPr>
              <w:t>05/02/2019</w:t>
            </w:r>
          </w:p>
        </w:tc>
        <w:tc>
          <w:tcPr>
            <w:tcW w:w="19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Oil and Gas</w:t>
            </w:r>
          </w:p>
        </w:tc>
        <w:tc>
          <w:tcPr>
            <w:tcW w:w="8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14.11%</w:t>
            </w:r>
          </w:p>
        </w:tc>
        <w:tc>
          <w:tcPr>
            <w:tcW w:w="10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L+1,350</w:t>
            </w:r>
            <w:r>
              <w:rPr>
                <w:rFonts w:ascii="Arial" w:cs="Arial" w:eastAsia="Arial" w:hAnsi="Arial"/>
                <w:sz w:val="10"/>
                <w:szCs w:val="10"/>
                <w:color w:val="auto"/>
              </w:rPr>
              <w:t>(7)</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w w:val="82"/>
              </w:rPr>
              <w:t>15,340,831</w:t>
            </w: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w w:val="95"/>
              </w:rPr>
              <w:t>15,166,283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w w:val="95"/>
              </w:rPr>
              <w:t>13,193,114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(PIK 14.11%)</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First Lien Secured Debt</w:t>
            </w:r>
          </w:p>
        </w:tc>
        <w:tc>
          <w:tcPr>
            <w:tcW w:w="14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366,689,655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358,517,968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Debt—63.3%</w:t>
            </w:r>
          </w:p>
        </w:tc>
        <w:tc>
          <w:tcPr>
            <w:tcW w:w="148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Acre Operating Company, LLC</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6"/>
              </w:rPr>
              <w:t>12/12/2023</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10.50%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L+950</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38,800,000</w:t>
            </w: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38,125,000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38,121,000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Balboa Capital Corporation </w:t>
            </w:r>
            <w:r>
              <w:rPr>
                <w:rFonts w:ascii="Arial" w:cs="Arial" w:eastAsia="Arial" w:hAnsi="Arial"/>
                <w:sz w:val="10"/>
                <w:szCs w:val="10"/>
                <w:color w:val="auto"/>
              </w:rPr>
              <w:t>(12)</w:t>
            </w:r>
          </w:p>
        </w:tc>
        <w:tc>
          <w:tcPr>
            <w:tcW w:w="1480" w:type="dxa"/>
            <w:vAlign w:val="bottom"/>
            <w:shd w:val="clear" w:color="auto" w:fill="CCEEFF"/>
          </w:tcPr>
          <w:p>
            <w:pPr>
              <w:jc w:val="center"/>
              <w:ind w:left="697"/>
              <w:spacing w:after="0" w:line="135" w:lineRule="exact"/>
              <w:rPr>
                <w:sz w:val="20"/>
                <w:szCs w:val="20"/>
                <w:color w:val="auto"/>
              </w:rPr>
            </w:pPr>
            <w:r>
              <w:rPr>
                <w:rFonts w:ascii="Arial" w:cs="Arial" w:eastAsia="Arial" w:hAnsi="Arial"/>
                <w:sz w:val="13"/>
                <w:szCs w:val="13"/>
                <w:color w:val="auto"/>
                <w:w w:val="86"/>
              </w:rPr>
              <w:t>03/04/2022</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13.75%</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28,500,000</w:t>
            </w: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28,263,183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28,500,000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Harbortouch Payments, LLC</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6"/>
              </w:rPr>
              <w:t>10/11/2024</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10.50%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L+950</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22,500,000</w:t>
            </w: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22,104,967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22,162,500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Howard Berger Co. LLC</w:t>
            </w:r>
          </w:p>
        </w:tc>
        <w:tc>
          <w:tcPr>
            <w:tcW w:w="1480" w:type="dxa"/>
            <w:vAlign w:val="bottom"/>
            <w:shd w:val="clear" w:color="auto" w:fill="CCEEFF"/>
          </w:tcPr>
          <w:p>
            <w:pPr>
              <w:jc w:val="center"/>
              <w:ind w:left="697"/>
              <w:spacing w:after="0" w:line="135" w:lineRule="exact"/>
              <w:rPr>
                <w:sz w:val="20"/>
                <w:szCs w:val="20"/>
                <w:color w:val="auto"/>
              </w:rPr>
            </w:pPr>
            <w:r>
              <w:rPr>
                <w:rFonts w:ascii="Arial" w:cs="Arial" w:eastAsia="Arial" w:hAnsi="Arial"/>
                <w:sz w:val="13"/>
                <w:szCs w:val="13"/>
                <w:color w:val="auto"/>
                <w:w w:val="86"/>
              </w:rPr>
              <w:t>09/30/2020</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11.00%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L+1,000</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41,250,000</w:t>
            </w: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39,513,616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36,712,500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 xml:space="preserve">Intermediate Transportation 100, LLC </w:t>
            </w:r>
            <w:r>
              <w:rPr>
                <w:rFonts w:ascii="Arial" w:cs="Arial" w:eastAsia="Arial" w:hAnsi="Arial"/>
                <w:sz w:val="10"/>
                <w:szCs w:val="10"/>
                <w:color w:val="auto"/>
              </w:rPr>
              <w:t>(5)</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6"/>
              </w:rPr>
              <w:t>03/01/2017</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6"/>
              </w:rPr>
              <w:t>Cargo Transport</w:t>
            </w:r>
          </w:p>
        </w:tc>
        <w:tc>
          <w:tcPr>
            <w:tcW w:w="8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3"/>
              </w:rPr>
              <w:t>4,887,760</w:t>
            </w: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3,739,797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2,932,656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Jacobs Entertainment, Inc.</w:t>
            </w:r>
          </w:p>
        </w:tc>
        <w:tc>
          <w:tcPr>
            <w:tcW w:w="1480" w:type="dxa"/>
            <w:vAlign w:val="bottom"/>
            <w:shd w:val="clear" w:color="auto" w:fill="CCEEFF"/>
          </w:tcPr>
          <w:p>
            <w:pPr>
              <w:jc w:val="center"/>
              <w:ind w:left="697"/>
              <w:spacing w:after="0" w:line="135" w:lineRule="exact"/>
              <w:rPr>
                <w:sz w:val="20"/>
                <w:szCs w:val="20"/>
                <w:color w:val="auto"/>
              </w:rPr>
            </w:pPr>
            <w:r>
              <w:rPr>
                <w:rFonts w:ascii="Arial" w:cs="Arial" w:eastAsia="Arial" w:hAnsi="Arial"/>
                <w:sz w:val="13"/>
                <w:szCs w:val="13"/>
                <w:color w:val="auto"/>
                <w:w w:val="86"/>
              </w:rPr>
              <w:t>10/29/2019</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Hotels, Motels, Inns and Gaming</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13.00%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L+1,175</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51,775,000</w:t>
            </w: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51,341,138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50,739,500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MailSouth, Inc.</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6"/>
              </w:rPr>
              <w:t>10/22/2021</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90"/>
              </w:rPr>
              <w:t>Printing and Publishing</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11.50%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L+1,050</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26,425,000</w:t>
            </w: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25,946,574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26,425,000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Novitex Acquisition, LLC</w:t>
            </w:r>
          </w:p>
        </w:tc>
        <w:tc>
          <w:tcPr>
            <w:tcW w:w="1480" w:type="dxa"/>
            <w:vAlign w:val="bottom"/>
            <w:shd w:val="clear" w:color="auto" w:fill="CCEEFF"/>
          </w:tcPr>
          <w:p>
            <w:pPr>
              <w:jc w:val="center"/>
              <w:ind w:left="697"/>
              <w:spacing w:after="0" w:line="135" w:lineRule="exact"/>
              <w:rPr>
                <w:sz w:val="20"/>
                <w:szCs w:val="20"/>
                <w:color w:val="auto"/>
              </w:rPr>
            </w:pPr>
            <w:r>
              <w:rPr>
                <w:rFonts w:ascii="Arial" w:cs="Arial" w:eastAsia="Arial" w:hAnsi="Arial"/>
                <w:sz w:val="13"/>
                <w:szCs w:val="13"/>
                <w:color w:val="auto"/>
                <w:w w:val="86"/>
              </w:rPr>
              <w:t>07/07/2021</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12.25%</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L+1,100</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44,625,000</w:t>
            </w: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44,114,836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44,625,000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 xml:space="preserve">Parq Holdings Limited Partnership </w:t>
            </w:r>
            <w:r>
              <w:rPr>
                <w:rFonts w:ascii="Arial" w:cs="Arial" w:eastAsia="Arial" w:hAnsi="Arial"/>
                <w:sz w:val="10"/>
                <w:szCs w:val="10"/>
                <w:color w:val="auto"/>
              </w:rPr>
              <w:t>(9), (12)</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6"/>
              </w:rPr>
              <w:t>12/17/2021</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Hotels, Motels, Inns and Gaming</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13.00%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L+1,200</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75,000,000</w:t>
            </w: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75,000,000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77,624,421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Pre-Paid Legal Services, Inc.</w:t>
            </w:r>
          </w:p>
        </w:tc>
        <w:tc>
          <w:tcPr>
            <w:tcW w:w="1480" w:type="dxa"/>
            <w:vAlign w:val="bottom"/>
            <w:shd w:val="clear" w:color="auto" w:fill="CCEEFF"/>
          </w:tcPr>
          <w:p>
            <w:pPr>
              <w:jc w:val="center"/>
              <w:ind w:left="697"/>
              <w:spacing w:after="0" w:line="121" w:lineRule="exact"/>
              <w:rPr>
                <w:sz w:val="20"/>
                <w:szCs w:val="20"/>
                <w:color w:val="auto"/>
              </w:rPr>
            </w:pPr>
            <w:r>
              <w:rPr>
                <w:rFonts w:ascii="Arial" w:cs="Arial" w:eastAsia="Arial" w:hAnsi="Arial"/>
                <w:sz w:val="13"/>
                <w:szCs w:val="13"/>
                <w:color w:val="auto"/>
                <w:w w:val="86"/>
              </w:rPr>
              <w:t>07/01/2020</w:t>
            </w:r>
          </w:p>
        </w:tc>
        <w:tc>
          <w:tcPr>
            <w:tcW w:w="19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Personal, Food and Miscellaneous</w:t>
            </w:r>
          </w:p>
        </w:tc>
        <w:tc>
          <w:tcPr>
            <w:tcW w:w="8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10.25%</w:t>
            </w:r>
          </w:p>
        </w:tc>
        <w:tc>
          <w:tcPr>
            <w:tcW w:w="104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L+900</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w w:val="82"/>
              </w:rPr>
              <w:t>62,750,000</w:t>
            </w: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w w:val="95"/>
              </w:rPr>
              <w:t>62,216,097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w w:val="95"/>
              </w:rPr>
              <w:t>62,906,875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Services</w:t>
            </w:r>
          </w:p>
        </w:tc>
        <w:tc>
          <w:tcPr>
            <w:tcW w:w="8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VT Buyer Acquisition Corp.</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6"/>
              </w:rPr>
              <w:t>01/30/2023</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10.75%</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L+975</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12,862,500</w:t>
            </w: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12,453,113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12,862,500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WD Wolverine Holdings, LLC</w:t>
            </w:r>
          </w:p>
        </w:tc>
        <w:tc>
          <w:tcPr>
            <w:tcW w:w="1480" w:type="dxa"/>
            <w:vAlign w:val="bottom"/>
            <w:shd w:val="clear" w:color="auto" w:fill="CCEEFF"/>
          </w:tcPr>
          <w:p>
            <w:pPr>
              <w:jc w:val="center"/>
              <w:ind w:left="697"/>
              <w:spacing w:after="0" w:line="121" w:lineRule="exact"/>
              <w:rPr>
                <w:sz w:val="20"/>
                <w:szCs w:val="20"/>
                <w:color w:val="auto"/>
              </w:rPr>
            </w:pPr>
            <w:r>
              <w:rPr>
                <w:rFonts w:ascii="Arial" w:cs="Arial" w:eastAsia="Arial" w:hAnsi="Arial"/>
                <w:sz w:val="13"/>
                <w:szCs w:val="13"/>
                <w:color w:val="auto"/>
                <w:w w:val="86"/>
              </w:rPr>
              <w:t>10/17/2024</w:t>
            </w:r>
          </w:p>
        </w:tc>
        <w:tc>
          <w:tcPr>
            <w:tcW w:w="19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8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10.50%</w:t>
            </w:r>
          </w:p>
        </w:tc>
        <w:tc>
          <w:tcPr>
            <w:tcW w:w="104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L+950</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w w:val="93"/>
              </w:rPr>
              <w:t>6,750,000</w:t>
            </w: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6,480,000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6,488,438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Childcare</w:t>
            </w:r>
          </w:p>
        </w:tc>
        <w:tc>
          <w:tcPr>
            <w:tcW w:w="8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Second Lien Secured Debt</w:t>
            </w:r>
          </w:p>
        </w:tc>
        <w:tc>
          <w:tcPr>
            <w:tcW w:w="14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409,298,321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410,100,390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Subordinated Debt/Corporate Notes—17.8%</w:t>
            </w:r>
          </w:p>
        </w:tc>
        <w:tc>
          <w:tcPr>
            <w:tcW w:w="148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Alegeus Technologies, LLC</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6"/>
              </w:rPr>
              <w:t>02/15/2019</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13.00%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L+1,200</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3"/>
              </w:rPr>
              <w:t>8,930,000</w:t>
            </w: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8,854,997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8,871,490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Cascade Environmental LLC</w:t>
            </w:r>
          </w:p>
        </w:tc>
        <w:tc>
          <w:tcPr>
            <w:tcW w:w="1480" w:type="dxa"/>
            <w:vAlign w:val="bottom"/>
            <w:shd w:val="clear" w:color="auto" w:fill="CCEEFF"/>
          </w:tcPr>
          <w:p>
            <w:pPr>
              <w:jc w:val="center"/>
              <w:ind w:left="697"/>
              <w:spacing w:after="0" w:line="135" w:lineRule="exact"/>
              <w:rPr>
                <w:sz w:val="20"/>
                <w:szCs w:val="20"/>
                <w:color w:val="auto"/>
              </w:rPr>
            </w:pPr>
            <w:r>
              <w:rPr>
                <w:rFonts w:ascii="Arial" w:cs="Arial" w:eastAsia="Arial" w:hAnsi="Arial"/>
                <w:sz w:val="13"/>
                <w:szCs w:val="13"/>
                <w:color w:val="auto"/>
                <w:w w:val="86"/>
              </w:rPr>
              <w:t>08/20/2021</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12.00%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32,675,553</w:t>
            </w: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32,081,286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32,675,553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tcPr>
          <w:p>
            <w:pPr>
              <w:spacing w:after="0" w:line="121" w:lineRule="exact"/>
              <w:rPr>
                <w:sz w:val="20"/>
                <w:szCs w:val="20"/>
                <w:color w:val="auto"/>
              </w:rPr>
            </w:pPr>
            <w:r>
              <w:rPr>
                <w:rFonts w:ascii="Arial" w:cs="Arial" w:eastAsia="Arial" w:hAnsi="Arial"/>
                <w:sz w:val="13"/>
                <w:szCs w:val="13"/>
                <w:color w:val="auto"/>
              </w:rPr>
              <w:t>Credit Infonet, Inc.</w:t>
            </w:r>
          </w:p>
        </w:tc>
        <w:tc>
          <w:tcPr>
            <w:tcW w:w="1480" w:type="dxa"/>
            <w:vAlign w:val="bottom"/>
          </w:tcPr>
          <w:p>
            <w:pPr>
              <w:jc w:val="center"/>
              <w:ind w:left="697"/>
              <w:spacing w:after="0" w:line="121" w:lineRule="exact"/>
              <w:rPr>
                <w:sz w:val="20"/>
                <w:szCs w:val="20"/>
                <w:color w:val="auto"/>
              </w:rPr>
            </w:pPr>
            <w:r>
              <w:rPr>
                <w:rFonts w:ascii="Arial" w:cs="Arial" w:eastAsia="Arial" w:hAnsi="Arial"/>
                <w:sz w:val="13"/>
                <w:szCs w:val="13"/>
                <w:color w:val="auto"/>
                <w:w w:val="86"/>
              </w:rPr>
              <w:t>10/26/2018</w:t>
            </w:r>
          </w:p>
        </w:tc>
        <w:tc>
          <w:tcPr>
            <w:tcW w:w="1980" w:type="dxa"/>
            <w:vAlign w:val="bottom"/>
          </w:tcPr>
          <w:p>
            <w:pPr>
              <w:jc w:val="center"/>
              <w:spacing w:after="0" w:line="121" w:lineRule="exact"/>
              <w:rPr>
                <w:sz w:val="20"/>
                <w:szCs w:val="20"/>
                <w:color w:val="auto"/>
              </w:rPr>
            </w:pPr>
            <w:r>
              <w:rPr>
                <w:rFonts w:ascii="Arial" w:cs="Arial" w:eastAsia="Arial" w:hAnsi="Arial"/>
                <w:sz w:val="13"/>
                <w:szCs w:val="13"/>
                <w:color w:val="auto"/>
                <w:w w:val="86"/>
              </w:rPr>
              <w:t>Personal, Food and Miscellaneous</w:t>
            </w:r>
          </w:p>
        </w:tc>
        <w:tc>
          <w:tcPr>
            <w:tcW w:w="8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13.25%</w:t>
            </w:r>
          </w:p>
        </w:tc>
        <w:tc>
          <w:tcPr>
            <w:tcW w:w="104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40" w:type="dxa"/>
            <w:vAlign w:val="bottom"/>
          </w:tcPr>
          <w:p>
            <w:pPr>
              <w:jc w:val="right"/>
              <w:ind w:right="17"/>
              <w:spacing w:after="0" w:line="121" w:lineRule="exact"/>
              <w:rPr>
                <w:sz w:val="20"/>
                <w:szCs w:val="20"/>
                <w:color w:val="auto"/>
              </w:rPr>
            </w:pPr>
            <w:r>
              <w:rPr>
                <w:rFonts w:ascii="Arial" w:cs="Arial" w:eastAsia="Arial" w:hAnsi="Arial"/>
                <w:sz w:val="13"/>
                <w:szCs w:val="13"/>
                <w:color w:val="auto"/>
                <w:w w:val="82"/>
              </w:rPr>
              <w:t>11,089,580</w:t>
            </w:r>
          </w:p>
        </w:tc>
        <w:tc>
          <w:tcPr>
            <w:tcW w:w="140" w:type="dxa"/>
            <w:vAlign w:val="bottom"/>
          </w:tcPr>
          <w:p>
            <w:pPr>
              <w:spacing w:after="0"/>
              <w:rPr>
                <w:sz w:val="10"/>
                <w:szCs w:val="10"/>
                <w:color w:val="auto"/>
              </w:rPr>
            </w:pPr>
          </w:p>
        </w:tc>
        <w:tc>
          <w:tcPr>
            <w:tcW w:w="6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w w:val="95"/>
              </w:rPr>
              <w:t>10,877,580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w w:val="95"/>
              </w:rPr>
              <w:t>10,789,404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Arial" w:cs="Arial" w:eastAsia="Arial" w:hAnsi="Arial"/>
                <w:sz w:val="13"/>
                <w:szCs w:val="13"/>
                <w:color w:val="auto"/>
                <w:w w:val="88"/>
              </w:rPr>
              <w:t>Services</w:t>
            </w:r>
          </w:p>
        </w:tc>
        <w:tc>
          <w:tcPr>
            <w:tcW w:w="860" w:type="dxa"/>
            <w:vAlign w:val="bottom"/>
          </w:tcPr>
          <w:p>
            <w:pPr>
              <w:jc w:val="right"/>
              <w:spacing w:after="0"/>
              <w:rPr>
                <w:sz w:val="20"/>
                <w:szCs w:val="20"/>
                <w:color w:val="auto"/>
              </w:rPr>
            </w:pPr>
            <w:r>
              <w:rPr>
                <w:rFonts w:ascii="Arial" w:cs="Arial" w:eastAsia="Arial" w:hAnsi="Arial"/>
                <w:sz w:val="13"/>
                <w:szCs w:val="13"/>
                <w:color w:val="auto"/>
              </w:rPr>
              <w:t>(PIK 2.00%)</w:t>
            </w: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460" w:type="dxa"/>
            <w:vAlign w:val="bottom"/>
            <w:shd w:val="clear" w:color="auto" w:fill="CCEEFF"/>
          </w:tcPr>
          <w:p>
            <w:pPr>
              <w:spacing w:after="0" w:line="124" w:lineRule="exact"/>
              <w:rPr>
                <w:sz w:val="20"/>
                <w:szCs w:val="20"/>
                <w:color w:val="auto"/>
              </w:rPr>
            </w:pPr>
            <w:r>
              <w:rPr>
                <w:rFonts w:ascii="Arial" w:cs="Arial" w:eastAsia="Arial" w:hAnsi="Arial"/>
                <w:sz w:val="13"/>
                <w:szCs w:val="13"/>
                <w:color w:val="auto"/>
              </w:rPr>
              <w:t xml:space="preserve">Goldsun Trading Limited </w:t>
            </w:r>
            <w:r>
              <w:rPr>
                <w:rFonts w:ascii="Arial" w:cs="Arial" w:eastAsia="Arial" w:hAnsi="Arial"/>
                <w:sz w:val="10"/>
                <w:szCs w:val="10"/>
                <w:color w:val="auto"/>
              </w:rPr>
              <w:t>(9), (11), (12)</w:t>
            </w:r>
          </w:p>
        </w:tc>
        <w:tc>
          <w:tcPr>
            <w:tcW w:w="1480" w:type="dxa"/>
            <w:vAlign w:val="bottom"/>
            <w:shd w:val="clear" w:color="auto" w:fill="CCEEFF"/>
          </w:tcPr>
          <w:p>
            <w:pPr>
              <w:jc w:val="center"/>
              <w:ind w:left="697"/>
              <w:spacing w:after="0" w:line="124" w:lineRule="exact"/>
              <w:rPr>
                <w:sz w:val="20"/>
                <w:szCs w:val="20"/>
                <w:color w:val="auto"/>
              </w:rPr>
            </w:pPr>
            <w:r>
              <w:rPr>
                <w:rFonts w:ascii="Arial" w:cs="Arial" w:eastAsia="Arial" w:hAnsi="Arial"/>
                <w:sz w:val="13"/>
                <w:szCs w:val="13"/>
                <w:color w:val="auto"/>
                <w:w w:val="86"/>
              </w:rPr>
              <w:t>02/19/2018</w:t>
            </w:r>
          </w:p>
        </w:tc>
        <w:tc>
          <w:tcPr>
            <w:tcW w:w="1980" w:type="dxa"/>
            <w:vAlign w:val="bottom"/>
            <w:shd w:val="clear" w:color="auto" w:fill="CCEEFF"/>
          </w:tcPr>
          <w:p>
            <w:pPr>
              <w:jc w:val="center"/>
              <w:spacing w:after="0" w:line="124" w:lineRule="exact"/>
              <w:rPr>
                <w:sz w:val="20"/>
                <w:szCs w:val="20"/>
                <w:color w:val="auto"/>
              </w:rPr>
            </w:pPr>
            <w:r>
              <w:rPr>
                <w:rFonts w:ascii="Arial" w:cs="Arial" w:eastAsia="Arial" w:hAnsi="Arial"/>
                <w:sz w:val="13"/>
                <w:szCs w:val="13"/>
                <w:color w:val="auto"/>
                <w:w w:val="86"/>
              </w:rPr>
              <w:t>Healthcare, Education and</w:t>
            </w:r>
          </w:p>
        </w:tc>
        <w:tc>
          <w:tcPr>
            <w:tcW w:w="860" w:type="dxa"/>
            <w:vAlign w:val="bottom"/>
            <w:shd w:val="clear" w:color="auto" w:fill="CCEEFF"/>
          </w:tcPr>
          <w:p>
            <w:pPr>
              <w:jc w:val="right"/>
              <w:ind w:right="57"/>
              <w:spacing w:after="0" w:line="124" w:lineRule="exact"/>
              <w:rPr>
                <w:sz w:val="20"/>
                <w:szCs w:val="20"/>
                <w:color w:val="auto"/>
              </w:rPr>
            </w:pPr>
            <w:r>
              <w:rPr>
                <w:rFonts w:ascii="Arial" w:cs="Arial" w:eastAsia="Arial" w:hAnsi="Arial"/>
                <w:sz w:val="13"/>
                <w:szCs w:val="13"/>
                <w:color w:val="auto"/>
              </w:rPr>
              <w:t>14.50%</w:t>
            </w:r>
          </w:p>
        </w:tc>
        <w:tc>
          <w:tcPr>
            <w:tcW w:w="1040" w:type="dxa"/>
            <w:vAlign w:val="bottom"/>
            <w:shd w:val="clear" w:color="auto" w:fill="CCEEFF"/>
          </w:tcPr>
          <w:p>
            <w:pPr>
              <w:jc w:val="right"/>
              <w:ind w:right="137"/>
              <w:spacing w:after="0" w:line="124" w:lineRule="exact"/>
              <w:rPr>
                <w:sz w:val="20"/>
                <w:szCs w:val="20"/>
                <w:color w:val="auto"/>
              </w:rPr>
            </w:pPr>
            <w:r>
              <w:rPr>
                <w:rFonts w:ascii="Arial" w:cs="Arial" w:eastAsia="Arial" w:hAnsi="Arial"/>
                <w:sz w:val="13"/>
                <w:szCs w:val="13"/>
                <w:color w:val="auto"/>
              </w:rPr>
              <w:t>L+1,000</w:t>
            </w:r>
          </w:p>
        </w:tc>
        <w:tc>
          <w:tcPr>
            <w:tcW w:w="160" w:type="dxa"/>
            <w:vAlign w:val="bottom"/>
            <w:shd w:val="clear" w:color="auto" w:fill="CCEEFF"/>
          </w:tcPr>
          <w:p>
            <w:pPr>
              <w:ind w:left="100"/>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ind w:right="17"/>
              <w:spacing w:after="0" w:line="124" w:lineRule="exact"/>
              <w:rPr>
                <w:sz w:val="20"/>
                <w:szCs w:val="20"/>
                <w:color w:val="auto"/>
              </w:rPr>
            </w:pPr>
            <w:r>
              <w:rPr>
                <w:rFonts w:ascii="Arial" w:cs="Arial" w:eastAsia="Arial" w:hAnsi="Arial"/>
                <w:sz w:val="13"/>
                <w:szCs w:val="13"/>
                <w:color w:val="auto"/>
                <w:w w:val="93"/>
              </w:rPr>
              <w:t>8,502,267</w:t>
            </w: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3"/>
                <w:szCs w:val="13"/>
                <w:color w:val="auto"/>
                <w:w w:val="95"/>
              </w:rPr>
              <w:t>12,467,484</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3"/>
                <w:szCs w:val="13"/>
                <w:color w:val="auto"/>
                <w:w w:val="95"/>
              </w:rPr>
              <w:t>10,505,835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Childcare</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(PIK 6.00%)</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Randall-Reilly, LLC</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6"/>
              </w:rPr>
              <w:t>04/15/2020</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12.50%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26,500,000</w:t>
            </w: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26,612,526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26,325,700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Roto Holdings, Inc.</w:t>
            </w:r>
          </w:p>
        </w:tc>
        <w:tc>
          <w:tcPr>
            <w:tcW w:w="1480" w:type="dxa"/>
            <w:vAlign w:val="bottom"/>
            <w:shd w:val="clear" w:color="auto" w:fill="CCEEFF"/>
          </w:tcPr>
          <w:p>
            <w:pPr>
              <w:jc w:val="center"/>
              <w:ind w:left="697"/>
              <w:spacing w:after="0" w:line="135" w:lineRule="exact"/>
              <w:rPr>
                <w:sz w:val="20"/>
                <w:szCs w:val="20"/>
                <w:color w:val="auto"/>
              </w:rPr>
            </w:pPr>
            <w:r>
              <w:rPr>
                <w:rFonts w:ascii="Arial" w:cs="Arial" w:eastAsia="Arial" w:hAnsi="Arial"/>
                <w:sz w:val="13"/>
                <w:szCs w:val="13"/>
                <w:color w:val="auto"/>
                <w:w w:val="86"/>
              </w:rPr>
              <w:t>05/13/2021</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11.00%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13,300,000</w:t>
            </w: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13,100,184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13,300,000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Sonny’s Enterprises, LLC</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6"/>
              </w:rPr>
              <w:t>06/01/2023</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13,300,000</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w w:val="95"/>
              </w:rPr>
              <w:t>13,037,195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13,034,000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148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7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5"/>
              </w:rPr>
              <w:t>117,031,252</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5"/>
              </w:rPr>
              <w:t>115,501,982</w:t>
            </w:r>
          </w:p>
        </w:tc>
        <w:tc>
          <w:tcPr>
            <w:tcW w:w="0" w:type="dxa"/>
            <w:vAlign w:val="bottom"/>
          </w:tcPr>
          <w:p>
            <w:pPr>
              <w:spacing w:after="0"/>
              <w:rPr>
                <w:sz w:val="1"/>
                <w:szCs w:val="1"/>
                <w:color w:val="auto"/>
              </w:rPr>
            </w:pPr>
          </w:p>
        </w:tc>
      </w:tr>
      <w:tr>
        <w:trPr>
          <w:trHeight w:val="142"/>
        </w:trPr>
        <w:tc>
          <w:tcPr>
            <w:tcW w:w="34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 xml:space="preserve">Preferred Equity/Partnership Interests—0.8% </w:t>
            </w:r>
            <w:r>
              <w:rPr>
                <w:rFonts w:ascii="Arial" w:cs="Arial" w:eastAsia="Arial" w:hAnsi="Arial"/>
                <w:sz w:val="10"/>
                <w:szCs w:val="10"/>
                <w:b w:val="1"/>
                <w:bCs w:val="1"/>
                <w:color w:val="auto"/>
              </w:rPr>
              <w:t>(6)</w:t>
            </w:r>
          </w:p>
        </w:tc>
        <w:tc>
          <w:tcPr>
            <w:tcW w:w="14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AH Holdings, Inc.</w:t>
            </w:r>
          </w:p>
        </w:tc>
        <w:tc>
          <w:tcPr>
            <w:tcW w:w="1480" w:type="dxa"/>
            <w:vAlign w:val="bottom"/>
            <w:shd w:val="clear" w:color="auto" w:fill="CCEEFF"/>
          </w:tcPr>
          <w:p>
            <w:pPr>
              <w:jc w:val="center"/>
              <w:ind w:left="697"/>
              <w:spacing w:after="0" w:line="121" w:lineRule="exact"/>
              <w:rPr>
                <w:sz w:val="20"/>
                <w:szCs w:val="20"/>
                <w:color w:val="auto"/>
              </w:rPr>
            </w:pPr>
            <w:r>
              <w:rPr>
                <w:rFonts w:ascii="Arial" w:cs="Arial" w:eastAsia="Arial" w:hAnsi="Arial"/>
                <w:sz w:val="13"/>
                <w:szCs w:val="13"/>
                <w:color w:val="auto"/>
                <w:w w:val="91"/>
              </w:rPr>
              <w:t>—</w:t>
            </w:r>
          </w:p>
        </w:tc>
        <w:tc>
          <w:tcPr>
            <w:tcW w:w="19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8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6.00%</w:t>
            </w:r>
          </w:p>
        </w:tc>
        <w:tc>
          <w:tcPr>
            <w:tcW w:w="104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211</w:t>
            </w: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500,000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219,785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Childcare</w:t>
            </w:r>
          </w:p>
        </w:tc>
        <w:tc>
          <w:tcPr>
            <w:tcW w:w="8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91"/>
              </w:rPr>
              <w:t>—</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8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949</w:t>
            </w: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949,050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1,143,745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1480" w:type="dxa"/>
            <w:vAlign w:val="bottom"/>
            <w:shd w:val="clear" w:color="auto" w:fill="CCEEFF"/>
          </w:tcPr>
          <w:p>
            <w:pPr>
              <w:jc w:val="center"/>
              <w:ind w:left="697"/>
              <w:spacing w:after="0" w:line="135" w:lineRule="exact"/>
              <w:rPr>
                <w:sz w:val="20"/>
                <w:szCs w:val="20"/>
                <w:color w:val="auto"/>
              </w:rPr>
            </w:pPr>
            <w:r>
              <w:rPr>
                <w:rFonts w:ascii="Arial" w:cs="Arial" w:eastAsia="Arial" w:hAnsi="Arial"/>
                <w:sz w:val="13"/>
                <w:szCs w:val="13"/>
                <w:color w:val="auto"/>
                <w:w w:val="91"/>
              </w:rPr>
              <w:t>—</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8.00%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2,375</w:t>
            </w: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2,088,121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2,442,879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HW Holdco, LLC</w:t>
            </w:r>
          </w:p>
        </w:tc>
        <w:tc>
          <w:tcPr>
            <w:tcW w:w="148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91"/>
              </w:rPr>
              <w:t>—</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3,591</w:t>
            </w:r>
          </w:p>
        </w:tc>
        <w:tc>
          <w:tcPr>
            <w:tcW w:w="140" w:type="dxa"/>
            <w:vAlign w:val="bottom"/>
          </w:tcPr>
          <w:p>
            <w:pPr>
              <w:spacing w:after="0"/>
              <w:rPr>
                <w:sz w:val="11"/>
                <w:szCs w:val="11"/>
                <w:color w:val="auto"/>
              </w:rPr>
            </w:pPr>
          </w:p>
        </w:tc>
        <w:tc>
          <w:tcPr>
            <w:tcW w:w="7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35,890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Roto Holdings, Inc.</w:t>
            </w:r>
          </w:p>
        </w:tc>
        <w:tc>
          <w:tcPr>
            <w:tcW w:w="1480" w:type="dxa"/>
            <w:vAlign w:val="bottom"/>
            <w:shd w:val="clear" w:color="auto" w:fill="CCEEFF"/>
          </w:tcPr>
          <w:p>
            <w:pPr>
              <w:jc w:val="center"/>
              <w:ind w:left="697"/>
              <w:spacing w:after="0" w:line="135" w:lineRule="exact"/>
              <w:rPr>
                <w:sz w:val="20"/>
                <w:szCs w:val="20"/>
                <w:color w:val="auto"/>
              </w:rPr>
            </w:pPr>
            <w:r>
              <w:rPr>
                <w:rFonts w:ascii="Arial" w:cs="Arial" w:eastAsia="Arial" w:hAnsi="Arial"/>
                <w:sz w:val="13"/>
                <w:szCs w:val="13"/>
                <w:color w:val="auto"/>
                <w:w w:val="91"/>
              </w:rPr>
              <w:t>—</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1,197</w:t>
            </w: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1,197,000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1,437,268</w:t>
            </w:r>
          </w:p>
        </w:tc>
        <w:tc>
          <w:tcPr>
            <w:tcW w:w="0" w:type="dxa"/>
            <w:vAlign w:val="bottom"/>
          </w:tcPr>
          <w:p>
            <w:pPr>
              <w:spacing w:after="0"/>
              <w:rPr>
                <w:sz w:val="1"/>
                <w:szCs w:val="1"/>
                <w:color w:val="auto"/>
              </w:rPr>
            </w:pPr>
          </w:p>
        </w:tc>
      </w:tr>
      <w:tr>
        <w:trPr>
          <w:trHeight w:val="142"/>
        </w:trPr>
        <w:tc>
          <w:tcPr>
            <w:tcW w:w="34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Preferred Equity/Partnership Interests</w:t>
            </w:r>
          </w:p>
        </w:tc>
        <w:tc>
          <w:tcPr>
            <w:tcW w:w="14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4,734,171</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5,279,567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line="222" w:lineRule="auto"/>
        <w:rPr>
          <w:sz w:val="20"/>
          <w:szCs w:val="20"/>
          <w:color w:val="auto"/>
        </w:rPr>
      </w:pPr>
      <w:r>
        <w:rPr>
          <w:rFonts w:ascii="Arial" w:cs="Arial" w:eastAsia="Arial" w:hAnsi="Arial"/>
          <w:sz w:val="14"/>
          <w:szCs w:val="14"/>
          <w:b w:val="1"/>
          <w:bCs w:val="1"/>
          <w:color w:val="auto"/>
        </w:rPr>
        <w:t>DECEMBER 31, 2016</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Basis Point</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68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Maturity /</w:t>
            </w:r>
          </w:p>
        </w:tc>
        <w:tc>
          <w:tcPr>
            <w:tcW w:w="1860" w:type="dxa"/>
            <w:vAlign w:val="bottom"/>
          </w:tcPr>
          <w:p>
            <w:pPr>
              <w:spacing w:after="0"/>
              <w:rPr>
                <w:sz w:val="11"/>
                <w:szCs w:val="11"/>
                <w:color w:val="auto"/>
              </w:rPr>
            </w:pPr>
          </w:p>
        </w:tc>
        <w:tc>
          <w:tcPr>
            <w:tcW w:w="940" w:type="dxa"/>
            <w:vAlign w:val="bottom"/>
          </w:tcPr>
          <w:p>
            <w:pPr>
              <w:jc w:val="right"/>
              <w:ind w:right="277"/>
              <w:spacing w:after="0" w:line="135" w:lineRule="exact"/>
              <w:rPr>
                <w:sz w:val="20"/>
                <w:szCs w:val="20"/>
                <w:color w:val="auto"/>
              </w:rPr>
            </w:pPr>
            <w:r>
              <w:rPr>
                <w:rFonts w:ascii="Arial" w:cs="Arial" w:eastAsia="Arial" w:hAnsi="Arial"/>
                <w:sz w:val="13"/>
                <w:szCs w:val="13"/>
                <w:b w:val="1"/>
                <w:bCs w:val="1"/>
                <w:color w:val="auto"/>
              </w:rPr>
              <w:t>Current</w:t>
            </w: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Spread Above</w:t>
            </w:r>
          </w:p>
        </w:tc>
        <w:tc>
          <w:tcPr>
            <w:tcW w:w="72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rPr>
              <w:t>Par /</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20" w:type="dxa"/>
            <w:vAlign w:val="bottom"/>
            <w:gridSpan w:val="2"/>
            <w:vMerge w:val="continue"/>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3"/>
                <w:szCs w:val="13"/>
                <w:b w:val="1"/>
                <w:bCs w:val="1"/>
                <w:color w:val="auto"/>
              </w:rPr>
              <w:t>Expiration</w:t>
            </w:r>
          </w:p>
        </w:tc>
        <w:tc>
          <w:tcPr>
            <w:tcW w:w="1860" w:type="dxa"/>
            <w:vAlign w:val="bottom"/>
          </w:tcPr>
          <w:p>
            <w:pPr>
              <w:jc w:val="center"/>
              <w:spacing w:after="0"/>
              <w:rPr>
                <w:sz w:val="20"/>
                <w:szCs w:val="20"/>
                <w:color w:val="auto"/>
              </w:rPr>
            </w:pPr>
            <w:r>
              <w:rPr>
                <w:rFonts w:ascii="Arial" w:cs="Arial" w:eastAsia="Arial" w:hAnsi="Arial"/>
                <w:sz w:val="13"/>
                <w:szCs w:val="13"/>
                <w:b w:val="1"/>
                <w:bCs w:val="1"/>
                <w:color w:val="auto"/>
                <w:w w:val="93"/>
              </w:rPr>
              <w:t>Industry</w:t>
            </w:r>
          </w:p>
        </w:tc>
        <w:tc>
          <w:tcPr>
            <w:tcW w:w="940" w:type="dxa"/>
            <w:vAlign w:val="bottom"/>
          </w:tcPr>
          <w:p>
            <w:pPr>
              <w:jc w:val="right"/>
              <w:ind w:right="297"/>
              <w:spacing w:after="0"/>
              <w:rPr>
                <w:sz w:val="20"/>
                <w:szCs w:val="20"/>
                <w:color w:val="auto"/>
              </w:rPr>
            </w:pPr>
            <w:r>
              <w:rPr>
                <w:rFonts w:ascii="Arial" w:cs="Arial" w:eastAsia="Arial" w:hAnsi="Arial"/>
                <w:sz w:val="13"/>
                <w:szCs w:val="13"/>
                <w:b w:val="1"/>
                <w:bCs w:val="1"/>
                <w:color w:val="auto"/>
              </w:rPr>
              <w:t>Coupon</w:t>
            </w: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ind w:left="160"/>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w w:val="94"/>
              </w:rPr>
              <w:t xml:space="preserve">Fair Value </w:t>
            </w:r>
            <w:r>
              <w:rPr>
                <w:rFonts w:ascii="Arial" w:cs="Arial" w:eastAsia="Arial" w:hAnsi="Arial"/>
                <w:sz w:val="10"/>
                <w:szCs w:val="10"/>
                <w:b w:val="1"/>
                <w:bCs w:val="1"/>
                <w:color w:val="auto"/>
                <w:w w:val="94"/>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Common Equity/Partnership Interests/Warrants—8.8% </w:t>
            </w:r>
            <w:r>
              <w:rPr>
                <w:rFonts w:ascii="Arial" w:cs="Arial" w:eastAsia="Arial" w:hAnsi="Arial"/>
                <w:sz w:val="10"/>
                <w:szCs w:val="10"/>
                <w:b w:val="1"/>
                <w:bCs w:val="1"/>
                <w:color w:val="auto"/>
              </w:rPr>
              <w:t>(6)</w:t>
            </w:r>
          </w:p>
        </w:tc>
        <w:tc>
          <w:tcPr>
            <w:tcW w:w="680" w:type="dxa"/>
            <w:vAlign w:val="bottom"/>
            <w:tcBorders>
              <w:top w:val="single" w:sz="8" w:color="auto"/>
            </w:tcBorders>
            <w:shd w:val="clear" w:color="auto" w:fill="CCEEFF"/>
          </w:tcPr>
          <w:p>
            <w:pPr>
              <w:spacing w:after="0"/>
              <w:rPr>
                <w:sz w:val="11"/>
                <w:szCs w:val="11"/>
                <w:color w:val="auto"/>
              </w:rPr>
            </w:pPr>
          </w:p>
        </w:tc>
        <w:tc>
          <w:tcPr>
            <w:tcW w:w="18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AH Holdings, Inc. (Warrants)</w:t>
            </w:r>
          </w:p>
        </w:tc>
        <w:tc>
          <w:tcPr>
            <w:tcW w:w="68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86"/>
              </w:rPr>
              <w:t>03/23/2021</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94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753</w:t>
            </w:r>
          </w:p>
        </w:tc>
        <w:tc>
          <w:tcPr>
            <w:tcW w:w="1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w:t>
            </w:r>
          </w:p>
        </w:tc>
        <w:tc>
          <w:tcPr>
            <w:tcW w:w="200" w:type="dxa"/>
            <w:vAlign w:val="bottom"/>
            <w:gridSpan w:val="2"/>
          </w:tcPr>
          <w:p>
            <w:pPr>
              <w:ind w:left="120"/>
              <w:spacing w:after="0" w:line="121" w:lineRule="exact"/>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87"/>
              </w:rPr>
              <w:t>Childcare</w:t>
            </w: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6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950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1,145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ASP LCG Holdings, Inc. (Warrants)</w:t>
            </w:r>
          </w:p>
        </w:tc>
        <w:tc>
          <w:tcPr>
            <w:tcW w:w="6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6"/>
              </w:rPr>
              <w:t>05/05/2026</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9"/>
              </w:rPr>
              <w:t>Education</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933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586,975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1,349,018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Autumn Games, LLC</w:t>
            </w:r>
          </w:p>
        </w:tc>
        <w:tc>
          <w:tcPr>
            <w:tcW w:w="6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Broadcasting and Entertainment</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1,333,330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3,000,000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 xml:space="preserve">Cardinal Logistics Holdings LLC </w:t>
            </w:r>
            <w:r>
              <w:rPr>
                <w:rFonts w:ascii="Arial" w:cs="Arial" w:eastAsia="Arial" w:hAnsi="Arial"/>
                <w:sz w:val="10"/>
                <w:szCs w:val="10"/>
                <w:color w:val="auto"/>
              </w:rPr>
              <w:t>(10)</w:t>
            </w:r>
          </w:p>
        </w:tc>
        <w:tc>
          <w:tcPr>
            <w:tcW w:w="68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91"/>
              </w:rPr>
              <w:t>—</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86"/>
              </w:rPr>
              <w:t>Cargo Transport</w:t>
            </w:r>
          </w:p>
        </w:tc>
        <w:tc>
          <w:tcPr>
            <w:tcW w:w="94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137,923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2,111,588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120"/>
              <w:spacing w:after="0"/>
              <w:rPr>
                <w:sz w:val="20"/>
                <w:szCs w:val="20"/>
                <w:color w:val="auto"/>
              </w:rPr>
            </w:pPr>
            <w:r>
              <w:rPr>
                <w:rFonts w:ascii="Arial" w:cs="Arial" w:eastAsia="Arial" w:hAnsi="Arial"/>
                <w:sz w:val="13"/>
                <w:szCs w:val="13"/>
                <w:color w:val="auto"/>
              </w:rPr>
              <w:t>(Intermediate Transportation 100, LLC)</w:t>
            </w:r>
          </w:p>
        </w:tc>
        <w:tc>
          <w:tcPr>
            <w:tcW w:w="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Cascade Environmental LLC </w:t>
            </w:r>
            <w:r>
              <w:rPr>
                <w:rFonts w:ascii="Arial" w:cs="Arial" w:eastAsia="Arial" w:hAnsi="Arial"/>
                <w:sz w:val="10"/>
                <w:szCs w:val="10"/>
                <w:color w:val="auto"/>
              </w:rPr>
              <w:t>(10)</w:t>
            </w:r>
          </w:p>
        </w:tc>
        <w:tc>
          <w:tcPr>
            <w:tcW w:w="6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24,382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2,518,909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5,755,707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 xml:space="preserve">CI (Galls) Prime Investment Holdings, LLC </w:t>
            </w:r>
            <w:r>
              <w:rPr>
                <w:rFonts w:ascii="Arial" w:cs="Arial" w:eastAsia="Arial" w:hAnsi="Arial"/>
                <w:sz w:val="10"/>
                <w:szCs w:val="10"/>
                <w:color w:val="auto"/>
              </w:rPr>
              <w:t>(10)</w:t>
            </w:r>
          </w:p>
        </w:tc>
        <w:tc>
          <w:tcPr>
            <w:tcW w:w="6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1,745,639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1,745,639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4,002,115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6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2,375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3,044,483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e.l.f. Beauty, Inc.</w:t>
            </w:r>
          </w:p>
        </w:tc>
        <w:tc>
          <w:tcPr>
            <w:tcW w:w="6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938,399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2,513,193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26,371,234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Faraday Holdings, LLC</w:t>
            </w:r>
          </w:p>
        </w:tc>
        <w:tc>
          <w:tcPr>
            <w:tcW w:w="680" w:type="dxa"/>
            <w:vAlign w:val="bottom"/>
            <w:shd w:val="clear" w:color="auto" w:fill="CCEEFF"/>
          </w:tcPr>
          <w:p>
            <w:pPr>
              <w:jc w:val="center"/>
              <w:ind w:right="17"/>
              <w:spacing w:after="0" w:line="121" w:lineRule="exact"/>
              <w:rPr>
                <w:sz w:val="20"/>
                <w:szCs w:val="20"/>
                <w:color w:val="auto"/>
              </w:rPr>
            </w:pPr>
            <w:r>
              <w:rPr>
                <w:rFonts w:ascii="Arial" w:cs="Arial" w:eastAsia="Arial" w:hAnsi="Arial"/>
                <w:sz w:val="13"/>
                <w:szCs w:val="13"/>
                <w:color w:val="auto"/>
                <w:w w:val="91"/>
              </w:rPr>
              <w:t>—</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3"/>
              </w:rPr>
              <w:t>Building Materials</w:t>
            </w:r>
          </w:p>
        </w:tc>
        <w:tc>
          <w:tcPr>
            <w:tcW w:w="94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4,277</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217,635</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line="121" w:lineRule="exact"/>
              <w:rPr>
                <w:sz w:val="20"/>
                <w:szCs w:val="20"/>
                <w:color w:val="auto"/>
              </w:rPr>
            </w:pPr>
            <w:r>
              <w:rPr>
                <w:rFonts w:ascii="Arial" w:cs="Arial" w:eastAsia="Arial" w:hAnsi="Arial"/>
                <w:sz w:val="13"/>
                <w:szCs w:val="13"/>
                <w:color w:val="auto"/>
              </w:rPr>
              <w:t>415,322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(Interior Specialists, Inc.)</w:t>
            </w:r>
          </w:p>
        </w:tc>
        <w:tc>
          <w:tcPr>
            <w:tcW w:w="6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HW Holdco, LLC</w:t>
            </w:r>
          </w:p>
        </w:tc>
        <w:tc>
          <w:tcPr>
            <w:tcW w:w="6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388,378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3,881,630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Kadmon Holdings, Inc.</w:t>
            </w:r>
          </w:p>
        </w:tc>
        <w:tc>
          <w:tcPr>
            <w:tcW w:w="680" w:type="dxa"/>
            <w:vAlign w:val="bottom"/>
            <w:shd w:val="clear" w:color="auto" w:fill="CCEEFF"/>
          </w:tcPr>
          <w:p>
            <w:pPr>
              <w:jc w:val="center"/>
              <w:ind w:right="17"/>
              <w:spacing w:after="0" w:line="121" w:lineRule="exact"/>
              <w:rPr>
                <w:sz w:val="20"/>
                <w:szCs w:val="20"/>
                <w:color w:val="auto"/>
              </w:rPr>
            </w:pPr>
            <w:r>
              <w:rPr>
                <w:rFonts w:ascii="Arial" w:cs="Arial" w:eastAsia="Arial" w:hAnsi="Arial"/>
                <w:sz w:val="13"/>
                <w:szCs w:val="13"/>
                <w:color w:val="auto"/>
                <w:w w:val="91"/>
              </w:rPr>
              <w:t>—</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94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252,014</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2,265,639</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1,348,275</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Childcare</w:t>
            </w:r>
          </w:p>
        </w:tc>
        <w:tc>
          <w:tcPr>
            <w:tcW w:w="9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 xml:space="preserve">LaMi Acquisition, LLC </w:t>
            </w:r>
            <w:r>
              <w:rPr>
                <w:rFonts w:ascii="Arial" w:cs="Arial" w:eastAsia="Arial" w:hAnsi="Arial"/>
                <w:sz w:val="10"/>
                <w:szCs w:val="10"/>
                <w:color w:val="auto"/>
              </w:rPr>
              <w:t>(10)</w:t>
            </w:r>
          </w:p>
        </w:tc>
        <w:tc>
          <w:tcPr>
            <w:tcW w:w="6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493,280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532,622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Lariat ecoserv Co-Invest Holdings, LLC </w:t>
            </w:r>
            <w:r>
              <w:rPr>
                <w:rFonts w:ascii="Arial" w:cs="Arial" w:eastAsia="Arial" w:hAnsi="Arial"/>
                <w:sz w:val="10"/>
                <w:szCs w:val="10"/>
                <w:color w:val="auto"/>
              </w:rPr>
              <w:t>(10)</w:t>
            </w:r>
          </w:p>
        </w:tc>
        <w:tc>
          <w:tcPr>
            <w:tcW w:w="6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1,000,000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1,000,000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MidOcean PPL Holdings, Corp.</w:t>
            </w:r>
          </w:p>
        </w:tc>
        <w:tc>
          <w:tcPr>
            <w:tcW w:w="68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91"/>
              </w:rPr>
              <w:t>—</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84"/>
              </w:rPr>
              <w:t>Personal, Food and</w:t>
            </w:r>
          </w:p>
        </w:tc>
        <w:tc>
          <w:tcPr>
            <w:tcW w:w="94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3,000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3,000,000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7,455,412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120"/>
              <w:spacing w:after="0"/>
              <w:rPr>
                <w:sz w:val="20"/>
                <w:szCs w:val="20"/>
                <w:color w:val="auto"/>
              </w:rPr>
            </w:pPr>
            <w:r>
              <w:rPr>
                <w:rFonts w:ascii="Arial" w:cs="Arial" w:eastAsia="Arial" w:hAnsi="Arial"/>
                <w:sz w:val="13"/>
                <w:szCs w:val="13"/>
                <w:color w:val="auto"/>
              </w:rPr>
              <w:t>(Pre-Paid Legal Services, Inc.)</w:t>
            </w:r>
          </w:p>
        </w:tc>
        <w:tc>
          <w:tcPr>
            <w:tcW w:w="680" w:type="dxa"/>
            <w:vAlign w:val="bottom"/>
          </w:tcPr>
          <w:p>
            <w:pPr>
              <w:spacing w:after="0"/>
              <w:rPr>
                <w:sz w:val="12"/>
                <w:szCs w:val="12"/>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88"/>
              </w:rPr>
              <w:t>Miscellaneous Services</w:t>
            </w: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Patriot National, Inc.</w:t>
            </w:r>
          </w:p>
        </w:tc>
        <w:tc>
          <w:tcPr>
            <w:tcW w:w="6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Insurance</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100,885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238,038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469,115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6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9"/>
              </w:rPr>
              <w:t>Manufacturing /Basic Industries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1,330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133,000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1,451,913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ZS Juniper L.P.</w:t>
            </w:r>
          </w:p>
        </w:tc>
        <w:tc>
          <w:tcPr>
            <w:tcW w:w="680" w:type="dxa"/>
            <w:vAlign w:val="bottom"/>
            <w:shd w:val="clear" w:color="auto" w:fill="CCEEFF"/>
          </w:tcPr>
          <w:p>
            <w:pPr>
              <w:jc w:val="center"/>
              <w:ind w:right="17"/>
              <w:spacing w:after="0" w:line="121" w:lineRule="exact"/>
              <w:rPr>
                <w:sz w:val="20"/>
                <w:szCs w:val="20"/>
                <w:color w:val="auto"/>
              </w:rPr>
            </w:pPr>
            <w:r>
              <w:rPr>
                <w:rFonts w:ascii="Arial" w:cs="Arial" w:eastAsia="Arial" w:hAnsi="Arial"/>
                <w:sz w:val="13"/>
                <w:szCs w:val="13"/>
                <w:color w:val="auto"/>
                <w:w w:val="91"/>
              </w:rPr>
              <w:t>—</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4"/>
              </w:rPr>
              <w:t>Personal, Food and</w:t>
            </w:r>
          </w:p>
        </w:tc>
        <w:tc>
          <w:tcPr>
            <w:tcW w:w="94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754</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754,264</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line="121" w:lineRule="exact"/>
              <w:rPr>
                <w:sz w:val="20"/>
                <w:szCs w:val="20"/>
                <w:color w:val="auto"/>
              </w:rPr>
            </w:pPr>
            <w:r>
              <w:rPr>
                <w:rFonts w:ascii="Arial" w:cs="Arial" w:eastAsia="Arial" w:hAnsi="Arial"/>
                <w:sz w:val="13"/>
                <w:szCs w:val="13"/>
                <w:color w:val="auto"/>
              </w:rPr>
              <w:t>754,264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 xml:space="preserve">(Juniper Landscaping of Florida, LLC) </w:t>
            </w:r>
            <w:r>
              <w:rPr>
                <w:rFonts w:ascii="Arial" w:cs="Arial" w:eastAsia="Arial" w:hAnsi="Arial"/>
                <w:sz w:val="10"/>
                <w:szCs w:val="10"/>
                <w:color w:val="auto"/>
              </w:rPr>
              <w:t>(10)</w:t>
            </w:r>
          </w:p>
        </w:tc>
        <w:tc>
          <w:tcPr>
            <w:tcW w:w="68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Miscellaneous Services</w:t>
            </w:r>
          </w:p>
        </w:tc>
        <w:tc>
          <w:tcPr>
            <w:tcW w:w="9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20,579,110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56,832,255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3"/>
              </w:rPr>
              <w:t>Total Investments in Non-Controlled, Non-Affiliated Portfolio Companies</w:t>
            </w:r>
          </w:p>
        </w:tc>
        <w:tc>
          <w:tcPr>
            <w:tcW w:w="6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918,332,509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946,232,162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w w:val="90"/>
              </w:rPr>
              <w:t xml:space="preserve">Investments in Non-Controlled, Affiliated Portfolio Companies—41.2% </w:t>
            </w:r>
            <w:r>
              <w:rPr>
                <w:rFonts w:ascii="Arial" w:cs="Arial" w:eastAsia="Arial" w:hAnsi="Arial"/>
                <w:sz w:val="10"/>
                <w:szCs w:val="10"/>
                <w:b w:val="1"/>
                <w:bCs w:val="1"/>
                <w:color w:val="auto"/>
                <w:w w:val="90"/>
              </w:rPr>
              <w:t>(1), (2)</w:t>
            </w:r>
          </w:p>
        </w:tc>
        <w:tc>
          <w:tcPr>
            <w:tcW w:w="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First Lien Secured Debt—10.3%</w:t>
            </w:r>
          </w:p>
        </w:tc>
        <w:tc>
          <w:tcPr>
            <w:tcW w:w="6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American Gilsonite Company</w:t>
            </w:r>
          </w:p>
        </w:tc>
        <w:tc>
          <w:tcPr>
            <w:tcW w:w="68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86"/>
              </w:rPr>
              <w:t>12/31/2021</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88"/>
              </w:rPr>
              <w:t>Diversified Natural Resources,</w:t>
            </w:r>
          </w:p>
        </w:tc>
        <w:tc>
          <w:tcPr>
            <w:tcW w:w="940" w:type="dxa"/>
            <w:vAlign w:val="bottom"/>
          </w:tcPr>
          <w:p>
            <w:pPr>
              <w:jc w:val="right"/>
              <w:ind w:right="97"/>
              <w:spacing w:after="0" w:line="121" w:lineRule="exact"/>
              <w:rPr>
                <w:sz w:val="20"/>
                <w:szCs w:val="20"/>
                <w:color w:val="auto"/>
              </w:rPr>
            </w:pPr>
            <w:r>
              <w:rPr>
                <w:rFonts w:ascii="Arial" w:cs="Arial" w:eastAsia="Arial" w:hAnsi="Arial"/>
                <w:sz w:val="13"/>
                <w:szCs w:val="13"/>
                <w:color w:val="auto"/>
              </w:rPr>
              <w:t>15.00%</w:t>
            </w:r>
          </w:p>
        </w:tc>
        <w:tc>
          <w:tcPr>
            <w:tcW w:w="120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3,257,511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3,153,140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rPr>
              <w:t>3,257,511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87"/>
              </w:rPr>
              <w:t>Precious Metals and Minerals</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(PIK 5.00%)</w:t>
            </w: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00" w:type="dxa"/>
            <w:vAlign w:val="bottom"/>
            <w:shd w:val="clear" w:color="auto" w:fill="CCEEFF"/>
          </w:tcPr>
          <w:p>
            <w:pPr>
              <w:spacing w:after="0" w:line="124" w:lineRule="exact"/>
              <w:rPr>
                <w:sz w:val="20"/>
                <w:szCs w:val="20"/>
                <w:color w:val="auto"/>
              </w:rPr>
            </w:pPr>
            <w:r>
              <w:rPr>
                <w:rFonts w:ascii="Arial" w:cs="Arial" w:eastAsia="Arial" w:hAnsi="Arial"/>
                <w:sz w:val="13"/>
                <w:szCs w:val="13"/>
                <w:color w:val="auto"/>
              </w:rPr>
              <w:t>Cano Health, LLC</w:t>
            </w:r>
          </w:p>
        </w:tc>
        <w:tc>
          <w:tcPr>
            <w:tcW w:w="680" w:type="dxa"/>
            <w:vAlign w:val="bottom"/>
            <w:shd w:val="clear" w:color="auto" w:fill="CCEEFF"/>
          </w:tcPr>
          <w:p>
            <w:pPr>
              <w:jc w:val="center"/>
              <w:ind w:right="17"/>
              <w:spacing w:after="0" w:line="124" w:lineRule="exact"/>
              <w:rPr>
                <w:sz w:val="20"/>
                <w:szCs w:val="20"/>
                <w:color w:val="auto"/>
              </w:rPr>
            </w:pPr>
            <w:r>
              <w:rPr>
                <w:rFonts w:ascii="Arial" w:cs="Arial" w:eastAsia="Arial" w:hAnsi="Arial"/>
                <w:sz w:val="13"/>
                <w:szCs w:val="13"/>
                <w:color w:val="auto"/>
                <w:w w:val="86"/>
              </w:rPr>
              <w:t>12/23/2021</w:t>
            </w:r>
          </w:p>
        </w:tc>
        <w:tc>
          <w:tcPr>
            <w:tcW w:w="1860" w:type="dxa"/>
            <w:vAlign w:val="bottom"/>
            <w:shd w:val="clear" w:color="auto" w:fill="CCEEFF"/>
          </w:tcPr>
          <w:p>
            <w:pPr>
              <w:jc w:val="center"/>
              <w:spacing w:after="0" w:line="124" w:lineRule="exact"/>
              <w:rPr>
                <w:sz w:val="20"/>
                <w:szCs w:val="20"/>
                <w:color w:val="auto"/>
              </w:rPr>
            </w:pPr>
            <w:r>
              <w:rPr>
                <w:rFonts w:ascii="Arial" w:cs="Arial" w:eastAsia="Arial" w:hAnsi="Arial"/>
                <w:sz w:val="13"/>
                <w:szCs w:val="13"/>
                <w:color w:val="auto"/>
                <w:w w:val="86"/>
              </w:rPr>
              <w:t>Healthcare, Education and</w:t>
            </w:r>
          </w:p>
        </w:tc>
        <w:tc>
          <w:tcPr>
            <w:tcW w:w="940" w:type="dxa"/>
            <w:vAlign w:val="bottom"/>
            <w:shd w:val="clear" w:color="auto" w:fill="CCEEFF"/>
          </w:tcPr>
          <w:p>
            <w:pPr>
              <w:jc w:val="right"/>
              <w:ind w:right="97"/>
              <w:spacing w:after="0" w:line="124" w:lineRule="exact"/>
              <w:rPr>
                <w:sz w:val="20"/>
                <w:szCs w:val="20"/>
                <w:color w:val="auto"/>
              </w:rPr>
            </w:pPr>
            <w:r>
              <w:rPr>
                <w:rFonts w:ascii="Arial" w:cs="Arial" w:eastAsia="Arial" w:hAnsi="Arial"/>
                <w:sz w:val="13"/>
                <w:szCs w:val="13"/>
                <w:color w:val="auto"/>
              </w:rPr>
              <w:t>10.76%</w:t>
            </w:r>
          </w:p>
        </w:tc>
        <w:tc>
          <w:tcPr>
            <w:tcW w:w="1200" w:type="dxa"/>
            <w:vAlign w:val="bottom"/>
            <w:gridSpan w:val="2"/>
            <w:shd w:val="clear" w:color="auto" w:fill="CCEEFF"/>
          </w:tcPr>
          <w:p>
            <w:pPr>
              <w:jc w:val="right"/>
              <w:ind w:right="320"/>
              <w:spacing w:after="0" w:line="124" w:lineRule="exact"/>
              <w:rPr>
                <w:sz w:val="20"/>
                <w:szCs w:val="20"/>
                <w:color w:val="auto"/>
              </w:rPr>
            </w:pPr>
            <w:r>
              <w:rPr>
                <w:rFonts w:ascii="Arial" w:cs="Arial" w:eastAsia="Arial" w:hAnsi="Arial"/>
                <w:sz w:val="13"/>
                <w:szCs w:val="13"/>
                <w:color w:val="auto"/>
              </w:rPr>
              <w:t>L+1,000</w:t>
            </w:r>
          </w:p>
        </w:tc>
        <w:tc>
          <w:tcPr>
            <w:tcW w:w="72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3"/>
                <w:szCs w:val="13"/>
                <w:color w:val="auto"/>
                <w:w w:val="89"/>
              </w:rPr>
              <w:t>10,260,000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3"/>
                <w:szCs w:val="13"/>
                <w:color w:val="auto"/>
                <w:w w:val="95"/>
              </w:rPr>
              <w:t>10,005,198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3"/>
                <w:szCs w:val="13"/>
                <w:color w:val="auto"/>
                <w:w w:val="95"/>
              </w:rPr>
              <w:t>10,003,500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Childcare</w:t>
            </w:r>
          </w:p>
        </w:tc>
        <w:tc>
          <w:tcPr>
            <w:tcW w:w="9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 xml:space="preserve">Cano Health, LLC (Revolver) </w:t>
            </w:r>
            <w:r>
              <w:rPr>
                <w:rFonts w:ascii="Arial" w:cs="Arial" w:eastAsia="Arial" w:hAnsi="Arial"/>
                <w:sz w:val="10"/>
                <w:szCs w:val="10"/>
                <w:color w:val="auto"/>
              </w:rPr>
              <w:t>(8)</w:t>
            </w:r>
          </w:p>
        </w:tc>
        <w:tc>
          <w:tcPr>
            <w:tcW w:w="68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86"/>
              </w:rPr>
              <w:t>12/23/2021</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94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900,000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87"/>
              </w:rPr>
              <w:t>Childcare</w:t>
            </w: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Corfin Industries LLC</w:t>
            </w:r>
          </w:p>
        </w:tc>
        <w:tc>
          <w:tcPr>
            <w:tcW w:w="6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6"/>
              </w:rPr>
              <w:t>11/25/2020</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10.75%</w:t>
            </w:r>
          </w:p>
        </w:tc>
        <w:tc>
          <w:tcPr>
            <w:tcW w:w="12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L+975</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9"/>
              </w:rPr>
              <w:t>23,463,000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5"/>
              </w:rPr>
              <w:t>23,076,650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23,463,000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 xml:space="preserve">Corfin Industries LLC (Revolver) </w:t>
            </w:r>
            <w:r>
              <w:rPr>
                <w:rFonts w:ascii="Arial" w:cs="Arial" w:eastAsia="Arial" w:hAnsi="Arial"/>
                <w:sz w:val="10"/>
                <w:szCs w:val="10"/>
                <w:color w:val="auto"/>
              </w:rPr>
              <w:t>(8)</w:t>
            </w:r>
          </w:p>
        </w:tc>
        <w:tc>
          <w:tcPr>
            <w:tcW w:w="6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6"/>
              </w:rPr>
              <w:t>11/25/2020</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1,942,623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PAS Technologies, Inc.</w:t>
            </w:r>
          </w:p>
        </w:tc>
        <w:tc>
          <w:tcPr>
            <w:tcW w:w="680" w:type="dxa"/>
            <w:vAlign w:val="bottom"/>
            <w:shd w:val="clear" w:color="auto" w:fill="CCEEFF"/>
          </w:tcPr>
          <w:p>
            <w:pPr>
              <w:jc w:val="center"/>
              <w:ind w:right="17"/>
              <w:spacing w:after="0" w:line="121" w:lineRule="exact"/>
              <w:rPr>
                <w:sz w:val="20"/>
                <w:szCs w:val="20"/>
                <w:color w:val="auto"/>
              </w:rPr>
            </w:pPr>
            <w:r>
              <w:rPr>
                <w:rFonts w:ascii="Arial" w:cs="Arial" w:eastAsia="Arial" w:hAnsi="Arial"/>
                <w:sz w:val="13"/>
                <w:szCs w:val="13"/>
                <w:color w:val="auto"/>
                <w:w w:val="86"/>
              </w:rPr>
              <w:t>03/21/2017</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Aerospace and Defense</w:t>
            </w:r>
          </w:p>
        </w:tc>
        <w:tc>
          <w:tcPr>
            <w:tcW w:w="94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6.01%</w:t>
            </w:r>
          </w:p>
        </w:tc>
        <w:tc>
          <w:tcPr>
            <w:tcW w:w="120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L+500</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4,437,215</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3,906,107</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4,437,215</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(PIK 1.00%)</w:t>
            </w: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TRAK Acquisition Corp.</w:t>
            </w:r>
          </w:p>
        </w:tc>
        <w:tc>
          <w:tcPr>
            <w:tcW w:w="6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6"/>
              </w:rPr>
              <w:t>04/30/2018</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12.00%</w:t>
            </w:r>
          </w:p>
        </w:tc>
        <w:tc>
          <w:tcPr>
            <w:tcW w:w="12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L+1,050</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w w:val="89"/>
              </w:rPr>
              <w:t>22,514,911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5"/>
              </w:rPr>
              <w:t>22,393,383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22,514,911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TRAK Acquisition Corp. (Revolver)</w:t>
            </w:r>
          </w:p>
        </w:tc>
        <w:tc>
          <w:tcPr>
            <w:tcW w:w="6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6"/>
              </w:rPr>
              <w:t>08/25/2017</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12.00%</w:t>
            </w:r>
          </w:p>
        </w:tc>
        <w:tc>
          <w:tcPr>
            <w:tcW w:w="12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L+1,050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3,000,000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3,000,000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3,000,000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First Lien Secured Debt</w:t>
            </w:r>
          </w:p>
        </w:tc>
        <w:tc>
          <w:tcPr>
            <w:tcW w:w="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65,534,478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66,676,137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Debt—4.1%</w:t>
            </w:r>
          </w:p>
        </w:tc>
        <w:tc>
          <w:tcPr>
            <w:tcW w:w="6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Affinion Group, Inc.</w:t>
            </w:r>
          </w:p>
        </w:tc>
        <w:tc>
          <w:tcPr>
            <w:tcW w:w="6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6"/>
              </w:rPr>
              <w:t>10/31/2018</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8.50%</w:t>
            </w:r>
          </w:p>
        </w:tc>
        <w:tc>
          <w:tcPr>
            <w:tcW w:w="12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L+700</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89"/>
              </w:rPr>
              <w:t>18,000,000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5"/>
              </w:rPr>
              <w:t>17,078,401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17,442,000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EnviroSolutions Real Property Holdings, Inc.</w:t>
            </w:r>
          </w:p>
        </w:tc>
        <w:tc>
          <w:tcPr>
            <w:tcW w:w="6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6"/>
              </w:rPr>
              <w:t>12/26/2017</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9.00%</w:t>
            </w:r>
          </w:p>
        </w:tc>
        <w:tc>
          <w:tcPr>
            <w:tcW w:w="12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L+800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9,409,740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9,321,997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9,409,740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Second Lien Secured Debt</w:t>
            </w:r>
          </w:p>
        </w:tc>
        <w:tc>
          <w:tcPr>
            <w:tcW w:w="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26,400,398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26,851,740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Subordinated Debt/Corporate Notes—14.1%</w:t>
            </w:r>
          </w:p>
        </w:tc>
        <w:tc>
          <w:tcPr>
            <w:tcW w:w="6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 xml:space="preserve">Affinion International Holdings Limited </w:t>
            </w:r>
            <w:r>
              <w:rPr>
                <w:rFonts w:ascii="Arial" w:cs="Arial" w:eastAsia="Arial" w:hAnsi="Arial"/>
                <w:sz w:val="10"/>
                <w:szCs w:val="10"/>
                <w:color w:val="auto"/>
              </w:rPr>
              <w:t>(5), (9), (12)</w:t>
            </w:r>
          </w:p>
        </w:tc>
        <w:tc>
          <w:tcPr>
            <w:tcW w:w="68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86"/>
              </w:rPr>
              <w:t>07/30/2018</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87"/>
              </w:rPr>
              <w:t>Consumer Products</w:t>
            </w:r>
          </w:p>
        </w:tc>
        <w:tc>
          <w:tcPr>
            <w:tcW w:w="940" w:type="dxa"/>
            <w:vAlign w:val="bottom"/>
          </w:tcPr>
          <w:p>
            <w:pPr>
              <w:jc w:val="right"/>
              <w:ind w:right="97"/>
              <w:spacing w:after="0" w:line="121" w:lineRule="exact"/>
              <w:rPr>
                <w:sz w:val="20"/>
                <w:szCs w:val="20"/>
                <w:color w:val="auto"/>
              </w:rPr>
            </w:pPr>
            <w:r>
              <w:rPr>
                <w:rFonts w:ascii="Arial" w:cs="Arial" w:eastAsia="Arial" w:hAnsi="Arial"/>
                <w:sz w:val="13"/>
                <w:szCs w:val="13"/>
                <w:color w:val="auto"/>
              </w:rPr>
              <w:t>7.50%</w:t>
            </w:r>
          </w:p>
        </w:tc>
        <w:tc>
          <w:tcPr>
            <w:tcW w:w="120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w w:val="89"/>
              </w:rPr>
              <w:t>10,055,185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9,265,571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9,652,978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(PIK 4.00%)</w:t>
            </w: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00" w:type="dxa"/>
            <w:vAlign w:val="bottom"/>
            <w:shd w:val="clear" w:color="auto" w:fill="CCEEFF"/>
          </w:tcPr>
          <w:p>
            <w:pPr>
              <w:spacing w:after="0" w:line="124"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w:t>
            </w:r>
          </w:p>
        </w:tc>
        <w:tc>
          <w:tcPr>
            <w:tcW w:w="680" w:type="dxa"/>
            <w:vAlign w:val="bottom"/>
            <w:shd w:val="clear" w:color="auto" w:fill="CCEEFF"/>
          </w:tcPr>
          <w:p>
            <w:pPr>
              <w:jc w:val="center"/>
              <w:ind w:right="17"/>
              <w:spacing w:after="0" w:line="124" w:lineRule="exact"/>
              <w:rPr>
                <w:sz w:val="20"/>
                <w:szCs w:val="20"/>
                <w:color w:val="auto"/>
              </w:rPr>
            </w:pPr>
            <w:r>
              <w:rPr>
                <w:rFonts w:ascii="Arial" w:cs="Arial" w:eastAsia="Arial" w:hAnsi="Arial"/>
                <w:sz w:val="13"/>
                <w:szCs w:val="13"/>
                <w:color w:val="auto"/>
                <w:w w:val="86"/>
              </w:rPr>
              <w:t>12/31/2021</w:t>
            </w:r>
          </w:p>
        </w:tc>
        <w:tc>
          <w:tcPr>
            <w:tcW w:w="1860" w:type="dxa"/>
            <w:vAlign w:val="bottom"/>
            <w:shd w:val="clear" w:color="auto" w:fill="CCEEFF"/>
          </w:tcPr>
          <w:p>
            <w:pPr>
              <w:jc w:val="center"/>
              <w:spacing w:after="0" w:line="124" w:lineRule="exact"/>
              <w:rPr>
                <w:sz w:val="20"/>
                <w:szCs w:val="20"/>
                <w:color w:val="auto"/>
              </w:rPr>
            </w:pPr>
            <w:r>
              <w:rPr>
                <w:rFonts w:ascii="Arial" w:cs="Arial" w:eastAsia="Arial" w:hAnsi="Arial"/>
                <w:sz w:val="13"/>
                <w:szCs w:val="13"/>
                <w:color w:val="auto"/>
                <w:w w:val="88"/>
              </w:rPr>
              <w:t>Diversified Natural Resources,</w:t>
            </w:r>
          </w:p>
        </w:tc>
        <w:tc>
          <w:tcPr>
            <w:tcW w:w="940" w:type="dxa"/>
            <w:vAlign w:val="bottom"/>
            <w:shd w:val="clear" w:color="auto" w:fill="CCEEFF"/>
          </w:tcPr>
          <w:p>
            <w:pPr>
              <w:jc w:val="right"/>
              <w:ind w:right="97"/>
              <w:spacing w:after="0" w:line="124" w:lineRule="exact"/>
              <w:rPr>
                <w:sz w:val="20"/>
                <w:szCs w:val="20"/>
                <w:color w:val="auto"/>
              </w:rPr>
            </w:pPr>
            <w:r>
              <w:rPr>
                <w:rFonts w:ascii="Arial" w:cs="Arial" w:eastAsia="Arial" w:hAnsi="Arial"/>
                <w:sz w:val="13"/>
                <w:szCs w:val="13"/>
                <w:color w:val="auto"/>
              </w:rPr>
              <w:t>17.00%</w:t>
            </w:r>
          </w:p>
        </w:tc>
        <w:tc>
          <w:tcPr>
            <w:tcW w:w="1200" w:type="dxa"/>
            <w:vAlign w:val="bottom"/>
            <w:gridSpan w:val="2"/>
            <w:shd w:val="clear" w:color="auto" w:fill="CCEEFF"/>
          </w:tcPr>
          <w:p>
            <w:pPr>
              <w:jc w:val="right"/>
              <w:ind w:right="320"/>
              <w:spacing w:after="0" w:line="124"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color w:val="auto"/>
              </w:rPr>
              <w:t>9,407,407</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color w:val="auto"/>
              </w:rPr>
              <w:t>9,407,407</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color w:val="auto"/>
              </w:rPr>
              <w:t>9,407,407</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Precious Metals and Minerals</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(PIK 17.00%)</w:t>
            </w: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DirectBuy Holdings, Inc.</w:t>
            </w:r>
          </w:p>
        </w:tc>
        <w:tc>
          <w:tcPr>
            <w:tcW w:w="6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6"/>
              </w:rPr>
              <w:t>11/05/2019</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2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89"/>
              </w:rPr>
              <w:t>15,177,295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5"/>
              </w:rPr>
              <w:t>12,340,534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1,669,502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ETX Energy, LLC, Convertible Note </w:t>
            </w:r>
            <w:r>
              <w:rPr>
                <w:rFonts w:ascii="Arial" w:cs="Arial" w:eastAsia="Arial" w:hAnsi="Arial"/>
                <w:sz w:val="10"/>
                <w:szCs w:val="10"/>
                <w:color w:val="auto"/>
              </w:rPr>
              <w:t>(5)</w:t>
            </w:r>
          </w:p>
        </w:tc>
        <w:tc>
          <w:tcPr>
            <w:tcW w:w="680" w:type="dxa"/>
            <w:vAlign w:val="bottom"/>
            <w:shd w:val="clear" w:color="auto" w:fill="CCEEFF"/>
          </w:tcPr>
          <w:p>
            <w:pPr>
              <w:jc w:val="center"/>
              <w:ind w:right="17"/>
              <w:spacing w:after="0" w:line="121" w:lineRule="exact"/>
              <w:rPr>
                <w:sz w:val="20"/>
                <w:szCs w:val="20"/>
                <w:color w:val="auto"/>
              </w:rPr>
            </w:pPr>
            <w:r>
              <w:rPr>
                <w:rFonts w:ascii="Arial" w:cs="Arial" w:eastAsia="Arial" w:hAnsi="Arial"/>
                <w:sz w:val="13"/>
                <w:szCs w:val="13"/>
                <w:color w:val="auto"/>
                <w:w w:val="86"/>
              </w:rPr>
              <w:t>05/03/2021</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Oil and Gas</w:t>
            </w:r>
          </w:p>
        </w:tc>
        <w:tc>
          <w:tcPr>
            <w:tcW w:w="94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12.50%</w:t>
            </w:r>
          </w:p>
        </w:tc>
        <w:tc>
          <w:tcPr>
            <w:tcW w:w="120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w w:val="89"/>
              </w:rPr>
              <w:t>25,297,664</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w w:val="95"/>
              </w:rPr>
              <w:t>35,876,111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line="121" w:lineRule="exact"/>
              <w:rPr>
                <w:sz w:val="20"/>
                <w:szCs w:val="20"/>
                <w:color w:val="auto"/>
              </w:rPr>
            </w:pPr>
            <w:r>
              <w:rPr>
                <w:rFonts w:ascii="Arial" w:cs="Arial" w:eastAsia="Arial" w:hAnsi="Arial"/>
                <w:sz w:val="13"/>
                <w:szCs w:val="13"/>
                <w:color w:val="auto"/>
                <w:w w:val="95"/>
              </w:rPr>
              <w:t>42,500,076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(PIK 12.50%)</w:t>
            </w: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Service Champ, Inc.</w:t>
            </w:r>
          </w:p>
        </w:tc>
        <w:tc>
          <w:tcPr>
            <w:tcW w:w="6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6"/>
              </w:rPr>
              <w:t>10/02/2017</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8"/>
              </w:rPr>
              <w:t>Auto Sector</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12.50%</w:t>
            </w:r>
          </w:p>
        </w:tc>
        <w:tc>
          <w:tcPr>
            <w:tcW w:w="12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89"/>
              </w:rPr>
              <w:t>28,000,000</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5"/>
              </w:rPr>
              <w:t>27,880,538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5"/>
              </w:rPr>
              <w:t>27,970,495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6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5"/>
              </w:rPr>
              <w:t>94,770,161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91,200,458</w:t>
            </w:r>
          </w:p>
        </w:tc>
        <w:tc>
          <w:tcPr>
            <w:tcW w:w="0" w:type="dxa"/>
            <w:vAlign w:val="bottom"/>
          </w:tcPr>
          <w:p>
            <w:pPr>
              <w:spacing w:after="0"/>
              <w:rPr>
                <w:sz w:val="1"/>
                <w:szCs w:val="1"/>
                <w:color w:val="auto"/>
              </w:rPr>
            </w:pPr>
          </w:p>
        </w:tc>
      </w:tr>
      <w:tr>
        <w:trPr>
          <w:trHeight w:val="142"/>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 xml:space="preserve">Preferred Equity—0.8% </w:t>
            </w:r>
            <w:r>
              <w:rPr>
                <w:rFonts w:ascii="Arial" w:cs="Arial" w:eastAsia="Arial" w:hAnsi="Arial"/>
                <w:sz w:val="10"/>
                <w:szCs w:val="10"/>
                <w:b w:val="1"/>
                <w:bCs w:val="1"/>
                <w:color w:val="auto"/>
              </w:rPr>
              <w:t>(6)</w:t>
            </w:r>
          </w:p>
        </w:tc>
        <w:tc>
          <w:tcPr>
            <w:tcW w:w="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6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53,071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5"/>
              </w:rPr>
              <w:t>20,059,340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5,254,029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 xml:space="preserve">Common Equity/Partnership Interests/Warrants—11.9% </w:t>
            </w:r>
            <w:r>
              <w:rPr>
                <w:rFonts w:ascii="Arial" w:cs="Arial" w:eastAsia="Arial" w:hAnsi="Arial"/>
                <w:sz w:val="10"/>
                <w:szCs w:val="10"/>
                <w:b w:val="1"/>
                <w:bCs w:val="1"/>
                <w:color w:val="auto"/>
              </w:rPr>
              <w:t>(6)</w:t>
            </w:r>
          </w:p>
        </w:tc>
        <w:tc>
          <w:tcPr>
            <w:tcW w:w="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w:t>
            </w:r>
          </w:p>
        </w:tc>
        <w:tc>
          <w:tcPr>
            <w:tcW w:w="6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859,496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5"/>
              </w:rPr>
              <w:t>30,503,493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33,758,336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Affinion Group Holdings, Inc., Series C and Series D</w:t>
            </w:r>
          </w:p>
        </w:tc>
        <w:tc>
          <w:tcPr>
            <w:tcW w:w="6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37,181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5"/>
              </w:rPr>
              <w:t>10,265,972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247,769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American Gilsonite Company</w:t>
            </w:r>
          </w:p>
        </w:tc>
        <w:tc>
          <w:tcPr>
            <w:tcW w:w="680" w:type="dxa"/>
            <w:vAlign w:val="bottom"/>
            <w:shd w:val="clear" w:color="auto" w:fill="CCEEFF"/>
          </w:tcPr>
          <w:p>
            <w:pPr>
              <w:jc w:val="center"/>
              <w:ind w:right="17"/>
              <w:spacing w:after="0" w:line="121" w:lineRule="exact"/>
              <w:rPr>
                <w:sz w:val="20"/>
                <w:szCs w:val="20"/>
                <w:color w:val="auto"/>
              </w:rPr>
            </w:pPr>
            <w:r>
              <w:rPr>
                <w:rFonts w:ascii="Arial" w:cs="Arial" w:eastAsia="Arial" w:hAnsi="Arial"/>
                <w:sz w:val="13"/>
                <w:szCs w:val="13"/>
                <w:color w:val="auto"/>
                <w:w w:val="91"/>
              </w:rPr>
              <w:t>—</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Diversified Natural Resources,</w:t>
            </w:r>
          </w:p>
        </w:tc>
        <w:tc>
          <w:tcPr>
            <w:tcW w:w="94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25,400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5,465,627</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5,465,627</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Precious Metals and Minerals</w:t>
            </w:r>
          </w:p>
        </w:tc>
        <w:tc>
          <w:tcPr>
            <w:tcW w:w="9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Corfin InvestCo, L.P.</w:t>
            </w:r>
          </w:p>
        </w:tc>
        <w:tc>
          <w:tcPr>
            <w:tcW w:w="6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11,250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1,125,000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2,606,202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Corfin InvestCo, L.P. </w:t>
            </w:r>
            <w:r>
              <w:rPr>
                <w:rFonts w:ascii="Arial" w:cs="Arial" w:eastAsia="Arial" w:hAnsi="Arial"/>
                <w:sz w:val="10"/>
                <w:szCs w:val="10"/>
                <w:color w:val="auto"/>
              </w:rPr>
              <w:t>(8)</w:t>
            </w:r>
          </w:p>
        </w:tc>
        <w:tc>
          <w:tcPr>
            <w:tcW w:w="6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11,250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line="222" w:lineRule="auto"/>
        <w:rPr>
          <w:sz w:val="20"/>
          <w:szCs w:val="20"/>
          <w:color w:val="auto"/>
        </w:rPr>
      </w:pPr>
      <w:r>
        <w:rPr>
          <w:rFonts w:ascii="Arial" w:cs="Arial" w:eastAsia="Arial" w:hAnsi="Arial"/>
          <w:sz w:val="14"/>
          <w:szCs w:val="14"/>
          <w:b w:val="1"/>
          <w:bCs w:val="1"/>
          <w:color w:val="auto"/>
        </w:rPr>
        <w:t>DECEMBER 31, 2016</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4"/>
              </w:rPr>
              <w:t>Basis Point</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Issuer Name</w:t>
            </w:r>
          </w:p>
        </w:tc>
        <w:tc>
          <w:tcPr>
            <w:tcW w:w="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Maturity /</w:t>
            </w:r>
          </w:p>
        </w:tc>
        <w:tc>
          <w:tcPr>
            <w:tcW w:w="1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rPr>
              <w:t>Current</w:t>
            </w:r>
          </w:p>
        </w:tc>
        <w:tc>
          <w:tcPr>
            <w:tcW w:w="10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6"/>
              </w:rPr>
              <w:t>Spread Above</w:t>
            </w:r>
          </w:p>
        </w:tc>
        <w:tc>
          <w:tcPr>
            <w:tcW w:w="840" w:type="dxa"/>
            <w:vAlign w:val="bottom"/>
            <w:gridSpan w:val="2"/>
          </w:tcPr>
          <w:p>
            <w:pPr>
              <w:jc w:val="right"/>
              <w:ind w:right="400"/>
              <w:spacing w:after="0" w:line="135" w:lineRule="exact"/>
              <w:rPr>
                <w:sz w:val="20"/>
                <w:szCs w:val="20"/>
                <w:color w:val="auto"/>
              </w:rPr>
            </w:pPr>
            <w:r>
              <w:rPr>
                <w:rFonts w:ascii="Arial" w:cs="Arial" w:eastAsia="Arial" w:hAnsi="Arial"/>
                <w:sz w:val="13"/>
                <w:szCs w:val="13"/>
                <w:b w:val="1"/>
                <w:bCs w:val="1"/>
                <w:color w:val="auto"/>
              </w:rPr>
              <w:t>Par /</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60" w:type="dxa"/>
            <w:vAlign w:val="bottom"/>
            <w:gridSpan w:val="3"/>
            <w:vMerge w:val="continue"/>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Expiration</w:t>
            </w:r>
          </w:p>
        </w:tc>
        <w:tc>
          <w:tcPr>
            <w:tcW w:w="1580" w:type="dxa"/>
            <w:vAlign w:val="bottom"/>
            <w:gridSpan w:val="2"/>
          </w:tcPr>
          <w:p>
            <w:pPr>
              <w:ind w:left="400"/>
              <w:spacing w:after="0"/>
              <w:rPr>
                <w:sz w:val="20"/>
                <w:szCs w:val="20"/>
                <w:color w:val="auto"/>
              </w:rPr>
            </w:pPr>
            <w:r>
              <w:rPr>
                <w:rFonts w:ascii="Arial" w:cs="Arial" w:eastAsia="Arial" w:hAnsi="Arial"/>
                <w:sz w:val="13"/>
                <w:szCs w:val="13"/>
                <w:b w:val="1"/>
                <w:bCs w:val="1"/>
                <w:color w:val="auto"/>
              </w:rPr>
              <w:t>Industry</w:t>
            </w:r>
          </w:p>
        </w:tc>
        <w:tc>
          <w:tcPr>
            <w:tcW w:w="9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w w:val="97"/>
              </w:rPr>
              <w:t>Coupon</w:t>
            </w:r>
          </w:p>
        </w:tc>
        <w:tc>
          <w:tcPr>
            <w:tcW w:w="10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8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3"/>
                <w:szCs w:val="13"/>
                <w:color w:val="auto"/>
              </w:rPr>
            </w:pPr>
          </w:p>
        </w:tc>
        <w:tc>
          <w:tcPr>
            <w:tcW w:w="960" w:type="dxa"/>
            <w:vAlign w:val="bottom"/>
            <w:gridSpan w:val="2"/>
          </w:tcPr>
          <w:p>
            <w:pPr>
              <w:ind w:left="220"/>
              <w:spacing w:after="0"/>
              <w:rPr>
                <w:sz w:val="20"/>
                <w:szCs w:val="20"/>
                <w:color w:val="auto"/>
              </w:rPr>
            </w:pPr>
            <w:r>
              <w:rPr>
                <w:rFonts w:ascii="Arial" w:cs="Arial" w:eastAsia="Arial" w:hAnsi="Arial"/>
                <w:sz w:val="13"/>
                <w:szCs w:val="13"/>
                <w:b w:val="1"/>
                <w:bCs w:val="1"/>
                <w:color w:val="auto"/>
              </w:rPr>
              <w:t>Cost</w:t>
            </w:r>
          </w:p>
        </w:tc>
        <w:tc>
          <w:tcPr>
            <w:tcW w:w="88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w w:val="94"/>
              </w:rPr>
              <w:t xml:space="preserve">Fair Value </w:t>
            </w:r>
            <w:r>
              <w:rPr>
                <w:rFonts w:ascii="Arial" w:cs="Arial" w:eastAsia="Arial" w:hAnsi="Arial"/>
                <w:sz w:val="10"/>
                <w:szCs w:val="10"/>
                <w:b w:val="1"/>
                <w:bCs w:val="1"/>
                <w:color w:val="auto"/>
                <w:w w:val="94"/>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DirectBuy Holdings, Inc.</w:t>
            </w: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91"/>
              </w:rPr>
              <w:t>—</w:t>
            </w:r>
          </w:p>
        </w:tc>
        <w:tc>
          <w:tcPr>
            <w:tcW w:w="18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Consumer Products</w:t>
            </w:r>
          </w:p>
        </w:tc>
        <w:tc>
          <w:tcPr>
            <w:tcW w:w="3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104,719</w:t>
            </w: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21,492,822</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DirectBuy Holdings, Inc. (Warrants)</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6"/>
              </w:rPr>
              <w:t>11/05/2022</w:t>
            </w: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w w:val="85"/>
              </w:rPr>
              <w:t>Consumer Products</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15,486</w:t>
            </w:r>
          </w:p>
        </w:tc>
        <w:tc>
          <w:tcPr>
            <w:tcW w:w="6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EnviroSolutions Holdings, Inc.</w:t>
            </w:r>
          </w:p>
        </w:tc>
        <w:tc>
          <w:tcPr>
            <w:tcW w:w="78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91"/>
              </w:rPr>
              <w:t>—</w:t>
            </w:r>
          </w:p>
        </w:tc>
        <w:tc>
          <w:tcPr>
            <w:tcW w:w="1580" w:type="dxa"/>
            <w:vAlign w:val="bottom"/>
            <w:gridSpan w:val="2"/>
            <w:shd w:val="clear" w:color="auto" w:fill="CCEEFF"/>
          </w:tcPr>
          <w:p>
            <w:pPr>
              <w:jc w:val="center"/>
              <w:ind w:right="280"/>
              <w:spacing w:after="0" w:line="121" w:lineRule="exact"/>
              <w:rPr>
                <w:sz w:val="20"/>
                <w:szCs w:val="20"/>
                <w:color w:val="auto"/>
              </w:rPr>
            </w:pPr>
            <w:r>
              <w:rPr>
                <w:rFonts w:ascii="Arial" w:cs="Arial" w:eastAsia="Arial" w:hAnsi="Arial"/>
                <w:sz w:val="13"/>
                <w:szCs w:val="13"/>
                <w:color w:val="auto"/>
                <w:w w:val="89"/>
              </w:rPr>
              <w:t>Environmental</w:t>
            </w:r>
          </w:p>
        </w:tc>
        <w:tc>
          <w:tcPr>
            <w:tcW w:w="98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143,668</w:t>
            </w:r>
          </w:p>
        </w:tc>
        <w:tc>
          <w:tcPr>
            <w:tcW w:w="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11,960,702</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13,350,935</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color w:val="auto"/>
                <w:w w:val="84"/>
              </w:rPr>
              <w:t>Services</w:t>
            </w: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ETX Energy, LLC </w:t>
            </w:r>
            <w:r>
              <w:rPr>
                <w:rFonts w:ascii="Arial" w:cs="Arial" w:eastAsia="Arial" w:hAnsi="Arial"/>
                <w:sz w:val="10"/>
                <w:szCs w:val="10"/>
                <w:color w:val="auto"/>
              </w:rPr>
              <w:t>(10)</w:t>
            </w: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1"/>
              </w:rPr>
              <w:t>—</w:t>
            </w:r>
          </w:p>
        </w:tc>
        <w:tc>
          <w:tcPr>
            <w:tcW w:w="1580" w:type="dxa"/>
            <w:vAlign w:val="bottom"/>
            <w:gridSpan w:val="2"/>
          </w:tcPr>
          <w:p>
            <w:pPr>
              <w:jc w:val="center"/>
              <w:ind w:right="300"/>
              <w:spacing w:after="0" w:line="135" w:lineRule="exact"/>
              <w:rPr>
                <w:sz w:val="20"/>
                <w:szCs w:val="20"/>
                <w:color w:val="auto"/>
              </w:rPr>
            </w:pPr>
            <w:r>
              <w:rPr>
                <w:rFonts w:ascii="Arial" w:cs="Arial" w:eastAsia="Arial" w:hAnsi="Arial"/>
                <w:sz w:val="13"/>
                <w:szCs w:val="13"/>
                <w:color w:val="auto"/>
                <w:w w:val="87"/>
              </w:rPr>
              <w:t>Oil and Gas</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113,610</w:t>
            </w:r>
          </w:p>
        </w:tc>
        <w:tc>
          <w:tcPr>
            <w:tcW w:w="6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3,080,591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ETX Energy Management Company, LLC </w:t>
            </w:r>
            <w:r>
              <w:rPr>
                <w:rFonts w:ascii="Arial" w:cs="Arial" w:eastAsia="Arial" w:hAnsi="Arial"/>
                <w:sz w:val="10"/>
                <w:szCs w:val="10"/>
                <w:color w:val="auto"/>
              </w:rPr>
              <w:t>(10)</w:t>
            </w:r>
          </w:p>
        </w:tc>
        <w:tc>
          <w:tcPr>
            <w:tcW w:w="7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1"/>
              </w:rPr>
              <w:t>—</w:t>
            </w:r>
          </w:p>
        </w:tc>
        <w:tc>
          <w:tcPr>
            <w:tcW w:w="158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3"/>
                <w:szCs w:val="13"/>
                <w:color w:val="auto"/>
                <w:w w:val="87"/>
              </w:rPr>
              <w:t>Oil and Gas</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119,603</w:t>
            </w: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162,155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40" w:type="dxa"/>
            <w:vAlign w:val="bottom"/>
            <w:gridSpan w:val="2"/>
          </w:tcPr>
          <w:p>
            <w:pPr>
              <w:spacing w:after="0" w:line="121" w:lineRule="exact"/>
              <w:rPr>
                <w:sz w:val="20"/>
                <w:szCs w:val="20"/>
                <w:color w:val="auto"/>
              </w:rPr>
            </w:pPr>
            <w:r>
              <w:rPr>
                <w:rFonts w:ascii="Arial" w:cs="Arial" w:eastAsia="Arial" w:hAnsi="Arial"/>
                <w:sz w:val="13"/>
                <w:szCs w:val="13"/>
                <w:color w:val="auto"/>
              </w:rPr>
              <w:t xml:space="preserve">ITC Rumba, LLC (Cano Health, LLC) </w:t>
            </w:r>
            <w:r>
              <w:rPr>
                <w:rFonts w:ascii="Arial" w:cs="Arial" w:eastAsia="Arial" w:hAnsi="Arial"/>
                <w:sz w:val="10"/>
                <w:szCs w:val="10"/>
                <w:color w:val="auto"/>
              </w:rPr>
              <w:t>(10)</w:t>
            </w:r>
          </w:p>
        </w:tc>
        <w:tc>
          <w:tcPr>
            <w:tcW w:w="78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91"/>
              </w:rPr>
              <w:t>—</w:t>
            </w:r>
          </w:p>
        </w:tc>
        <w:tc>
          <w:tcPr>
            <w:tcW w:w="1580" w:type="dxa"/>
            <w:vAlign w:val="bottom"/>
            <w:gridSpan w:val="2"/>
          </w:tcPr>
          <w:p>
            <w:pPr>
              <w:jc w:val="center"/>
              <w:ind w:right="300"/>
              <w:spacing w:after="0" w:line="121" w:lineRule="exact"/>
              <w:rPr>
                <w:sz w:val="20"/>
                <w:szCs w:val="20"/>
                <w:color w:val="auto"/>
              </w:rPr>
            </w:pPr>
            <w:r>
              <w:rPr>
                <w:rFonts w:ascii="Arial" w:cs="Arial" w:eastAsia="Arial" w:hAnsi="Arial"/>
                <w:sz w:val="13"/>
                <w:szCs w:val="13"/>
                <w:color w:val="auto"/>
                <w:w w:val="87"/>
              </w:rPr>
              <w:t>Healthcare, Education</w:t>
            </w:r>
          </w:p>
        </w:tc>
        <w:tc>
          <w:tcPr>
            <w:tcW w:w="980" w:type="dxa"/>
            <w:vAlign w:val="bottom"/>
            <w:gridSpan w:val="2"/>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180,000</w:t>
            </w:r>
          </w:p>
        </w:tc>
        <w:tc>
          <w:tcPr>
            <w:tcW w:w="60" w:type="dxa"/>
            <w:vAlign w:val="bottom"/>
          </w:tcPr>
          <w:p>
            <w:pPr>
              <w:spacing w:after="0"/>
              <w:rPr>
                <w:sz w:val="10"/>
                <w:szCs w:val="10"/>
                <w:color w:val="auto"/>
              </w:rPr>
            </w:pPr>
          </w:p>
        </w:tc>
        <w:tc>
          <w:tcPr>
            <w:tcW w:w="96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1,800,000</w:t>
            </w:r>
          </w:p>
        </w:tc>
        <w:tc>
          <w:tcPr>
            <w:tcW w:w="60" w:type="dxa"/>
            <w:vAlign w:val="bottom"/>
          </w:tcPr>
          <w:p>
            <w:pPr>
              <w:spacing w:after="0"/>
              <w:rPr>
                <w:sz w:val="10"/>
                <w:szCs w:val="10"/>
                <w:color w:val="auto"/>
              </w:rPr>
            </w:pPr>
          </w:p>
        </w:tc>
        <w:tc>
          <w:tcPr>
            <w:tcW w:w="7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1,800,000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3"/>
                <w:szCs w:val="13"/>
                <w:color w:val="auto"/>
                <w:w w:val="87"/>
              </w:rPr>
              <w:t>and Childcare</w:t>
            </w: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New Service Champ Holdings, Inc.</w:t>
            </w:r>
          </w:p>
        </w:tc>
        <w:tc>
          <w:tcPr>
            <w:tcW w:w="7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1"/>
              </w:rPr>
              <w:t>—</w:t>
            </w:r>
          </w:p>
        </w:tc>
        <w:tc>
          <w:tcPr>
            <w:tcW w:w="158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3"/>
                <w:szCs w:val="13"/>
                <w:color w:val="auto"/>
                <w:w w:val="88"/>
              </w:rPr>
              <w:t>Auto Sector</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16,800</w:t>
            </w: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2,721,600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7,567,263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1"/>
              </w:rPr>
              <w:t>—</w:t>
            </w: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w w:val="84"/>
              </w:rPr>
              <w:t>Aerospace and Defense</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53,071</w:t>
            </w:r>
          </w:p>
        </w:tc>
        <w:tc>
          <w:tcPr>
            <w:tcW w:w="6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202,620</w:t>
            </w:r>
          </w:p>
        </w:tc>
        <w:tc>
          <w:tcPr>
            <w:tcW w:w="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5,832,533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TRAK Acquisition Corp.</w:t>
            </w:r>
          </w:p>
        </w:tc>
        <w:tc>
          <w:tcPr>
            <w:tcW w:w="7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1"/>
              </w:rPr>
              <w:t>—</w:t>
            </w:r>
          </w:p>
        </w:tc>
        <w:tc>
          <w:tcPr>
            <w:tcW w:w="158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color w:val="auto"/>
                <w:w w:val="84"/>
              </w:rPr>
              <w:t>Business Services</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491,755</w:t>
            </w: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188,837</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2,941,551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6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85,726,673</w:t>
            </w: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76,812,962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in Non-Controlled, Affiliated Portfolio Companies</w:t>
            </w: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99"/>
              </w:rPr>
              <w:t>292,491,050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9"/>
              </w:rPr>
              <w:t>266,795,326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6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w w:val="97"/>
              </w:rPr>
              <w:t xml:space="preserve">Investments in Controlled, Affiliated Portfolio Companies—17.4% </w:t>
            </w:r>
            <w:r>
              <w:rPr>
                <w:rFonts w:ascii="Arial" w:cs="Arial" w:eastAsia="Arial" w:hAnsi="Arial"/>
                <w:sz w:val="10"/>
                <w:szCs w:val="10"/>
                <w:b w:val="1"/>
                <w:bCs w:val="1"/>
                <w:color w:val="auto"/>
                <w:w w:val="97"/>
              </w:rPr>
              <w:t>(1), (2)</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First Lien Secured Debt—15.0%</w:t>
            </w: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40" w:type="dxa"/>
            <w:vAlign w:val="bottom"/>
            <w:gridSpan w:val="2"/>
          </w:tcPr>
          <w:p>
            <w:pPr>
              <w:spacing w:after="0" w:line="121" w:lineRule="exact"/>
              <w:rPr>
                <w:sz w:val="20"/>
                <w:szCs w:val="20"/>
                <w:color w:val="auto"/>
              </w:rPr>
            </w:pPr>
            <w:r>
              <w:rPr>
                <w:rFonts w:ascii="Arial" w:cs="Arial" w:eastAsia="Arial" w:hAnsi="Arial"/>
                <w:sz w:val="13"/>
                <w:szCs w:val="13"/>
                <w:color w:val="auto"/>
              </w:rPr>
              <w:t>RAM Energy LLC</w:t>
            </w:r>
          </w:p>
        </w:tc>
        <w:tc>
          <w:tcPr>
            <w:tcW w:w="600" w:type="dxa"/>
            <w:vAlign w:val="bottom"/>
          </w:tcPr>
          <w:p>
            <w:pPr>
              <w:jc w:val="center"/>
              <w:spacing w:after="0" w:line="121" w:lineRule="exact"/>
              <w:rPr>
                <w:sz w:val="20"/>
                <w:szCs w:val="20"/>
                <w:color w:val="auto"/>
              </w:rPr>
            </w:pPr>
            <w:r>
              <w:rPr>
                <w:rFonts w:ascii="Arial" w:cs="Arial" w:eastAsia="Arial" w:hAnsi="Arial"/>
                <w:sz w:val="13"/>
                <w:szCs w:val="13"/>
                <w:color w:val="auto"/>
                <w:w w:val="86"/>
              </w:rPr>
              <w:t>07/18/2019</w:t>
            </w:r>
          </w:p>
        </w:tc>
        <w:tc>
          <w:tcPr>
            <w:tcW w:w="180" w:type="dxa"/>
            <w:vAlign w:val="bottom"/>
          </w:tcPr>
          <w:p>
            <w:pPr>
              <w:spacing w:after="0"/>
              <w:rPr>
                <w:sz w:val="10"/>
                <w:szCs w:val="10"/>
                <w:color w:val="auto"/>
              </w:rPr>
            </w:pPr>
          </w:p>
        </w:tc>
        <w:tc>
          <w:tcPr>
            <w:tcW w:w="1580" w:type="dxa"/>
            <w:vAlign w:val="bottom"/>
            <w:gridSpan w:val="2"/>
          </w:tcPr>
          <w:p>
            <w:pPr>
              <w:jc w:val="center"/>
              <w:ind w:right="280"/>
              <w:spacing w:after="0" w:line="121" w:lineRule="exact"/>
              <w:rPr>
                <w:sz w:val="20"/>
                <w:szCs w:val="20"/>
                <w:color w:val="auto"/>
              </w:rPr>
            </w:pPr>
            <w:r>
              <w:rPr>
                <w:rFonts w:ascii="Arial" w:cs="Arial" w:eastAsia="Arial" w:hAnsi="Arial"/>
                <w:sz w:val="13"/>
                <w:szCs w:val="13"/>
                <w:color w:val="auto"/>
                <w:w w:val="91"/>
              </w:rPr>
              <w:t>Energy and Utilities</w:t>
            </w:r>
          </w:p>
        </w:tc>
        <w:tc>
          <w:tcPr>
            <w:tcW w:w="98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10.00%</w:t>
            </w:r>
          </w:p>
        </w:tc>
        <w:tc>
          <w:tcPr>
            <w:tcW w:w="108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L+800</w:t>
            </w:r>
          </w:p>
        </w:tc>
        <w:tc>
          <w:tcPr>
            <w:tcW w:w="84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w w:val="89"/>
              </w:rPr>
              <w:t>86,744,720</w:t>
            </w:r>
          </w:p>
        </w:tc>
        <w:tc>
          <w:tcPr>
            <w:tcW w:w="60" w:type="dxa"/>
            <w:vAlign w:val="bottom"/>
          </w:tcPr>
          <w:p>
            <w:pPr>
              <w:spacing w:after="0"/>
              <w:rPr>
                <w:sz w:val="10"/>
                <w:szCs w:val="10"/>
                <w:color w:val="auto"/>
              </w:rPr>
            </w:pPr>
          </w:p>
        </w:tc>
        <w:tc>
          <w:tcPr>
            <w:tcW w:w="96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85,875,642</w:t>
            </w:r>
          </w:p>
        </w:tc>
        <w:tc>
          <w:tcPr>
            <w:tcW w:w="60" w:type="dxa"/>
            <w:vAlign w:val="bottom"/>
          </w:tcPr>
          <w:p>
            <w:pPr>
              <w:spacing w:after="0"/>
              <w:rPr>
                <w:sz w:val="10"/>
                <w:szCs w:val="10"/>
                <w:color w:val="auto"/>
              </w:rPr>
            </w:pPr>
          </w:p>
        </w:tc>
        <w:tc>
          <w:tcPr>
            <w:tcW w:w="7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70,480,085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w w:val="93"/>
              </w:rPr>
              <w:t>(PIK 10.00%)</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40" w:type="dxa"/>
            <w:vAlign w:val="bottom"/>
            <w:gridSpan w:val="2"/>
            <w:shd w:val="clear" w:color="auto" w:fill="CCEEFF"/>
          </w:tcPr>
          <w:p>
            <w:pPr>
              <w:spacing w:after="0" w:line="124" w:lineRule="exact"/>
              <w:rPr>
                <w:sz w:val="20"/>
                <w:szCs w:val="20"/>
                <w:color w:val="auto"/>
              </w:rPr>
            </w:pPr>
            <w:r>
              <w:rPr>
                <w:rFonts w:ascii="Arial" w:cs="Arial" w:eastAsia="Arial" w:hAnsi="Arial"/>
                <w:sz w:val="13"/>
                <w:szCs w:val="13"/>
                <w:color w:val="auto"/>
              </w:rPr>
              <w:t>Superior Digital Displays, LLC</w:t>
            </w:r>
          </w:p>
        </w:tc>
        <w:tc>
          <w:tcPr>
            <w:tcW w:w="600" w:type="dxa"/>
            <w:vAlign w:val="bottom"/>
            <w:shd w:val="clear" w:color="auto" w:fill="CCEEFF"/>
          </w:tcPr>
          <w:p>
            <w:pPr>
              <w:jc w:val="center"/>
              <w:spacing w:after="0" w:line="124" w:lineRule="exact"/>
              <w:rPr>
                <w:sz w:val="20"/>
                <w:szCs w:val="20"/>
                <w:color w:val="auto"/>
              </w:rPr>
            </w:pPr>
            <w:r>
              <w:rPr>
                <w:rFonts w:ascii="Arial" w:cs="Arial" w:eastAsia="Arial" w:hAnsi="Arial"/>
                <w:sz w:val="13"/>
                <w:szCs w:val="13"/>
                <w:color w:val="auto"/>
                <w:w w:val="86"/>
              </w:rPr>
              <w:t>12/31/2018</w:t>
            </w:r>
          </w:p>
        </w:tc>
        <w:tc>
          <w:tcPr>
            <w:tcW w:w="180" w:type="dxa"/>
            <w:vAlign w:val="bottom"/>
            <w:shd w:val="clear" w:color="auto" w:fill="CCEEFF"/>
          </w:tcPr>
          <w:p>
            <w:pPr>
              <w:spacing w:after="0"/>
              <w:rPr>
                <w:sz w:val="10"/>
                <w:szCs w:val="10"/>
                <w:color w:val="auto"/>
              </w:rPr>
            </w:pPr>
          </w:p>
        </w:tc>
        <w:tc>
          <w:tcPr>
            <w:tcW w:w="1580" w:type="dxa"/>
            <w:vAlign w:val="bottom"/>
            <w:gridSpan w:val="2"/>
            <w:shd w:val="clear" w:color="auto" w:fill="CCEEFF"/>
          </w:tcPr>
          <w:p>
            <w:pPr>
              <w:jc w:val="center"/>
              <w:ind w:right="300"/>
              <w:spacing w:after="0" w:line="124" w:lineRule="exact"/>
              <w:rPr>
                <w:sz w:val="20"/>
                <w:szCs w:val="20"/>
                <w:color w:val="auto"/>
              </w:rPr>
            </w:pPr>
            <w:r>
              <w:rPr>
                <w:rFonts w:ascii="Arial" w:cs="Arial" w:eastAsia="Arial" w:hAnsi="Arial"/>
                <w:sz w:val="13"/>
                <w:szCs w:val="13"/>
                <w:color w:val="auto"/>
                <w:w w:val="90"/>
              </w:rPr>
              <w:t>Media</w:t>
            </w:r>
          </w:p>
        </w:tc>
        <w:tc>
          <w:tcPr>
            <w:tcW w:w="980" w:type="dxa"/>
            <w:vAlign w:val="bottom"/>
            <w:gridSpan w:val="2"/>
            <w:shd w:val="clear" w:color="auto" w:fill="CCEEFF"/>
          </w:tcPr>
          <w:p>
            <w:pPr>
              <w:jc w:val="right"/>
              <w:ind w:right="280"/>
              <w:spacing w:after="0" w:line="124" w:lineRule="exact"/>
              <w:rPr>
                <w:sz w:val="20"/>
                <w:szCs w:val="20"/>
                <w:color w:val="auto"/>
              </w:rPr>
            </w:pPr>
            <w:r>
              <w:rPr>
                <w:rFonts w:ascii="Arial" w:cs="Arial" w:eastAsia="Arial" w:hAnsi="Arial"/>
                <w:sz w:val="13"/>
                <w:szCs w:val="13"/>
                <w:color w:val="auto"/>
              </w:rPr>
              <w:t>14.00%</w:t>
            </w:r>
          </w:p>
        </w:tc>
        <w:tc>
          <w:tcPr>
            <w:tcW w:w="1080" w:type="dxa"/>
            <w:vAlign w:val="bottom"/>
            <w:gridSpan w:val="2"/>
            <w:shd w:val="clear" w:color="auto" w:fill="CCEEFF"/>
          </w:tcPr>
          <w:p>
            <w:pPr>
              <w:jc w:val="right"/>
              <w:ind w:right="320"/>
              <w:spacing w:after="0" w:line="124" w:lineRule="exact"/>
              <w:rPr>
                <w:sz w:val="20"/>
                <w:szCs w:val="20"/>
                <w:color w:val="auto"/>
              </w:rPr>
            </w:pPr>
            <w:r>
              <w:rPr>
                <w:rFonts w:ascii="Arial" w:cs="Arial" w:eastAsia="Arial" w:hAnsi="Arial"/>
                <w:sz w:val="13"/>
                <w:szCs w:val="13"/>
                <w:color w:val="auto"/>
              </w:rPr>
              <w:t>L+1,300</w:t>
            </w:r>
          </w:p>
        </w:tc>
        <w:tc>
          <w:tcPr>
            <w:tcW w:w="840" w:type="dxa"/>
            <w:vAlign w:val="bottom"/>
            <w:gridSpan w:val="2"/>
            <w:shd w:val="clear" w:color="auto" w:fill="CCEEFF"/>
          </w:tcPr>
          <w:p>
            <w:pPr>
              <w:jc w:val="right"/>
              <w:ind w:right="240"/>
              <w:spacing w:after="0" w:line="124" w:lineRule="exact"/>
              <w:rPr>
                <w:sz w:val="20"/>
                <w:szCs w:val="20"/>
                <w:color w:val="auto"/>
              </w:rPr>
            </w:pPr>
            <w:r>
              <w:rPr>
                <w:rFonts w:ascii="Arial" w:cs="Arial" w:eastAsia="Arial" w:hAnsi="Arial"/>
                <w:sz w:val="13"/>
                <w:szCs w:val="13"/>
                <w:color w:val="auto"/>
                <w:w w:val="89"/>
              </w:rPr>
              <w:t>26,516,321</w:t>
            </w:r>
          </w:p>
        </w:tc>
        <w:tc>
          <w:tcPr>
            <w:tcW w:w="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20"/>
              <w:spacing w:after="0" w:line="124" w:lineRule="exact"/>
              <w:rPr>
                <w:sz w:val="20"/>
                <w:szCs w:val="20"/>
                <w:color w:val="auto"/>
              </w:rPr>
            </w:pPr>
            <w:r>
              <w:rPr>
                <w:rFonts w:ascii="Arial" w:cs="Arial" w:eastAsia="Arial" w:hAnsi="Arial"/>
                <w:sz w:val="13"/>
                <w:szCs w:val="13"/>
                <w:color w:val="auto"/>
              </w:rPr>
              <w:t>24,942,081</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3"/>
                <w:szCs w:val="13"/>
                <w:color w:val="auto"/>
              </w:rPr>
              <w:t>26,516,321</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3"/>
              </w:rPr>
              <w:t>(PIK 14.00%)</w:t>
            </w: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6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Total First Lien Secured Debt</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9"/>
              </w:rPr>
              <w:t>110,817,723</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96,996,406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Debt—0.9%</w:t>
            </w: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40" w:type="dxa"/>
            <w:vAlign w:val="bottom"/>
            <w:gridSpan w:val="2"/>
          </w:tcPr>
          <w:p>
            <w:pPr>
              <w:spacing w:after="0" w:line="121" w:lineRule="exact"/>
              <w:rPr>
                <w:sz w:val="20"/>
                <w:szCs w:val="20"/>
                <w:color w:val="auto"/>
              </w:rPr>
            </w:pPr>
            <w:r>
              <w:rPr>
                <w:rFonts w:ascii="Arial" w:cs="Arial" w:eastAsia="Arial" w:hAnsi="Arial"/>
                <w:sz w:val="13"/>
                <w:szCs w:val="13"/>
                <w:color w:val="auto"/>
              </w:rPr>
              <w:t>Superior Digital Displays, LLC</w:t>
            </w:r>
          </w:p>
        </w:tc>
        <w:tc>
          <w:tcPr>
            <w:tcW w:w="600" w:type="dxa"/>
            <w:vAlign w:val="bottom"/>
          </w:tcPr>
          <w:p>
            <w:pPr>
              <w:jc w:val="center"/>
              <w:spacing w:after="0" w:line="121" w:lineRule="exact"/>
              <w:rPr>
                <w:sz w:val="20"/>
                <w:szCs w:val="20"/>
                <w:color w:val="auto"/>
              </w:rPr>
            </w:pPr>
            <w:r>
              <w:rPr>
                <w:rFonts w:ascii="Arial" w:cs="Arial" w:eastAsia="Arial" w:hAnsi="Arial"/>
                <w:sz w:val="13"/>
                <w:szCs w:val="13"/>
                <w:color w:val="auto"/>
                <w:w w:val="86"/>
              </w:rPr>
              <w:t>07/01/2019</w:t>
            </w:r>
          </w:p>
        </w:tc>
        <w:tc>
          <w:tcPr>
            <w:tcW w:w="180" w:type="dxa"/>
            <w:vAlign w:val="bottom"/>
          </w:tcPr>
          <w:p>
            <w:pPr>
              <w:spacing w:after="0"/>
              <w:rPr>
                <w:sz w:val="10"/>
                <w:szCs w:val="10"/>
                <w:color w:val="auto"/>
              </w:rPr>
            </w:pPr>
          </w:p>
        </w:tc>
        <w:tc>
          <w:tcPr>
            <w:tcW w:w="1580" w:type="dxa"/>
            <w:vAlign w:val="bottom"/>
            <w:gridSpan w:val="2"/>
          </w:tcPr>
          <w:p>
            <w:pPr>
              <w:jc w:val="center"/>
              <w:ind w:right="300"/>
              <w:spacing w:after="0" w:line="121" w:lineRule="exact"/>
              <w:rPr>
                <w:sz w:val="20"/>
                <w:szCs w:val="20"/>
                <w:color w:val="auto"/>
              </w:rPr>
            </w:pPr>
            <w:r>
              <w:rPr>
                <w:rFonts w:ascii="Arial" w:cs="Arial" w:eastAsia="Arial" w:hAnsi="Arial"/>
                <w:sz w:val="13"/>
                <w:szCs w:val="13"/>
                <w:color w:val="auto"/>
                <w:w w:val="90"/>
              </w:rPr>
              <w:t>Media</w:t>
            </w:r>
          </w:p>
        </w:tc>
        <w:tc>
          <w:tcPr>
            <w:tcW w:w="98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16.00%</w:t>
            </w:r>
          </w:p>
        </w:tc>
        <w:tc>
          <w:tcPr>
            <w:tcW w:w="108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L+1,500</w:t>
            </w:r>
          </w:p>
        </w:tc>
        <w:tc>
          <w:tcPr>
            <w:tcW w:w="84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6,105,815</w:t>
            </w:r>
          </w:p>
        </w:tc>
        <w:tc>
          <w:tcPr>
            <w:tcW w:w="60" w:type="dxa"/>
            <w:vAlign w:val="bottom"/>
          </w:tcPr>
          <w:p>
            <w:pPr>
              <w:spacing w:after="0"/>
              <w:rPr>
                <w:sz w:val="10"/>
                <w:szCs w:val="10"/>
                <w:color w:val="auto"/>
              </w:rPr>
            </w:pPr>
          </w:p>
        </w:tc>
        <w:tc>
          <w:tcPr>
            <w:tcW w:w="96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6,105,815</w:t>
            </w:r>
          </w:p>
        </w:tc>
        <w:tc>
          <w:tcPr>
            <w:tcW w:w="60" w:type="dxa"/>
            <w:vAlign w:val="bottom"/>
          </w:tcPr>
          <w:p>
            <w:pPr>
              <w:spacing w:after="0"/>
              <w:rPr>
                <w:sz w:val="10"/>
                <w:szCs w:val="10"/>
                <w:color w:val="auto"/>
              </w:rPr>
            </w:pPr>
          </w:p>
        </w:tc>
        <w:tc>
          <w:tcPr>
            <w:tcW w:w="7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5,920,164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w w:val="93"/>
              </w:rPr>
              <w:t>(PIK 16.00%)</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Preferred Equity—1.5% </w:t>
            </w:r>
            <w:r>
              <w:rPr>
                <w:rFonts w:ascii="Arial" w:cs="Arial" w:eastAsia="Arial" w:hAnsi="Arial"/>
                <w:sz w:val="10"/>
                <w:szCs w:val="10"/>
                <w:b w:val="1"/>
                <w:bCs w:val="1"/>
                <w:color w:val="auto"/>
              </w:rPr>
              <w:t>(6)</w:t>
            </w: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MidOcean JF Holdings Corp.</w:t>
            </w: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1"/>
              </w:rPr>
              <w:t>—</w:t>
            </w: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w w:val="95"/>
              </w:rPr>
              <w:t>Distribution</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143,183</w:t>
            </w:r>
          </w:p>
        </w:tc>
        <w:tc>
          <w:tcPr>
            <w:tcW w:w="6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14,318,325</w:t>
            </w:r>
          </w:p>
        </w:tc>
        <w:tc>
          <w:tcPr>
            <w:tcW w:w="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9,599,721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7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1"/>
              </w:rPr>
              <w:t>—</w:t>
            </w:r>
          </w:p>
        </w:tc>
        <w:tc>
          <w:tcPr>
            <w:tcW w:w="158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3"/>
                <w:szCs w:val="13"/>
                <w:color w:val="auto"/>
                <w:w w:val="90"/>
              </w:rPr>
              <w:t>Media</w:t>
            </w:r>
          </w:p>
        </w:tc>
        <w:tc>
          <w:tcPr>
            <w:tcW w:w="9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15.00%</w:t>
            </w:r>
          </w:p>
        </w:tc>
        <w:tc>
          <w:tcPr>
            <w:tcW w:w="10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224,282</w:t>
            </w: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10,600,000</w:t>
            </w: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26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Total Preferred Equity</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24,918,325</w:t>
            </w: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9,599,721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Common Equity—0.0% </w:t>
            </w:r>
            <w:r>
              <w:rPr>
                <w:rFonts w:ascii="Arial" w:cs="Arial" w:eastAsia="Arial" w:hAnsi="Arial"/>
                <w:sz w:val="10"/>
                <w:szCs w:val="10"/>
                <w:b w:val="1"/>
                <w:bCs w:val="1"/>
                <w:color w:val="auto"/>
              </w:rPr>
              <w:t>(6)</w:t>
            </w: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MidOcean JF Holdings Corp.</w:t>
            </w: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1"/>
              </w:rPr>
              <w:t>—</w:t>
            </w: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w w:val="95"/>
              </w:rPr>
              <w:t>Distribution</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65,933</w:t>
            </w:r>
          </w:p>
        </w:tc>
        <w:tc>
          <w:tcPr>
            <w:tcW w:w="6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24,761,831</w:t>
            </w:r>
          </w:p>
        </w:tc>
        <w:tc>
          <w:tcPr>
            <w:tcW w:w="60" w:type="dxa"/>
            <w:vAlign w:val="bottom"/>
          </w:tcPr>
          <w:p>
            <w:pPr>
              <w:spacing w:after="0"/>
              <w:rPr>
                <w:sz w:val="11"/>
                <w:szCs w:val="11"/>
                <w:color w:val="auto"/>
              </w:rPr>
            </w:pP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RAM Energy Holdings LLC</w:t>
            </w:r>
          </w:p>
        </w:tc>
        <w:tc>
          <w:tcPr>
            <w:tcW w:w="7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1"/>
              </w:rPr>
              <w:t>—</w:t>
            </w:r>
          </w:p>
        </w:tc>
        <w:tc>
          <w:tcPr>
            <w:tcW w:w="158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color w:val="auto"/>
                <w:w w:val="91"/>
              </w:rPr>
              <w:t>Energy and Utilities</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23,141</w:t>
            </w: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20,824,388</w:t>
            </w: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1"/>
              </w:rPr>
              <w:t>—</w:t>
            </w:r>
          </w:p>
        </w:tc>
        <w:tc>
          <w:tcPr>
            <w:tcW w:w="1580" w:type="dxa"/>
            <w:vAlign w:val="bottom"/>
            <w:gridSpan w:val="2"/>
          </w:tcPr>
          <w:p>
            <w:pPr>
              <w:jc w:val="center"/>
              <w:ind w:right="300"/>
              <w:spacing w:after="0" w:line="135" w:lineRule="exact"/>
              <w:rPr>
                <w:sz w:val="20"/>
                <w:szCs w:val="20"/>
                <w:color w:val="auto"/>
              </w:rPr>
            </w:pPr>
            <w:r>
              <w:rPr>
                <w:rFonts w:ascii="Arial" w:cs="Arial" w:eastAsia="Arial" w:hAnsi="Arial"/>
                <w:sz w:val="13"/>
                <w:szCs w:val="13"/>
                <w:color w:val="auto"/>
                <w:w w:val="90"/>
              </w:rPr>
              <w:t>Media</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11,100</w:t>
            </w: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2,211,000</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w:t>
            </w: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47,797,219</w:t>
            </w: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26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Total Investments in Controlled, Affiliated Portfolio Companies</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9"/>
              </w:rPr>
              <w:t>189,639,082</w:t>
            </w: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9"/>
              </w:rPr>
              <w:t>112,516,291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Investments—204.7%</w:t>
            </w: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6"/>
              </w:rPr>
              <w:t>1,400,462,641</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86"/>
              </w:rPr>
              <w:t>1,325,543,779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6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Cash and Cash Equivalents—7.0%</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BlackRock Federal FD Instl 30</w:t>
            </w: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9,893,987</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9,893,987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35,441,238</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35,446,589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Cash and Cash Equivalents</w:t>
            </w: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45,335,225</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45,340,576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6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Total Investments and Cash Equivalents—211.7%</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u w:val="single" w:color="auto"/>
                <w:color w:val="auto"/>
                <w:w w:val="78"/>
              </w:rPr>
              <w:t>$</w:t>
            </w: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6"/>
              </w:rPr>
              <w:t>1,445,797,866</w:t>
            </w: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u w:val="single" w:color="auto"/>
                <w:color w:val="auto"/>
                <w:w w:val="78"/>
              </w:rPr>
              <w:t>$</w:t>
            </w: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6"/>
              </w:rPr>
              <w:t>1,370,884,355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2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Liabilities in Excess of Other Assets—(111.7%)</w:t>
            </w: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w w:val="93"/>
              </w:rPr>
              <w:t>(723,365,406)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Borders>
              <w:bottom w:val="single" w:sz="8" w:color="auto"/>
            </w:tcBorders>
            <w:gridSpan w:val="2"/>
          </w:tcPr>
          <w:p>
            <w:pPr>
              <w:jc w:val="right"/>
              <w:ind w:right="20"/>
              <w:spacing w:after="0" w:line="135" w:lineRule="exact"/>
              <w:rPr>
                <w:sz w:val="20"/>
                <w:szCs w:val="20"/>
                <w:color w:val="auto"/>
              </w:rPr>
            </w:pPr>
            <w:r>
              <w:rPr>
                <w:rFonts w:ascii="Arial" w:cs="Arial" w:eastAsia="Arial" w:hAnsi="Arial"/>
                <w:sz w:val="13"/>
                <w:szCs w:val="13"/>
                <w:color w:val="auto"/>
                <w:w w:val="99"/>
              </w:rPr>
              <w:t>647,518,949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8658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76" w:lineRule="exact"/>
        <w:rPr>
          <w:sz w:val="20"/>
          <w:szCs w:val="20"/>
          <w:color w:val="auto"/>
        </w:rPr>
      </w:pPr>
    </w:p>
    <w:p>
      <w:pPr>
        <w:ind w:left="340" w:right="200" w:hanging="332"/>
        <w:spacing w:after="0" w:line="243"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40" w:right="220" w:hanging="332"/>
        <w:spacing w:after="0" w:line="234"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 w:lineRule="exact"/>
        <w:rPr>
          <w:rFonts w:ascii="Arial" w:cs="Arial" w:eastAsia="Arial" w:hAnsi="Arial"/>
          <w:sz w:val="12"/>
          <w:szCs w:val="12"/>
          <w:color w:val="auto"/>
        </w:rPr>
      </w:pPr>
    </w:p>
    <w:p>
      <w:pPr>
        <w:ind w:left="340" w:hanging="332"/>
        <w:spacing w:after="0" w:line="234"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right="380" w:hanging="332"/>
        <w:spacing w:after="0" w:line="234"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payment-in-kind, or PIK, interest and other fee rates, if any.</w:t>
      </w:r>
    </w:p>
    <w:p>
      <w:pPr>
        <w:spacing w:after="0" w:line="1" w:lineRule="exact"/>
        <w:rPr>
          <w:rFonts w:ascii="Arial" w:cs="Arial" w:eastAsia="Arial" w:hAnsi="Arial"/>
          <w:sz w:val="12"/>
          <w:szCs w:val="12"/>
          <w:color w:val="auto"/>
        </w:rPr>
      </w:pPr>
    </w:p>
    <w:p>
      <w:pPr>
        <w:ind w:left="340" w:right="120" w:hanging="332"/>
        <w:spacing w:after="0" w:line="234"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spacing w:after="0" w:line="1" w:lineRule="exact"/>
        <w:rPr>
          <w:rFonts w:ascii="Arial" w:cs="Arial" w:eastAsia="Arial" w:hAnsi="Arial"/>
          <w:sz w:val="12"/>
          <w:szCs w:val="12"/>
          <w:color w:val="auto"/>
        </w:rPr>
      </w:pPr>
    </w:p>
    <w:p>
      <w:pPr>
        <w:ind w:left="340" w:hanging="332"/>
        <w:spacing w:after="0" w:line="234"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40" w:hanging="332"/>
        <w:spacing w:after="0"/>
        <w:tabs>
          <w:tab w:leader="none" w:pos="340" w:val="left"/>
        </w:tabs>
        <w:numPr>
          <w:ilvl w:val="0"/>
          <w:numId w:val="9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40" w:hanging="332"/>
        <w:spacing w:after="0" w:line="234"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340" w:hanging="332"/>
        <w:spacing w:after="0" w:line="234"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Par amount is denominated in British Pounds (£) or in Euros (€) as denoted.</w:t>
      </w:r>
    </w:p>
    <w:p>
      <w:pPr>
        <w:ind w:left="340" w:right="220" w:hanging="332"/>
        <w:spacing w:after="0" w:line="237"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040" w:type="dxa"/>
            <w:vAlign w:val="bottom"/>
            <w:vMerge w:val="restart"/>
          </w:tcPr>
          <w:p>
            <w:pPr>
              <w:ind w:left="300"/>
              <w:spacing w:after="0"/>
              <w:rPr>
                <w:sz w:val="20"/>
                <w:szCs w:val="20"/>
                <w:color w:val="auto"/>
              </w:rPr>
            </w:pPr>
            <w:r>
              <w:rPr>
                <w:rFonts w:ascii="Arial" w:cs="Arial" w:eastAsia="Arial" w:hAnsi="Arial"/>
                <w:sz w:val="13"/>
                <w:szCs w:val="13"/>
                <w:b w:val="1"/>
                <w:bCs w:val="1"/>
                <w:color w:val="auto"/>
              </w:rPr>
              <w:t>Maturity /</w:t>
            </w:r>
          </w:p>
        </w:tc>
        <w:tc>
          <w:tcPr>
            <w:tcW w:w="2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Basis Point</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960" w:type="dxa"/>
            <w:vAlign w:val="bottom"/>
          </w:tcPr>
          <w:p>
            <w:pPr>
              <w:spacing w:after="0"/>
              <w:rPr>
                <w:sz w:val="10"/>
                <w:szCs w:val="10"/>
                <w:color w:val="auto"/>
              </w:rPr>
            </w:pPr>
          </w:p>
        </w:tc>
        <w:tc>
          <w:tcPr>
            <w:tcW w:w="960" w:type="dxa"/>
            <w:vAlign w:val="bottom"/>
          </w:tcPr>
          <w:p>
            <w:pPr>
              <w:jc w:val="right"/>
              <w:ind w:right="237"/>
              <w:spacing w:after="0" w:line="126" w:lineRule="exact"/>
              <w:rPr>
                <w:sz w:val="20"/>
                <w:szCs w:val="20"/>
                <w:color w:val="auto"/>
              </w:rPr>
            </w:pPr>
            <w:r>
              <w:rPr>
                <w:rFonts w:ascii="Arial" w:cs="Arial" w:eastAsia="Arial" w:hAnsi="Arial"/>
                <w:sz w:val="13"/>
                <w:szCs w:val="13"/>
                <w:b w:val="1"/>
                <w:bCs w:val="1"/>
                <w:color w:val="auto"/>
              </w:rPr>
              <w:t>Current</w:t>
            </w:r>
          </w:p>
        </w:tc>
        <w:tc>
          <w:tcPr>
            <w:tcW w:w="110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86"/>
              </w:rPr>
              <w:t>Spread Above</w:t>
            </w:r>
          </w:p>
        </w:tc>
        <w:tc>
          <w:tcPr>
            <w:tcW w:w="80" w:type="dxa"/>
            <w:vAlign w:val="bottom"/>
          </w:tcPr>
          <w:p>
            <w:pPr>
              <w:spacing w:after="0"/>
              <w:rPr>
                <w:sz w:val="10"/>
                <w:szCs w:val="10"/>
                <w:color w:val="auto"/>
              </w:rPr>
            </w:pPr>
          </w:p>
        </w:tc>
        <w:tc>
          <w:tcPr>
            <w:tcW w:w="640" w:type="dxa"/>
            <w:vAlign w:val="bottom"/>
            <w:gridSpan w:val="2"/>
          </w:tcPr>
          <w:p>
            <w:pPr>
              <w:jc w:val="right"/>
              <w:ind w:right="260"/>
              <w:spacing w:after="0" w:line="126" w:lineRule="exact"/>
              <w:rPr>
                <w:sz w:val="20"/>
                <w:szCs w:val="20"/>
                <w:color w:val="auto"/>
              </w:rPr>
            </w:pPr>
            <w:r>
              <w:rPr>
                <w:rFonts w:ascii="Arial" w:cs="Arial" w:eastAsia="Arial" w:hAnsi="Arial"/>
                <w:sz w:val="13"/>
                <w:szCs w:val="13"/>
                <w:b w:val="1"/>
                <w:bCs w:val="1"/>
                <w:color w:val="auto"/>
              </w:rPr>
              <w:t>Par /</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960" w:type="dxa"/>
            <w:vAlign w:val="bottom"/>
            <w:gridSpan w:val="2"/>
          </w:tcPr>
          <w:p>
            <w:pPr>
              <w:spacing w:after="0"/>
              <w:rPr>
                <w:sz w:val="20"/>
                <w:szCs w:val="20"/>
                <w:color w:val="auto"/>
              </w:rPr>
            </w:pPr>
            <w:r>
              <w:rPr>
                <w:rFonts w:ascii="Arial" w:cs="Arial" w:eastAsia="Arial" w:hAnsi="Arial"/>
                <w:sz w:val="13"/>
                <w:szCs w:val="13"/>
                <w:b w:val="1"/>
                <w:bCs w:val="1"/>
                <w:color w:val="auto"/>
              </w:rPr>
              <w:t>Issuer Name</w:t>
            </w:r>
          </w:p>
        </w:tc>
        <w:tc>
          <w:tcPr>
            <w:tcW w:w="1040" w:type="dxa"/>
            <w:vAlign w:val="bottom"/>
          </w:tcPr>
          <w:p>
            <w:pPr>
              <w:ind w:left="300"/>
              <w:spacing w:after="0"/>
              <w:rPr>
                <w:sz w:val="20"/>
                <w:szCs w:val="20"/>
                <w:color w:val="auto"/>
              </w:rPr>
            </w:pPr>
            <w:r>
              <w:rPr>
                <w:rFonts w:ascii="Arial" w:cs="Arial" w:eastAsia="Arial" w:hAnsi="Arial"/>
                <w:sz w:val="13"/>
                <w:szCs w:val="13"/>
                <w:b w:val="1"/>
                <w:bCs w:val="1"/>
                <w:color w:val="auto"/>
              </w:rPr>
              <w:t>Expiration</w:t>
            </w:r>
          </w:p>
        </w:tc>
        <w:tc>
          <w:tcPr>
            <w:tcW w:w="2960" w:type="dxa"/>
            <w:vAlign w:val="bottom"/>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960" w:type="dxa"/>
            <w:vAlign w:val="bottom"/>
          </w:tcPr>
          <w:p>
            <w:pPr>
              <w:jc w:val="right"/>
              <w:ind w:right="237"/>
              <w:spacing w:after="0"/>
              <w:rPr>
                <w:sz w:val="20"/>
                <w:szCs w:val="20"/>
                <w:color w:val="auto"/>
              </w:rPr>
            </w:pPr>
            <w:r>
              <w:rPr>
                <w:rFonts w:ascii="Arial" w:cs="Arial" w:eastAsia="Arial" w:hAnsi="Arial"/>
                <w:sz w:val="13"/>
                <w:szCs w:val="13"/>
                <w:b w:val="1"/>
                <w:bCs w:val="1"/>
                <w:color w:val="auto"/>
              </w:rPr>
              <w:t>Coupon</w:t>
            </w:r>
          </w:p>
        </w:tc>
        <w:tc>
          <w:tcPr>
            <w:tcW w:w="11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 xml:space="preserve">Index </w:t>
            </w:r>
            <w:r>
              <w:rPr>
                <w:rFonts w:ascii="Arial" w:cs="Arial" w:eastAsia="Arial" w:hAnsi="Arial"/>
                <w:sz w:val="10"/>
                <w:szCs w:val="10"/>
                <w:b w:val="1"/>
                <w:bCs w:val="1"/>
                <w:color w:val="auto"/>
                <w:w w:val="96"/>
              </w:rPr>
              <w:t>(4)</w:t>
            </w:r>
          </w:p>
        </w:tc>
        <w:tc>
          <w:tcPr>
            <w:tcW w:w="8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2"/>
              </w:rPr>
              <w:t>Shares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16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w w:val="94"/>
              </w:rPr>
              <w:t xml:space="preserve">Fair Value </w:t>
            </w:r>
            <w:r>
              <w:rPr>
                <w:rFonts w:ascii="Arial" w:cs="Arial" w:eastAsia="Arial" w:hAnsi="Arial"/>
                <w:sz w:val="10"/>
                <w:szCs w:val="10"/>
                <w:b w:val="1"/>
                <w:bCs w:val="1"/>
                <w:color w:val="auto"/>
                <w:w w:val="94"/>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4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Investments in Non-Controlled, Non-Affiliated Portfolio Companies—126.4% </w:t>
            </w:r>
            <w:r>
              <w:rPr>
                <w:rFonts w:ascii="Arial" w:cs="Arial" w:eastAsia="Arial" w:hAnsi="Arial"/>
                <w:sz w:val="10"/>
                <w:szCs w:val="10"/>
                <w:b w:val="1"/>
                <w:bCs w:val="1"/>
                <w:color w:val="auto"/>
              </w:rPr>
              <w:t>(1), (2)</w:t>
            </w:r>
          </w:p>
        </w:tc>
        <w:tc>
          <w:tcPr>
            <w:tcW w:w="9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Debt—38.7%</w:t>
            </w:r>
          </w:p>
        </w:tc>
        <w:tc>
          <w:tcPr>
            <w:tcW w:w="104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AP Gaming I, LLC</w:t>
            </w:r>
          </w:p>
        </w:tc>
        <w:tc>
          <w:tcPr>
            <w:tcW w:w="1040" w:type="dxa"/>
            <w:vAlign w:val="bottom"/>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9"/>
              </w:rPr>
              <w:t>12/21/2020</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9.25%</w:t>
            </w:r>
          </w:p>
        </w:tc>
        <w:tc>
          <w:tcPr>
            <w:tcW w:w="11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L+825</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2"/>
              </w:rPr>
              <w:t>23,333,361</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23,071,460</w:t>
            </w:r>
          </w:p>
        </w:tc>
        <w:tc>
          <w:tcPr>
            <w:tcW w:w="1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22,210,559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Broder Bros., Co., Tranche A</w:t>
            </w:r>
          </w:p>
        </w:tc>
        <w:tc>
          <w:tcPr>
            <w:tcW w:w="10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06/03/2021</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7.00%</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L+575</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3"/>
              </w:rPr>
              <w:t>9,150,000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8,989,610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9,085,577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Broder Bros., Co., Tranche B</w:t>
            </w:r>
          </w:p>
        </w:tc>
        <w:tc>
          <w:tcPr>
            <w:tcW w:w="1040" w:type="dxa"/>
            <w:vAlign w:val="bottom"/>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9"/>
              </w:rPr>
              <w:t>06/03/2021</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13.50%</w:t>
            </w:r>
          </w:p>
        </w:tc>
        <w:tc>
          <w:tcPr>
            <w:tcW w:w="11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L+1,225</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9,225,000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9,058,699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9,160,048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0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10/21/2020</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9.00%</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L+800</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3"/>
              </w:rPr>
              <w:t>4,372,074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4,323,938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4,284,632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Interior Specialists, Inc.</w:t>
            </w:r>
          </w:p>
        </w:tc>
        <w:tc>
          <w:tcPr>
            <w:tcW w:w="1040" w:type="dxa"/>
            <w:vAlign w:val="bottom"/>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9"/>
              </w:rPr>
              <w:t>06/30/2020</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Building Materials</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9.00%</w:t>
            </w:r>
          </w:p>
        </w:tc>
        <w:tc>
          <w:tcPr>
            <w:tcW w:w="11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L+800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2"/>
              </w:rPr>
              <w:t>24,985,195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24,786,989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24,985,195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K2 Pure Solutions NoCal, L.P.</w:t>
            </w:r>
          </w:p>
        </w:tc>
        <w:tc>
          <w:tcPr>
            <w:tcW w:w="10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02/19/2021</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85"/>
              </w:rPr>
              <w:t>Chemicals, Plastics and Rubber</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10.00%</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L+900</w:t>
            </w:r>
          </w:p>
        </w:tc>
        <w:tc>
          <w:tcPr>
            <w:tcW w:w="8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2"/>
              </w:rPr>
              <w:t>14,522,529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14,273,869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14,244,486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LSF9 Atlantis Holdings, LLC</w:t>
            </w:r>
          </w:p>
        </w:tc>
        <w:tc>
          <w:tcPr>
            <w:tcW w:w="1040" w:type="dxa"/>
            <w:vAlign w:val="bottom"/>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9"/>
              </w:rPr>
              <w:t>01/15/2021</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10.00%</w:t>
            </w:r>
          </w:p>
        </w:tc>
        <w:tc>
          <w:tcPr>
            <w:tcW w:w="11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L+900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2"/>
              </w:rPr>
              <w:t>38,391,045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37,888,445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38,391,045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 xml:space="preserve">Prince Mineral Holding Corp. </w:t>
            </w:r>
            <w:r>
              <w:rPr>
                <w:rFonts w:ascii="Arial" w:cs="Arial" w:eastAsia="Arial" w:hAnsi="Arial"/>
                <w:sz w:val="10"/>
                <w:szCs w:val="10"/>
                <w:color w:val="auto"/>
              </w:rPr>
              <w:t>(5)</w:t>
            </w:r>
          </w:p>
        </w:tc>
        <w:tc>
          <w:tcPr>
            <w:tcW w:w="10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12/16/2019</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88"/>
              </w:rPr>
              <w:t>Mining, Steel, Iron and Non-Precious Metals</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11.50%</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2"/>
              </w:rPr>
              <w:t>14,250,000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14,156,176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13,359,375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Robertshaw US Holding Corp.</w:t>
            </w:r>
          </w:p>
        </w:tc>
        <w:tc>
          <w:tcPr>
            <w:tcW w:w="1040" w:type="dxa"/>
            <w:vAlign w:val="bottom"/>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9"/>
              </w:rPr>
              <w:t>06/18/2019</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Electronics</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8.50%</w:t>
            </w:r>
          </w:p>
        </w:tc>
        <w:tc>
          <w:tcPr>
            <w:tcW w:w="11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L+700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2"/>
              </w:rPr>
              <w:t>15,948,113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15,875,684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15,970,121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10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04/21/2017</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9.00%</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L+750</w:t>
            </w:r>
          </w:p>
        </w:tc>
        <w:tc>
          <w:tcPr>
            <w:tcW w:w="8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2"/>
              </w:rPr>
              <w:t>18,306,549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18,075,370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18,215,016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Triad Manufacturing, Inc.</w:t>
            </w:r>
          </w:p>
        </w:tc>
        <w:tc>
          <w:tcPr>
            <w:tcW w:w="1040" w:type="dxa"/>
            <w:vAlign w:val="bottom"/>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9"/>
              </w:rPr>
              <w:t>12/28/2020</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11.27%</w:t>
            </w:r>
          </w:p>
        </w:tc>
        <w:tc>
          <w:tcPr>
            <w:tcW w:w="11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L+1,075</w:t>
            </w:r>
            <w:r>
              <w:rPr>
                <w:rFonts w:ascii="Arial" w:cs="Arial" w:eastAsia="Arial" w:hAnsi="Arial"/>
                <w:sz w:val="10"/>
                <w:szCs w:val="10"/>
                <w:color w:val="auto"/>
              </w:rPr>
              <w:t>(7)</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2"/>
              </w:rPr>
              <w:t>28,859,421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28,349,720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28,859,421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 xml:space="preserve">Trust Inns Limited </w:t>
            </w:r>
            <w:r>
              <w:rPr>
                <w:rFonts w:ascii="Arial" w:cs="Arial" w:eastAsia="Arial" w:hAnsi="Arial"/>
                <w:sz w:val="10"/>
                <w:szCs w:val="10"/>
                <w:color w:val="auto"/>
              </w:rPr>
              <w:t>(9), (11), (12)</w:t>
            </w:r>
          </w:p>
        </w:tc>
        <w:tc>
          <w:tcPr>
            <w:tcW w:w="10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02/12/2020</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87"/>
              </w:rPr>
              <w:t>Buildings and Real Estate</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10.88%</w:t>
            </w:r>
          </w:p>
        </w:tc>
        <w:tc>
          <w:tcPr>
            <w:tcW w:w="11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(7)</w:t>
            </w: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2"/>
              </w:rPr>
              <w:t>22,512,751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35,990,065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28,703,752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US Med Acquisition, Inc.</w:t>
            </w:r>
          </w:p>
        </w:tc>
        <w:tc>
          <w:tcPr>
            <w:tcW w:w="1040" w:type="dxa"/>
            <w:vAlign w:val="bottom"/>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9"/>
              </w:rPr>
              <w:t>08/13/2021</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10.00%</w:t>
            </w:r>
          </w:p>
        </w:tc>
        <w:tc>
          <w:tcPr>
            <w:tcW w:w="11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L+900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8,651,563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8,651,563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8,651,563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940" w:type="dxa"/>
            <w:vAlign w:val="bottom"/>
          </w:tcPr>
          <w:p>
            <w:pPr>
              <w:spacing w:after="0" w:line="121" w:lineRule="exact"/>
              <w:rPr>
                <w:sz w:val="20"/>
                <w:szCs w:val="20"/>
                <w:color w:val="auto"/>
              </w:rPr>
            </w:pPr>
            <w:r>
              <w:rPr>
                <w:rFonts w:ascii="Arial" w:cs="Arial" w:eastAsia="Arial" w:hAnsi="Arial"/>
                <w:sz w:val="13"/>
                <w:szCs w:val="13"/>
                <w:color w:val="auto"/>
              </w:rPr>
              <w:t>U.S. Well Services, LLC</w:t>
            </w:r>
          </w:p>
        </w:tc>
        <w:tc>
          <w:tcPr>
            <w:tcW w:w="1040" w:type="dxa"/>
            <w:vAlign w:val="bottom"/>
          </w:tcPr>
          <w:p>
            <w:pPr>
              <w:jc w:val="center"/>
              <w:ind w:left="77"/>
              <w:spacing w:after="0" w:line="121" w:lineRule="exact"/>
              <w:rPr>
                <w:sz w:val="20"/>
                <w:szCs w:val="20"/>
                <w:color w:val="auto"/>
              </w:rPr>
            </w:pPr>
            <w:r>
              <w:rPr>
                <w:rFonts w:ascii="Arial" w:cs="Arial" w:eastAsia="Arial" w:hAnsi="Arial"/>
                <w:sz w:val="13"/>
                <w:szCs w:val="13"/>
                <w:color w:val="auto"/>
                <w:w w:val="89"/>
              </w:rPr>
              <w:t>05/02/2019</w:t>
            </w:r>
          </w:p>
        </w:tc>
        <w:tc>
          <w:tcPr>
            <w:tcW w:w="2960" w:type="dxa"/>
            <w:vAlign w:val="bottom"/>
          </w:tcPr>
          <w:p>
            <w:pPr>
              <w:jc w:val="center"/>
              <w:spacing w:after="0" w:line="121" w:lineRule="exact"/>
              <w:rPr>
                <w:sz w:val="20"/>
                <w:szCs w:val="20"/>
                <w:color w:val="auto"/>
              </w:rPr>
            </w:pPr>
            <w:r>
              <w:rPr>
                <w:rFonts w:ascii="Arial" w:cs="Arial" w:eastAsia="Arial" w:hAnsi="Arial"/>
                <w:sz w:val="13"/>
                <w:szCs w:val="13"/>
                <w:color w:val="auto"/>
                <w:w w:val="87"/>
              </w:rPr>
              <w:t>Oil and Gas</w:t>
            </w:r>
          </w:p>
        </w:tc>
        <w:tc>
          <w:tcPr>
            <w:tcW w:w="960" w:type="dxa"/>
            <w:vAlign w:val="bottom"/>
          </w:tcPr>
          <w:p>
            <w:pPr>
              <w:jc w:val="right"/>
              <w:ind w:right="37"/>
              <w:spacing w:after="0" w:line="121" w:lineRule="exact"/>
              <w:rPr>
                <w:sz w:val="20"/>
                <w:szCs w:val="20"/>
                <w:color w:val="auto"/>
              </w:rPr>
            </w:pPr>
            <w:r>
              <w:rPr>
                <w:rFonts w:ascii="Arial" w:cs="Arial" w:eastAsia="Arial" w:hAnsi="Arial"/>
                <w:sz w:val="13"/>
                <w:szCs w:val="13"/>
                <w:color w:val="auto"/>
              </w:rPr>
              <w:t>14.02%</w:t>
            </w:r>
          </w:p>
        </w:tc>
        <w:tc>
          <w:tcPr>
            <w:tcW w:w="11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L+1,350</w:t>
            </w:r>
            <w:r>
              <w:rPr>
                <w:rFonts w:ascii="Arial" w:cs="Arial" w:eastAsia="Arial" w:hAnsi="Arial"/>
                <w:sz w:val="10"/>
                <w:szCs w:val="10"/>
                <w:color w:val="auto"/>
              </w:rPr>
              <w:t>(7)</w:t>
            </w:r>
          </w:p>
        </w:tc>
        <w:tc>
          <w:tcPr>
            <w:tcW w:w="80" w:type="dxa"/>
            <w:vAlign w:val="bottom"/>
          </w:tcPr>
          <w:p>
            <w:pPr>
              <w:spacing w:after="0"/>
              <w:rPr>
                <w:sz w:val="10"/>
                <w:szCs w:val="10"/>
                <w:color w:val="auto"/>
              </w:rPr>
            </w:pPr>
          </w:p>
        </w:tc>
        <w:tc>
          <w:tcPr>
            <w:tcW w:w="64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w w:val="82"/>
              </w:rPr>
              <w:t>14,988,321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w w:val="95"/>
              </w:rPr>
              <w:t>14,796,715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w w:val="95"/>
              </w:rPr>
              <w:t>12,912,527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(PIK 14.02%)</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104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5"/>
              </w:rPr>
              <w:t>258,288,303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249,033,317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Second Lien Secured Debt—61.0%</w:t>
            </w:r>
          </w:p>
        </w:tc>
        <w:tc>
          <w:tcPr>
            <w:tcW w:w="10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9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w:t>
            </w:r>
          </w:p>
        </w:tc>
        <w:tc>
          <w:tcPr>
            <w:tcW w:w="1040" w:type="dxa"/>
            <w:vAlign w:val="bottom"/>
            <w:shd w:val="clear" w:color="auto" w:fill="CCEEFF"/>
          </w:tcPr>
          <w:p>
            <w:pPr>
              <w:jc w:val="center"/>
              <w:ind w:left="77"/>
              <w:spacing w:after="0" w:line="121" w:lineRule="exact"/>
              <w:rPr>
                <w:sz w:val="20"/>
                <w:szCs w:val="20"/>
                <w:color w:val="auto"/>
              </w:rPr>
            </w:pPr>
            <w:r>
              <w:rPr>
                <w:rFonts w:ascii="Arial" w:cs="Arial" w:eastAsia="Arial" w:hAnsi="Arial"/>
                <w:sz w:val="13"/>
                <w:szCs w:val="13"/>
                <w:color w:val="auto"/>
                <w:w w:val="89"/>
              </w:rPr>
              <w:t>09/01/2017</w:t>
            </w:r>
          </w:p>
        </w:tc>
        <w:tc>
          <w:tcPr>
            <w:tcW w:w="29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Diversified Natural Resources, Precious Metals and</w:t>
            </w:r>
          </w:p>
        </w:tc>
        <w:tc>
          <w:tcPr>
            <w:tcW w:w="96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10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w w:val="82"/>
              </w:rPr>
              <w:t>25,400,000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w w:val="95"/>
              </w:rPr>
              <w:t>25,400,000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line="121" w:lineRule="exact"/>
              <w:rPr>
                <w:sz w:val="20"/>
                <w:szCs w:val="20"/>
                <w:color w:val="auto"/>
              </w:rPr>
            </w:pPr>
            <w:r>
              <w:rPr>
                <w:rFonts w:ascii="Arial" w:cs="Arial" w:eastAsia="Arial" w:hAnsi="Arial"/>
                <w:sz w:val="13"/>
                <w:szCs w:val="13"/>
                <w:color w:val="auto"/>
                <w:w w:val="95"/>
              </w:rPr>
              <w:t>17,780,000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Minerals</w:t>
            </w: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 xml:space="preserve">Balboa Capital Corporation </w:t>
            </w:r>
            <w:r>
              <w:rPr>
                <w:rFonts w:ascii="Arial" w:cs="Arial" w:eastAsia="Arial" w:hAnsi="Arial"/>
                <w:sz w:val="10"/>
                <w:szCs w:val="10"/>
                <w:color w:val="auto"/>
              </w:rPr>
              <w:t>(12)</w:t>
            </w:r>
          </w:p>
        </w:tc>
        <w:tc>
          <w:tcPr>
            <w:tcW w:w="10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03/04/2022</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13.75%</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2"/>
              </w:rPr>
              <w:t>28,500,000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28,253,554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28,500,000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Bennu Oil &amp; Gas, LLC</w:t>
            </w:r>
          </w:p>
        </w:tc>
        <w:tc>
          <w:tcPr>
            <w:tcW w:w="1040" w:type="dxa"/>
            <w:vAlign w:val="bottom"/>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9"/>
              </w:rPr>
              <w:t>11/01/2018</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1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2"/>
              </w:rPr>
              <w:t>26,979,281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25,422,260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8,633,370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Howard Berger Co. LLC</w:t>
            </w:r>
          </w:p>
        </w:tc>
        <w:tc>
          <w:tcPr>
            <w:tcW w:w="10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09/30/2020</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95"/>
              </w:rPr>
              <w:t>Distribution</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11.00%</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L+1,000</w:t>
            </w:r>
          </w:p>
        </w:tc>
        <w:tc>
          <w:tcPr>
            <w:tcW w:w="8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2"/>
              </w:rPr>
              <w:t>41,250,000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39,419,316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37,125,000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Intermediate Transportation 100, LLC </w:t>
            </w:r>
            <w:r>
              <w:rPr>
                <w:rFonts w:ascii="Arial" w:cs="Arial" w:eastAsia="Arial" w:hAnsi="Arial"/>
                <w:sz w:val="10"/>
                <w:szCs w:val="10"/>
                <w:color w:val="auto"/>
              </w:rPr>
              <w:t>(5)</w:t>
            </w:r>
          </w:p>
        </w:tc>
        <w:tc>
          <w:tcPr>
            <w:tcW w:w="1040" w:type="dxa"/>
            <w:vAlign w:val="bottom"/>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9"/>
              </w:rPr>
              <w:t>03/01/2017</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Cargo Transport</w:t>
            </w:r>
          </w:p>
        </w:tc>
        <w:tc>
          <w:tcPr>
            <w:tcW w:w="9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1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4,887,760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3,739,797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2,932,656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Jacobs Entertainment, Inc.</w:t>
            </w:r>
          </w:p>
        </w:tc>
        <w:tc>
          <w:tcPr>
            <w:tcW w:w="10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10/29/2019</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13.00%</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L+1,175</w:t>
            </w:r>
          </w:p>
        </w:tc>
        <w:tc>
          <w:tcPr>
            <w:tcW w:w="8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2"/>
              </w:rPr>
              <w:t>51,775,000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51,362,786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51,775,000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MailSouth, Inc.</w:t>
            </w:r>
          </w:p>
        </w:tc>
        <w:tc>
          <w:tcPr>
            <w:tcW w:w="1040" w:type="dxa"/>
            <w:vAlign w:val="bottom"/>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9"/>
              </w:rPr>
              <w:t>10/22/2021</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Printing and Publishing</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11.50%</w:t>
            </w:r>
          </w:p>
        </w:tc>
        <w:tc>
          <w:tcPr>
            <w:tcW w:w="11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L+1,050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2"/>
              </w:rPr>
              <w:t>26,425,000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25,926,258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26,425,000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Novitex Acquisition, LLC</w:t>
            </w:r>
          </w:p>
        </w:tc>
        <w:tc>
          <w:tcPr>
            <w:tcW w:w="10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07/07/2021</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12.25%</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L+1,100</w:t>
            </w:r>
          </w:p>
        </w:tc>
        <w:tc>
          <w:tcPr>
            <w:tcW w:w="8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2"/>
              </w:rPr>
              <w:t>41,250,000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40,929,816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41,250,000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Parq Holdings Limited Partnership </w:t>
            </w:r>
            <w:r>
              <w:rPr>
                <w:rFonts w:ascii="Arial" w:cs="Arial" w:eastAsia="Arial" w:hAnsi="Arial"/>
                <w:sz w:val="10"/>
                <w:szCs w:val="10"/>
                <w:color w:val="auto"/>
              </w:rPr>
              <w:t>(9), (12)</w:t>
            </w:r>
          </w:p>
        </w:tc>
        <w:tc>
          <w:tcPr>
            <w:tcW w:w="1040" w:type="dxa"/>
            <w:vAlign w:val="bottom"/>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9"/>
              </w:rPr>
              <w:t>12/17/2021</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13.00%</w:t>
            </w:r>
          </w:p>
        </w:tc>
        <w:tc>
          <w:tcPr>
            <w:tcW w:w="11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L+1,200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2"/>
              </w:rPr>
              <w:t>75,000,000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75,000,000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76,229,058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Penton Media, Inc.</w:t>
            </w:r>
          </w:p>
        </w:tc>
        <w:tc>
          <w:tcPr>
            <w:tcW w:w="10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10/02/2020</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95"/>
              </w:rPr>
              <w:t>Media</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9.00%</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L+775</w:t>
            </w:r>
          </w:p>
        </w:tc>
        <w:tc>
          <w:tcPr>
            <w:tcW w:w="8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2"/>
              </w:rPr>
              <w:t>18,270,159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18,101,798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18,201,646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Pre-Paid Legal Services, Inc.</w:t>
            </w:r>
          </w:p>
        </w:tc>
        <w:tc>
          <w:tcPr>
            <w:tcW w:w="1040" w:type="dxa"/>
            <w:vAlign w:val="bottom"/>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9"/>
              </w:rPr>
              <w:t>07/01/2020</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Personal, Food and Miscellaneous Services</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10.25%</w:t>
            </w:r>
          </w:p>
        </w:tc>
        <w:tc>
          <w:tcPr>
            <w:tcW w:w="11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L+900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2"/>
              </w:rPr>
              <w:t>56,750,000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56,202,295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56,087,727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Prime Security Services Borrower, LLC</w:t>
            </w:r>
          </w:p>
        </w:tc>
        <w:tc>
          <w:tcPr>
            <w:tcW w:w="10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07/01/2022</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86"/>
              </w:rPr>
              <w:t>Personal, Food and Miscellaneous Services</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9.75%</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L+875</w:t>
            </w:r>
          </w:p>
        </w:tc>
        <w:tc>
          <w:tcPr>
            <w:tcW w:w="8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2"/>
              </w:rPr>
              <w:t>14,798,077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14,613,655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15,029,371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VT Buyer Acquisition Corp.</w:t>
            </w:r>
          </w:p>
        </w:tc>
        <w:tc>
          <w:tcPr>
            <w:tcW w:w="1040" w:type="dxa"/>
            <w:vAlign w:val="bottom"/>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9"/>
              </w:rPr>
              <w:t>01/30/2023</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10.75%</w:t>
            </w:r>
          </w:p>
        </w:tc>
        <w:tc>
          <w:tcPr>
            <w:tcW w:w="11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L+975</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2"/>
              </w:rPr>
              <w:t>12,862,500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12,441,130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12,862,500</w:t>
            </w:r>
          </w:p>
        </w:tc>
        <w:tc>
          <w:tcPr>
            <w:tcW w:w="0" w:type="dxa"/>
            <w:vAlign w:val="bottom"/>
          </w:tcPr>
          <w:p>
            <w:pPr>
              <w:spacing w:after="0"/>
              <w:rPr>
                <w:sz w:val="1"/>
                <w:szCs w:val="1"/>
                <w:color w:val="auto"/>
              </w:rPr>
            </w:pPr>
          </w:p>
        </w:tc>
      </w:tr>
      <w:tr>
        <w:trPr>
          <w:trHeight w:val="149"/>
        </w:trPr>
        <w:tc>
          <w:tcPr>
            <w:tcW w:w="29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Second Lien Secured Debt</w:t>
            </w:r>
          </w:p>
        </w:tc>
        <w:tc>
          <w:tcPr>
            <w:tcW w:w="10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416,812,665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392,831,328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Subordinated Debt/Corporate Notes—15.9%</w:t>
            </w:r>
          </w:p>
        </w:tc>
        <w:tc>
          <w:tcPr>
            <w:tcW w:w="104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Alegeus Technologies, LLC</w:t>
            </w:r>
          </w:p>
        </w:tc>
        <w:tc>
          <w:tcPr>
            <w:tcW w:w="10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02/15/2019</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13.00%</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L+1,200</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3"/>
              </w:rPr>
              <w:t>8,930,000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8,844,669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8,831,201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Cascade Environmental LLC</w:t>
            </w:r>
          </w:p>
        </w:tc>
        <w:tc>
          <w:tcPr>
            <w:tcW w:w="1040" w:type="dxa"/>
            <w:vAlign w:val="bottom"/>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9"/>
              </w:rPr>
              <w:t>08/20/2021</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Environmental Services</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12.00%</w:t>
            </w:r>
          </w:p>
        </w:tc>
        <w:tc>
          <w:tcPr>
            <w:tcW w:w="11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2"/>
              </w:rPr>
              <w:t>32,675,553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32,055,101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32,675,553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940" w:type="dxa"/>
            <w:vAlign w:val="bottom"/>
          </w:tcPr>
          <w:p>
            <w:pPr>
              <w:spacing w:after="0" w:line="121" w:lineRule="exact"/>
              <w:rPr>
                <w:sz w:val="20"/>
                <w:szCs w:val="20"/>
                <w:color w:val="auto"/>
              </w:rPr>
            </w:pPr>
            <w:r>
              <w:rPr>
                <w:rFonts w:ascii="Arial" w:cs="Arial" w:eastAsia="Arial" w:hAnsi="Arial"/>
                <w:sz w:val="13"/>
                <w:szCs w:val="13"/>
                <w:color w:val="auto"/>
              </w:rPr>
              <w:t>Credit Infonet, Inc.</w:t>
            </w:r>
          </w:p>
        </w:tc>
        <w:tc>
          <w:tcPr>
            <w:tcW w:w="1040" w:type="dxa"/>
            <w:vAlign w:val="bottom"/>
          </w:tcPr>
          <w:p>
            <w:pPr>
              <w:jc w:val="center"/>
              <w:ind w:left="77"/>
              <w:spacing w:after="0" w:line="121" w:lineRule="exact"/>
              <w:rPr>
                <w:sz w:val="20"/>
                <w:szCs w:val="20"/>
                <w:color w:val="auto"/>
              </w:rPr>
            </w:pPr>
            <w:r>
              <w:rPr>
                <w:rFonts w:ascii="Arial" w:cs="Arial" w:eastAsia="Arial" w:hAnsi="Arial"/>
                <w:sz w:val="13"/>
                <w:szCs w:val="13"/>
                <w:color w:val="auto"/>
                <w:w w:val="89"/>
              </w:rPr>
              <w:t>10/26/2018</w:t>
            </w:r>
          </w:p>
        </w:tc>
        <w:tc>
          <w:tcPr>
            <w:tcW w:w="2960" w:type="dxa"/>
            <w:vAlign w:val="bottom"/>
          </w:tcPr>
          <w:p>
            <w:pPr>
              <w:jc w:val="center"/>
              <w:spacing w:after="0" w:line="121" w:lineRule="exact"/>
              <w:rPr>
                <w:sz w:val="20"/>
                <w:szCs w:val="20"/>
                <w:color w:val="auto"/>
              </w:rPr>
            </w:pPr>
            <w:r>
              <w:rPr>
                <w:rFonts w:ascii="Arial" w:cs="Arial" w:eastAsia="Arial" w:hAnsi="Arial"/>
                <w:sz w:val="13"/>
                <w:szCs w:val="13"/>
                <w:color w:val="auto"/>
                <w:w w:val="86"/>
              </w:rPr>
              <w:t>Personal, Food and Miscellaneous Services</w:t>
            </w:r>
          </w:p>
        </w:tc>
        <w:tc>
          <w:tcPr>
            <w:tcW w:w="960" w:type="dxa"/>
            <w:vAlign w:val="bottom"/>
          </w:tcPr>
          <w:p>
            <w:pPr>
              <w:jc w:val="right"/>
              <w:ind w:right="37"/>
              <w:spacing w:after="0" w:line="121" w:lineRule="exact"/>
              <w:rPr>
                <w:sz w:val="20"/>
                <w:szCs w:val="20"/>
                <w:color w:val="auto"/>
              </w:rPr>
            </w:pPr>
            <w:r>
              <w:rPr>
                <w:rFonts w:ascii="Arial" w:cs="Arial" w:eastAsia="Arial" w:hAnsi="Arial"/>
                <w:sz w:val="13"/>
                <w:szCs w:val="13"/>
                <w:color w:val="auto"/>
              </w:rPr>
              <w:t>13.00%</w:t>
            </w:r>
          </w:p>
        </w:tc>
        <w:tc>
          <w:tcPr>
            <w:tcW w:w="110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w w:val="82"/>
              </w:rPr>
              <w:t>11,035,083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w w:val="95"/>
              </w:rPr>
              <w:t>10,937,329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w w:val="95"/>
              </w:rPr>
              <w:t>10,538,501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(PIK 1.75%)</w:t>
            </w: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940" w:type="dxa"/>
            <w:vAlign w:val="bottom"/>
            <w:shd w:val="clear" w:color="auto" w:fill="CCEEFF"/>
          </w:tcPr>
          <w:p>
            <w:pPr>
              <w:spacing w:after="0" w:line="124" w:lineRule="exact"/>
              <w:rPr>
                <w:sz w:val="20"/>
                <w:szCs w:val="20"/>
                <w:color w:val="auto"/>
              </w:rPr>
            </w:pPr>
            <w:r>
              <w:rPr>
                <w:rFonts w:ascii="Arial" w:cs="Arial" w:eastAsia="Arial" w:hAnsi="Arial"/>
                <w:sz w:val="13"/>
                <w:szCs w:val="13"/>
                <w:color w:val="auto"/>
              </w:rPr>
              <w:t xml:space="preserve">Goldsun Trading Limited </w:t>
            </w:r>
            <w:r>
              <w:rPr>
                <w:rFonts w:ascii="Arial" w:cs="Arial" w:eastAsia="Arial" w:hAnsi="Arial"/>
                <w:sz w:val="10"/>
                <w:szCs w:val="10"/>
                <w:color w:val="auto"/>
              </w:rPr>
              <w:t>(9), (11), (12)</w:t>
            </w:r>
          </w:p>
        </w:tc>
        <w:tc>
          <w:tcPr>
            <w:tcW w:w="1040" w:type="dxa"/>
            <w:vAlign w:val="bottom"/>
            <w:shd w:val="clear" w:color="auto" w:fill="CCEEFF"/>
          </w:tcPr>
          <w:p>
            <w:pPr>
              <w:jc w:val="center"/>
              <w:ind w:left="77"/>
              <w:spacing w:after="0" w:line="124" w:lineRule="exact"/>
              <w:rPr>
                <w:sz w:val="20"/>
                <w:szCs w:val="20"/>
                <w:color w:val="auto"/>
              </w:rPr>
            </w:pPr>
            <w:r>
              <w:rPr>
                <w:rFonts w:ascii="Arial" w:cs="Arial" w:eastAsia="Arial" w:hAnsi="Arial"/>
                <w:sz w:val="13"/>
                <w:szCs w:val="13"/>
                <w:color w:val="auto"/>
                <w:w w:val="89"/>
              </w:rPr>
              <w:t>02/19/2018</w:t>
            </w:r>
          </w:p>
        </w:tc>
        <w:tc>
          <w:tcPr>
            <w:tcW w:w="2960" w:type="dxa"/>
            <w:vAlign w:val="bottom"/>
            <w:shd w:val="clear" w:color="auto" w:fill="CCEEFF"/>
          </w:tcPr>
          <w:p>
            <w:pPr>
              <w:jc w:val="center"/>
              <w:spacing w:after="0" w:line="124" w:lineRule="exact"/>
              <w:rPr>
                <w:sz w:val="20"/>
                <w:szCs w:val="20"/>
                <w:color w:val="auto"/>
              </w:rPr>
            </w:pPr>
            <w:r>
              <w:rPr>
                <w:rFonts w:ascii="Arial" w:cs="Arial" w:eastAsia="Arial" w:hAnsi="Arial"/>
                <w:sz w:val="13"/>
                <w:szCs w:val="13"/>
                <w:color w:val="auto"/>
                <w:w w:val="87"/>
              </w:rPr>
              <w:t>Healthcare, Education and Childcare</w:t>
            </w:r>
          </w:p>
        </w:tc>
        <w:tc>
          <w:tcPr>
            <w:tcW w:w="960" w:type="dxa"/>
            <w:vAlign w:val="bottom"/>
            <w:shd w:val="clear" w:color="auto" w:fill="CCEEFF"/>
          </w:tcPr>
          <w:p>
            <w:pPr>
              <w:jc w:val="right"/>
              <w:ind w:right="37"/>
              <w:spacing w:after="0" w:line="124" w:lineRule="exact"/>
              <w:rPr>
                <w:sz w:val="20"/>
                <w:szCs w:val="20"/>
                <w:color w:val="auto"/>
              </w:rPr>
            </w:pPr>
            <w:r>
              <w:rPr>
                <w:rFonts w:ascii="Arial" w:cs="Arial" w:eastAsia="Arial" w:hAnsi="Arial"/>
                <w:sz w:val="13"/>
                <w:szCs w:val="13"/>
                <w:color w:val="auto"/>
              </w:rPr>
              <w:t>14.50%</w:t>
            </w:r>
          </w:p>
        </w:tc>
        <w:tc>
          <w:tcPr>
            <w:tcW w:w="1100" w:type="dxa"/>
            <w:vAlign w:val="bottom"/>
            <w:gridSpan w:val="2"/>
            <w:shd w:val="clear" w:color="auto" w:fill="CCEEFF"/>
          </w:tcPr>
          <w:p>
            <w:pPr>
              <w:jc w:val="right"/>
              <w:ind w:right="260"/>
              <w:spacing w:after="0" w:line="124" w:lineRule="exact"/>
              <w:rPr>
                <w:sz w:val="20"/>
                <w:szCs w:val="20"/>
                <w:color w:val="auto"/>
              </w:rPr>
            </w:pPr>
            <w:r>
              <w:rPr>
                <w:rFonts w:ascii="Arial" w:cs="Arial" w:eastAsia="Arial" w:hAnsi="Arial"/>
                <w:sz w:val="13"/>
                <w:szCs w:val="13"/>
                <w:color w:val="auto"/>
              </w:rPr>
              <w:t>L+1,000</w:t>
            </w:r>
          </w:p>
        </w:tc>
        <w:tc>
          <w:tcPr>
            <w:tcW w:w="8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color w:val="auto"/>
                <w:w w:val="93"/>
              </w:rPr>
              <w:t>8,375,600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4" w:lineRule="exact"/>
              <w:rPr>
                <w:sz w:val="20"/>
                <w:szCs w:val="20"/>
                <w:color w:val="auto"/>
              </w:rPr>
            </w:pPr>
            <w:r>
              <w:rPr>
                <w:rFonts w:ascii="Arial" w:cs="Arial" w:eastAsia="Arial" w:hAnsi="Arial"/>
                <w:sz w:val="13"/>
                <w:szCs w:val="13"/>
                <w:color w:val="auto"/>
                <w:w w:val="95"/>
              </w:rPr>
              <w:t>12,306,414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3"/>
                <w:szCs w:val="13"/>
                <w:color w:val="auto"/>
                <w:w w:val="95"/>
              </w:rPr>
              <w:t>10,855,976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(PIK 6.00%)</w:t>
            </w: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Randall-Reilly, LLC</w:t>
            </w:r>
          </w:p>
        </w:tc>
        <w:tc>
          <w:tcPr>
            <w:tcW w:w="10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04/15/2020</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12.00%</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2"/>
              </w:rPr>
              <w:t>26,500,000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26,617,239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26,309,750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Roto Holdings, Inc.</w:t>
            </w:r>
          </w:p>
        </w:tc>
        <w:tc>
          <w:tcPr>
            <w:tcW w:w="1040" w:type="dxa"/>
            <w:vAlign w:val="bottom"/>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9"/>
              </w:rPr>
              <w:t>05/13/2021</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11.00%</w:t>
            </w:r>
          </w:p>
        </w:tc>
        <w:tc>
          <w:tcPr>
            <w:tcW w:w="11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2"/>
              </w:rPr>
              <w:t>13,300,000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13,090,281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13,300,000</w:t>
            </w:r>
          </w:p>
        </w:tc>
        <w:tc>
          <w:tcPr>
            <w:tcW w:w="0" w:type="dxa"/>
            <w:vAlign w:val="bottom"/>
          </w:tcPr>
          <w:p>
            <w:pPr>
              <w:spacing w:after="0"/>
              <w:rPr>
                <w:sz w:val="1"/>
                <w:szCs w:val="1"/>
                <w:color w:val="auto"/>
              </w:rPr>
            </w:pPr>
          </w:p>
        </w:tc>
      </w:tr>
      <w:tr>
        <w:trPr>
          <w:trHeight w:val="149"/>
        </w:trPr>
        <w:tc>
          <w:tcPr>
            <w:tcW w:w="29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Subordinated Debt/Corporate Notes</w:t>
            </w:r>
          </w:p>
        </w:tc>
        <w:tc>
          <w:tcPr>
            <w:tcW w:w="10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103,851,033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102,510,981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9"/>
              </w:rPr>
              <w:t xml:space="preserve">Preferred Equity/Partnership Interests—0.8% </w:t>
            </w:r>
            <w:r>
              <w:rPr>
                <w:rFonts w:ascii="Arial" w:cs="Arial" w:eastAsia="Arial" w:hAnsi="Arial"/>
                <w:sz w:val="10"/>
                <w:szCs w:val="10"/>
                <w:b w:val="1"/>
                <w:bCs w:val="1"/>
                <w:color w:val="auto"/>
                <w:w w:val="99"/>
              </w:rPr>
              <w:t>(6)</w:t>
            </w:r>
          </w:p>
        </w:tc>
        <w:tc>
          <w:tcPr>
            <w:tcW w:w="104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AH Holdings, Inc.</w:t>
            </w:r>
          </w:p>
        </w:tc>
        <w:tc>
          <w:tcPr>
            <w:tcW w:w="104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1"/>
              </w:rPr>
              <w:t>—</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6.00%</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211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128,457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1040" w:type="dxa"/>
            <w:vAlign w:val="bottom"/>
            <w:shd w:val="clear" w:color="auto" w:fill="CCEEFF"/>
          </w:tcPr>
          <w:p>
            <w:pPr>
              <w:jc w:val="center"/>
              <w:ind w:left="57"/>
              <w:spacing w:after="0" w:line="135" w:lineRule="exact"/>
              <w:rPr>
                <w:sz w:val="20"/>
                <w:szCs w:val="20"/>
                <w:color w:val="auto"/>
              </w:rPr>
            </w:pPr>
            <w:r>
              <w:rPr>
                <w:rFonts w:ascii="Arial" w:cs="Arial" w:eastAsia="Arial" w:hAnsi="Arial"/>
                <w:sz w:val="13"/>
                <w:szCs w:val="13"/>
                <w:color w:val="auto"/>
                <w:w w:val="91"/>
              </w:rPr>
              <w:t>—</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949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949,050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1,081,633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104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1"/>
              </w:rPr>
              <w:t>—</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91"/>
              </w:rPr>
              <w:t>Electronics</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8.00%</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2,375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2,088,121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2,396,892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HW Holdco, LLC</w:t>
            </w:r>
          </w:p>
        </w:tc>
        <w:tc>
          <w:tcPr>
            <w:tcW w:w="1040" w:type="dxa"/>
            <w:vAlign w:val="bottom"/>
            <w:shd w:val="clear" w:color="auto" w:fill="CCEEFF"/>
          </w:tcPr>
          <w:p>
            <w:pPr>
              <w:jc w:val="center"/>
              <w:ind w:left="57"/>
              <w:spacing w:after="0" w:line="135" w:lineRule="exact"/>
              <w:rPr>
                <w:sz w:val="20"/>
                <w:szCs w:val="20"/>
                <w:color w:val="auto"/>
              </w:rPr>
            </w:pPr>
            <w:r>
              <w:rPr>
                <w:rFonts w:ascii="Arial" w:cs="Arial" w:eastAsia="Arial" w:hAnsi="Arial"/>
                <w:sz w:val="13"/>
                <w:szCs w:val="13"/>
                <w:color w:val="auto"/>
                <w:w w:val="91"/>
              </w:rPr>
              <w:t>—</w:t>
            </w:r>
          </w:p>
        </w:tc>
        <w:tc>
          <w:tcPr>
            <w:tcW w:w="2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8.00%</w:t>
            </w:r>
          </w:p>
        </w:tc>
        <w:tc>
          <w:tcPr>
            <w:tcW w:w="11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3,591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32,476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104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1"/>
              </w:rPr>
              <w:t>—</w:t>
            </w:r>
          </w:p>
        </w:tc>
        <w:tc>
          <w:tcPr>
            <w:tcW w:w="2960" w:type="dxa"/>
            <w:vAlign w:val="bottom"/>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9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1,197</w:t>
            </w: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1,197,000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1,404,944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Preferred Equity/Partnership Interests</w:t>
            </w:r>
          </w:p>
        </w:tc>
        <w:tc>
          <w:tcPr>
            <w:tcW w:w="104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4,734,171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5,044,402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90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Maturity /</w:t>
            </w:r>
          </w:p>
        </w:tc>
        <w:tc>
          <w:tcPr>
            <w:tcW w:w="2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4"/>
              </w:rPr>
              <w:t>Basis Point</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1020" w:type="dxa"/>
            <w:vAlign w:val="bottom"/>
          </w:tcPr>
          <w:p>
            <w:pPr>
              <w:jc w:val="right"/>
              <w:ind w:right="237"/>
              <w:spacing w:after="0" w:line="126" w:lineRule="exact"/>
              <w:rPr>
                <w:sz w:val="20"/>
                <w:szCs w:val="20"/>
                <w:color w:val="auto"/>
              </w:rPr>
            </w:pPr>
            <w:r>
              <w:rPr>
                <w:rFonts w:ascii="Arial" w:cs="Arial" w:eastAsia="Arial" w:hAnsi="Arial"/>
                <w:sz w:val="13"/>
                <w:szCs w:val="13"/>
                <w:b w:val="1"/>
                <w:bCs w:val="1"/>
                <w:color w:val="auto"/>
              </w:rPr>
              <w:t>Current</w:t>
            </w:r>
          </w:p>
        </w:tc>
        <w:tc>
          <w:tcPr>
            <w:tcW w:w="9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6"/>
              </w:rPr>
              <w:t>Spread Above</w:t>
            </w:r>
          </w:p>
        </w:tc>
        <w:tc>
          <w:tcPr>
            <w:tcW w:w="760" w:type="dxa"/>
            <w:vAlign w:val="bottom"/>
          </w:tcPr>
          <w:p>
            <w:pPr>
              <w:jc w:val="right"/>
              <w:ind w:right="217"/>
              <w:spacing w:after="0" w:line="126" w:lineRule="exact"/>
              <w:rPr>
                <w:sz w:val="20"/>
                <w:szCs w:val="20"/>
                <w:color w:val="auto"/>
              </w:rPr>
            </w:pPr>
            <w:r>
              <w:rPr>
                <w:rFonts w:ascii="Arial" w:cs="Arial" w:eastAsia="Arial" w:hAnsi="Arial"/>
                <w:sz w:val="13"/>
                <w:szCs w:val="13"/>
                <w:b w:val="1"/>
                <w:bCs w:val="1"/>
                <w:color w:val="auto"/>
              </w:rPr>
              <w:t>Par /</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500" w:type="dxa"/>
            <w:vAlign w:val="bottom"/>
            <w:gridSpan w:val="2"/>
          </w:tcPr>
          <w:p>
            <w:pPr>
              <w:spacing w:after="0"/>
              <w:rPr>
                <w:sz w:val="20"/>
                <w:szCs w:val="20"/>
                <w:color w:val="auto"/>
              </w:rPr>
            </w:pPr>
            <w:r>
              <w:rPr>
                <w:rFonts w:ascii="Arial" w:cs="Arial" w:eastAsia="Arial" w:hAnsi="Arial"/>
                <w:sz w:val="13"/>
                <w:szCs w:val="13"/>
                <w:b w:val="1"/>
                <w:bCs w:val="1"/>
                <w:color w:val="auto"/>
              </w:rPr>
              <w:t>Issuer Name</w:t>
            </w:r>
          </w:p>
        </w:tc>
        <w:tc>
          <w:tcPr>
            <w:tcW w:w="900" w:type="dxa"/>
            <w:vAlign w:val="bottom"/>
          </w:tcPr>
          <w:p>
            <w:pPr>
              <w:ind w:left="60"/>
              <w:spacing w:after="0"/>
              <w:rPr>
                <w:sz w:val="20"/>
                <w:szCs w:val="20"/>
                <w:color w:val="auto"/>
              </w:rPr>
            </w:pPr>
            <w:r>
              <w:rPr>
                <w:rFonts w:ascii="Arial" w:cs="Arial" w:eastAsia="Arial" w:hAnsi="Arial"/>
                <w:sz w:val="13"/>
                <w:szCs w:val="13"/>
                <w:b w:val="1"/>
                <w:bCs w:val="1"/>
                <w:color w:val="auto"/>
              </w:rPr>
              <w:t>Expiration</w:t>
            </w: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Industry</w:t>
            </w:r>
          </w:p>
        </w:tc>
        <w:tc>
          <w:tcPr>
            <w:tcW w:w="1020" w:type="dxa"/>
            <w:vAlign w:val="bottom"/>
          </w:tcPr>
          <w:p>
            <w:pPr>
              <w:jc w:val="right"/>
              <w:ind w:right="237"/>
              <w:spacing w:after="0"/>
              <w:rPr>
                <w:sz w:val="20"/>
                <w:szCs w:val="20"/>
                <w:color w:val="auto"/>
              </w:rPr>
            </w:pPr>
            <w:r>
              <w:rPr>
                <w:rFonts w:ascii="Arial" w:cs="Arial" w:eastAsia="Arial" w:hAnsi="Arial"/>
                <w:sz w:val="13"/>
                <w:szCs w:val="13"/>
                <w:b w:val="1"/>
                <w:bCs w:val="1"/>
                <w:color w:val="auto"/>
              </w:rPr>
              <w:t>Coupon</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76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4"/>
                <w:szCs w:val="14"/>
                <w:color w:val="auto"/>
              </w:rPr>
            </w:pPr>
          </w:p>
        </w:tc>
        <w:tc>
          <w:tcPr>
            <w:tcW w:w="740" w:type="dxa"/>
            <w:vAlign w:val="bottom"/>
            <w:gridSpan w:val="3"/>
          </w:tcPr>
          <w:p>
            <w:pPr>
              <w:ind w:left="16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w w:val="94"/>
              </w:rPr>
              <w:t xml:space="preserve">Fair Value </w:t>
            </w:r>
            <w:r>
              <w:rPr>
                <w:rFonts w:ascii="Arial" w:cs="Arial" w:eastAsia="Arial" w:hAnsi="Arial"/>
                <w:sz w:val="10"/>
                <w:szCs w:val="10"/>
                <w:b w:val="1"/>
                <w:bCs w:val="1"/>
                <w:color w:val="auto"/>
                <w:w w:val="94"/>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6"/>
              </w:rPr>
              <w:t xml:space="preserve">Common Equity/Partnership Interests/Warrants—10.0% </w:t>
            </w:r>
            <w:r>
              <w:rPr>
                <w:rFonts w:ascii="Arial" w:cs="Arial" w:eastAsia="Arial" w:hAnsi="Arial"/>
                <w:sz w:val="10"/>
                <w:szCs w:val="10"/>
                <w:b w:val="1"/>
                <w:bCs w:val="1"/>
                <w:color w:val="auto"/>
                <w:w w:val="96"/>
              </w:rPr>
              <w:t>(6)</w:t>
            </w:r>
          </w:p>
        </w:tc>
        <w:tc>
          <w:tcPr>
            <w:tcW w:w="900" w:type="dxa"/>
            <w:vAlign w:val="bottom"/>
            <w:tcBorders>
              <w:top w:val="single" w:sz="8" w:color="auto"/>
            </w:tcBorders>
            <w:shd w:val="clear" w:color="auto" w:fill="CCEEFF"/>
          </w:tcPr>
          <w:p>
            <w:pPr>
              <w:spacing w:after="0"/>
              <w:rPr>
                <w:sz w:val="11"/>
                <w:szCs w:val="11"/>
                <w:color w:val="auto"/>
              </w:rPr>
            </w:pPr>
          </w:p>
        </w:tc>
        <w:tc>
          <w:tcPr>
            <w:tcW w:w="266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tcPr>
          <w:p>
            <w:pPr>
              <w:spacing w:after="0" w:line="121" w:lineRule="exact"/>
              <w:rPr>
                <w:sz w:val="20"/>
                <w:szCs w:val="20"/>
                <w:color w:val="auto"/>
              </w:rPr>
            </w:pPr>
            <w:r>
              <w:rPr>
                <w:rFonts w:ascii="Arial" w:cs="Arial" w:eastAsia="Arial" w:hAnsi="Arial"/>
                <w:sz w:val="13"/>
                <w:szCs w:val="13"/>
                <w:color w:val="auto"/>
              </w:rPr>
              <w:t>AH Holdings, Inc. (Warrants)</w:t>
            </w:r>
          </w:p>
        </w:tc>
        <w:tc>
          <w:tcPr>
            <w:tcW w:w="900" w:type="dxa"/>
            <w:vAlign w:val="bottom"/>
          </w:tcPr>
          <w:p>
            <w:pPr>
              <w:jc w:val="center"/>
              <w:ind w:right="137"/>
              <w:spacing w:after="0" w:line="121" w:lineRule="exact"/>
              <w:rPr>
                <w:sz w:val="20"/>
                <w:szCs w:val="20"/>
                <w:color w:val="auto"/>
              </w:rPr>
            </w:pPr>
            <w:r>
              <w:rPr>
                <w:rFonts w:ascii="Arial" w:cs="Arial" w:eastAsia="Arial" w:hAnsi="Arial"/>
                <w:sz w:val="13"/>
                <w:szCs w:val="13"/>
                <w:color w:val="auto"/>
                <w:w w:val="89"/>
              </w:rPr>
              <w:t>03/23/2021</w:t>
            </w:r>
          </w:p>
        </w:tc>
        <w:tc>
          <w:tcPr>
            <w:tcW w:w="2660" w:type="dxa"/>
            <w:vAlign w:val="bottom"/>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102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753</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3"/>
          </w:tcPr>
          <w:p>
            <w:pPr>
              <w:jc w:val="right"/>
              <w:ind w:right="120"/>
              <w:spacing w:after="0" w:line="121" w:lineRule="exact"/>
              <w:rPr>
                <w:sz w:val="20"/>
                <w:szCs w:val="20"/>
                <w:color w:val="auto"/>
              </w:rPr>
            </w:pPr>
            <w:r>
              <w:rPr>
                <w:rFonts w:ascii="Arial" w:cs="Arial" w:eastAsia="Arial" w:hAnsi="Arial"/>
                <w:sz w:val="13"/>
                <w:szCs w:val="13"/>
                <w:color w:val="auto"/>
              </w:rPr>
              <w:t>—</w:t>
            </w:r>
          </w:p>
        </w:tc>
        <w:tc>
          <w:tcPr>
            <w:tcW w:w="180" w:type="dxa"/>
            <w:vAlign w:val="bottom"/>
            <w:gridSpan w:val="2"/>
          </w:tcPr>
          <w:p>
            <w:pPr>
              <w:ind w:left="100"/>
              <w:spacing w:after="0" w:line="121" w:lineRule="exact"/>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color w:val="auto"/>
                <w:w w:val="87"/>
              </w:rPr>
              <w:t>Childcare</w:t>
            </w: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950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1,083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ASP LCG Holdings, Inc. (Warrants)</w:t>
            </w:r>
          </w:p>
        </w:tc>
        <w:tc>
          <w:tcPr>
            <w:tcW w:w="900" w:type="dxa"/>
            <w:vAlign w:val="bottom"/>
          </w:tcPr>
          <w:p>
            <w:pPr>
              <w:jc w:val="center"/>
              <w:ind w:right="137"/>
              <w:spacing w:after="0" w:line="135" w:lineRule="exact"/>
              <w:rPr>
                <w:sz w:val="20"/>
                <w:szCs w:val="20"/>
                <w:color w:val="auto"/>
              </w:rPr>
            </w:pPr>
            <w:r>
              <w:rPr>
                <w:rFonts w:ascii="Arial" w:cs="Arial" w:eastAsia="Arial" w:hAnsi="Arial"/>
                <w:sz w:val="13"/>
                <w:szCs w:val="13"/>
                <w:color w:val="auto"/>
                <w:w w:val="89"/>
              </w:rPr>
              <w:t>05/05/2026</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89"/>
              </w:rPr>
              <w:t>Education</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933</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586,975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1,192,535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Autumn Games, LLC</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Broadcasting and Entertainment</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1,333,330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3,000,000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tcPr>
          <w:p>
            <w:pPr>
              <w:spacing w:after="0" w:line="121" w:lineRule="exact"/>
              <w:rPr>
                <w:sz w:val="20"/>
                <w:szCs w:val="20"/>
                <w:color w:val="auto"/>
              </w:rPr>
            </w:pPr>
            <w:r>
              <w:rPr>
                <w:rFonts w:ascii="Arial" w:cs="Arial" w:eastAsia="Arial" w:hAnsi="Arial"/>
                <w:sz w:val="13"/>
                <w:szCs w:val="13"/>
                <w:color w:val="auto"/>
              </w:rPr>
              <w:t xml:space="preserve">Cardinal Logistics Holdings LLC </w:t>
            </w:r>
            <w:r>
              <w:rPr>
                <w:rFonts w:ascii="Arial" w:cs="Arial" w:eastAsia="Arial" w:hAnsi="Arial"/>
                <w:sz w:val="10"/>
                <w:szCs w:val="10"/>
                <w:color w:val="auto"/>
              </w:rPr>
              <w:t>(10)</w:t>
            </w:r>
          </w:p>
        </w:tc>
        <w:tc>
          <w:tcPr>
            <w:tcW w:w="900" w:type="dxa"/>
            <w:vAlign w:val="bottom"/>
          </w:tcPr>
          <w:p>
            <w:pPr>
              <w:jc w:val="center"/>
              <w:ind w:right="157"/>
              <w:spacing w:after="0" w:line="121" w:lineRule="exact"/>
              <w:rPr>
                <w:sz w:val="20"/>
                <w:szCs w:val="20"/>
                <w:color w:val="auto"/>
              </w:rPr>
            </w:pPr>
            <w:r>
              <w:rPr>
                <w:rFonts w:ascii="Arial" w:cs="Arial" w:eastAsia="Arial" w:hAnsi="Arial"/>
                <w:sz w:val="13"/>
                <w:szCs w:val="13"/>
                <w:color w:val="auto"/>
                <w:w w:val="91"/>
              </w:rPr>
              <w:t>—</w:t>
            </w:r>
          </w:p>
        </w:tc>
        <w:tc>
          <w:tcPr>
            <w:tcW w:w="2660" w:type="dxa"/>
            <w:vAlign w:val="bottom"/>
          </w:tcPr>
          <w:p>
            <w:pPr>
              <w:jc w:val="center"/>
              <w:spacing w:after="0" w:line="121" w:lineRule="exact"/>
              <w:rPr>
                <w:sz w:val="20"/>
                <w:szCs w:val="20"/>
                <w:color w:val="auto"/>
              </w:rPr>
            </w:pPr>
            <w:r>
              <w:rPr>
                <w:rFonts w:ascii="Arial" w:cs="Arial" w:eastAsia="Arial" w:hAnsi="Arial"/>
                <w:sz w:val="13"/>
                <w:szCs w:val="13"/>
                <w:color w:val="auto"/>
                <w:w w:val="88"/>
              </w:rPr>
              <w:t>Cargo Transport</w:t>
            </w:r>
          </w:p>
        </w:tc>
        <w:tc>
          <w:tcPr>
            <w:tcW w:w="102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137,923</w:t>
            </w:r>
          </w:p>
        </w:tc>
        <w:tc>
          <w:tcPr>
            <w:tcW w:w="80" w:type="dxa"/>
            <w:vAlign w:val="bottom"/>
          </w:tcPr>
          <w:p>
            <w:pPr>
              <w:spacing w:after="0"/>
              <w:rPr>
                <w:sz w:val="10"/>
                <w:szCs w:val="10"/>
                <w:color w:val="auto"/>
              </w:rPr>
            </w:pPr>
          </w:p>
        </w:tc>
        <w:tc>
          <w:tcPr>
            <w:tcW w:w="740" w:type="dxa"/>
            <w:vAlign w:val="bottom"/>
            <w:gridSpan w:val="3"/>
          </w:tcPr>
          <w:p>
            <w:pPr>
              <w:jc w:val="right"/>
              <w:ind w:right="120"/>
              <w:spacing w:after="0" w:line="121" w:lineRule="exact"/>
              <w:rPr>
                <w:sz w:val="20"/>
                <w:szCs w:val="20"/>
                <w:color w:val="auto"/>
              </w:rPr>
            </w:pPr>
            <w:r>
              <w:rPr>
                <w:rFonts w:ascii="Arial" w:cs="Arial" w:eastAsia="Arial" w:hAnsi="Arial"/>
                <w:sz w:val="13"/>
                <w:szCs w:val="13"/>
                <w:color w:val="auto"/>
              </w:rPr>
              <w:t>2,111,588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ind w:left="120"/>
              <w:spacing w:after="0"/>
              <w:rPr>
                <w:sz w:val="20"/>
                <w:szCs w:val="20"/>
                <w:color w:val="auto"/>
              </w:rPr>
            </w:pPr>
            <w:r>
              <w:rPr>
                <w:rFonts w:ascii="Arial" w:cs="Arial" w:eastAsia="Arial" w:hAnsi="Arial"/>
                <w:sz w:val="13"/>
                <w:szCs w:val="13"/>
                <w:color w:val="auto"/>
              </w:rPr>
              <w:t>(Intermediate Transportation 100, LLC)</w:t>
            </w:r>
          </w:p>
        </w:tc>
        <w:tc>
          <w:tcPr>
            <w:tcW w:w="9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Cascade Environmental LLC </w:t>
            </w:r>
            <w:r>
              <w:rPr>
                <w:rFonts w:ascii="Arial" w:cs="Arial" w:eastAsia="Arial" w:hAnsi="Arial"/>
                <w:sz w:val="10"/>
                <w:szCs w:val="10"/>
                <w:color w:val="auto"/>
              </w:rPr>
              <w:t>(10)</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23,600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2,360,000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5,194,738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 xml:space="preserve">CI (Galls) Prime Investment Holdings, LLC </w:t>
            </w:r>
            <w:r>
              <w:rPr>
                <w:rFonts w:ascii="Arial" w:cs="Arial" w:eastAsia="Arial" w:hAnsi="Arial"/>
                <w:sz w:val="10"/>
                <w:szCs w:val="10"/>
                <w:color w:val="auto"/>
              </w:rPr>
              <w:t>(10)</w:t>
            </w:r>
          </w:p>
        </w:tc>
        <w:tc>
          <w:tcPr>
            <w:tcW w:w="90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1,745,639</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1,745,639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3,637,907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2,375</w:t>
            </w:r>
          </w:p>
        </w:tc>
        <w:tc>
          <w:tcPr>
            <w:tcW w:w="8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2,671,422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e.l.f. Beauty, Inc.</w:t>
            </w:r>
          </w:p>
        </w:tc>
        <w:tc>
          <w:tcPr>
            <w:tcW w:w="90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938,399</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2,513,193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25,141,220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Faraday Holdings, LLC (Interior Specialists, Inc.)</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3"/>
              </w:rPr>
              <w:t>Building Materials</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4,277</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217,635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354,555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HW Holdco, LLC</w:t>
            </w:r>
          </w:p>
        </w:tc>
        <w:tc>
          <w:tcPr>
            <w:tcW w:w="90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388,378</w:t>
            </w:r>
          </w:p>
        </w:tc>
        <w:tc>
          <w:tcPr>
            <w:tcW w:w="80" w:type="dxa"/>
            <w:vAlign w:val="bottom"/>
          </w:tcPr>
          <w:p>
            <w:pPr>
              <w:spacing w:after="0"/>
              <w:rPr>
                <w:sz w:val="11"/>
                <w:szCs w:val="11"/>
                <w:color w:val="auto"/>
              </w:rPr>
            </w:pPr>
          </w:p>
        </w:tc>
        <w:tc>
          <w:tcPr>
            <w:tcW w:w="74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3,512,420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Kadmon Holdings, Inc.</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Education and Childcare</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252,014</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2,265,639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1,849,783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 xml:space="preserve">LaMi Acquisition, LLC </w:t>
            </w:r>
            <w:r>
              <w:rPr>
                <w:rFonts w:ascii="Arial" w:cs="Arial" w:eastAsia="Arial" w:hAnsi="Arial"/>
                <w:sz w:val="10"/>
                <w:szCs w:val="10"/>
                <w:color w:val="auto"/>
              </w:rPr>
              <w:t>(10)</w:t>
            </w:r>
          </w:p>
        </w:tc>
        <w:tc>
          <w:tcPr>
            <w:tcW w:w="90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19</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493,280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526,382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Lariat ecoserv Co-Invest Holdings, LLC </w:t>
            </w:r>
            <w:r>
              <w:rPr>
                <w:rFonts w:ascii="Arial" w:cs="Arial" w:eastAsia="Arial" w:hAnsi="Arial"/>
                <w:sz w:val="10"/>
                <w:szCs w:val="10"/>
                <w:color w:val="auto"/>
              </w:rPr>
              <w:t>(10)</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1,000,000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1,000,000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tcPr>
          <w:p>
            <w:pPr>
              <w:spacing w:after="0" w:line="121" w:lineRule="exact"/>
              <w:rPr>
                <w:sz w:val="20"/>
                <w:szCs w:val="20"/>
                <w:color w:val="auto"/>
              </w:rPr>
            </w:pPr>
            <w:r>
              <w:rPr>
                <w:rFonts w:ascii="Arial" w:cs="Arial" w:eastAsia="Arial" w:hAnsi="Arial"/>
                <w:sz w:val="13"/>
                <w:szCs w:val="13"/>
                <w:color w:val="auto"/>
              </w:rPr>
              <w:t>MidOcean PPL Holdings, Corp.</w:t>
            </w:r>
          </w:p>
        </w:tc>
        <w:tc>
          <w:tcPr>
            <w:tcW w:w="900" w:type="dxa"/>
            <w:vAlign w:val="bottom"/>
          </w:tcPr>
          <w:p>
            <w:pPr>
              <w:jc w:val="center"/>
              <w:ind w:right="157"/>
              <w:spacing w:after="0" w:line="121" w:lineRule="exact"/>
              <w:rPr>
                <w:sz w:val="20"/>
                <w:szCs w:val="20"/>
                <w:color w:val="auto"/>
              </w:rPr>
            </w:pPr>
            <w:r>
              <w:rPr>
                <w:rFonts w:ascii="Arial" w:cs="Arial" w:eastAsia="Arial" w:hAnsi="Arial"/>
                <w:sz w:val="13"/>
                <w:szCs w:val="13"/>
                <w:color w:val="auto"/>
                <w:w w:val="91"/>
              </w:rPr>
              <w:t>—</w:t>
            </w:r>
          </w:p>
        </w:tc>
        <w:tc>
          <w:tcPr>
            <w:tcW w:w="2660" w:type="dxa"/>
            <w:vAlign w:val="bottom"/>
          </w:tcPr>
          <w:p>
            <w:pPr>
              <w:jc w:val="center"/>
              <w:spacing w:after="0" w:line="121" w:lineRule="exact"/>
              <w:rPr>
                <w:sz w:val="20"/>
                <w:szCs w:val="20"/>
                <w:color w:val="auto"/>
              </w:rPr>
            </w:pPr>
            <w:r>
              <w:rPr>
                <w:rFonts w:ascii="Arial" w:cs="Arial" w:eastAsia="Arial" w:hAnsi="Arial"/>
                <w:sz w:val="13"/>
                <w:szCs w:val="13"/>
                <w:color w:val="auto"/>
                <w:w w:val="86"/>
              </w:rPr>
              <w:t>Personal, Food and Miscellaneous Services</w:t>
            </w:r>
          </w:p>
        </w:tc>
        <w:tc>
          <w:tcPr>
            <w:tcW w:w="102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3,000</w:t>
            </w:r>
          </w:p>
        </w:tc>
        <w:tc>
          <w:tcPr>
            <w:tcW w:w="80" w:type="dxa"/>
            <w:vAlign w:val="bottom"/>
          </w:tcPr>
          <w:p>
            <w:pPr>
              <w:spacing w:after="0"/>
              <w:rPr>
                <w:sz w:val="10"/>
                <w:szCs w:val="10"/>
                <w:color w:val="auto"/>
              </w:rPr>
            </w:pPr>
          </w:p>
        </w:tc>
        <w:tc>
          <w:tcPr>
            <w:tcW w:w="64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3,000,000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5,959,292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ind w:left="120"/>
              <w:spacing w:after="0"/>
              <w:rPr>
                <w:sz w:val="20"/>
                <w:szCs w:val="20"/>
                <w:color w:val="auto"/>
              </w:rPr>
            </w:pPr>
            <w:r>
              <w:rPr>
                <w:rFonts w:ascii="Arial" w:cs="Arial" w:eastAsia="Arial" w:hAnsi="Arial"/>
                <w:sz w:val="13"/>
                <w:szCs w:val="13"/>
                <w:color w:val="auto"/>
              </w:rPr>
              <w:t>(Pre-Paid Legal Services, Inc.)</w:t>
            </w:r>
          </w:p>
        </w:tc>
        <w:tc>
          <w:tcPr>
            <w:tcW w:w="9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Patriot National, Inc.</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Insurance</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100,885</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238,038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908,974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 xml:space="preserve">Power Products Holdings, LLC, Class A Units </w:t>
            </w:r>
            <w:r>
              <w:rPr>
                <w:rFonts w:ascii="Arial" w:cs="Arial" w:eastAsia="Arial" w:hAnsi="Arial"/>
                <w:sz w:val="10"/>
                <w:szCs w:val="10"/>
                <w:color w:val="auto"/>
              </w:rPr>
              <w:t>(10)</w:t>
            </w:r>
          </w:p>
        </w:tc>
        <w:tc>
          <w:tcPr>
            <w:tcW w:w="90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1,350,000</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901,263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1,223,409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Power Products Holdings, LLC, Class B Units </w:t>
            </w:r>
            <w:r>
              <w:rPr>
                <w:rFonts w:ascii="Arial" w:cs="Arial" w:eastAsia="Arial" w:hAnsi="Arial"/>
                <w:sz w:val="10"/>
                <w:szCs w:val="10"/>
                <w:color w:val="auto"/>
              </w:rPr>
              <w:t>(10)</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150,000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142,300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2,800,010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90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88"/>
              </w:rPr>
              <w:t>Manufacturing / Basic Industries</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1,330</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133,000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1,022,594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Vestcom Parent Holdings, Inc.</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Printing and Publishing</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211,797</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793,873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8,051,139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0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9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2"/>
              </w:rPr>
              <w:t>21,503,373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64,047,463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7"/>
              </w:rPr>
              <w:t>Total Investments in Non-Controlled, Non-Affiliated Portfolio Companies</w:t>
            </w:r>
          </w:p>
        </w:tc>
        <w:tc>
          <w:tcPr>
            <w:tcW w:w="26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82"/>
              </w:rPr>
              <w:t>805,189,545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813,467,491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40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w w:val="93"/>
              </w:rPr>
              <w:t xml:space="preserve">Investments in Non-Controlled, Affiliated Portfolio Companies—33.5% </w:t>
            </w:r>
            <w:r>
              <w:rPr>
                <w:rFonts w:ascii="Arial" w:cs="Arial" w:eastAsia="Arial" w:hAnsi="Arial"/>
                <w:sz w:val="10"/>
                <w:szCs w:val="10"/>
                <w:b w:val="1"/>
                <w:bCs w:val="1"/>
                <w:color w:val="auto"/>
                <w:w w:val="93"/>
              </w:rPr>
              <w:t>(1), (2)</w:t>
            </w:r>
          </w:p>
        </w:tc>
        <w:tc>
          <w:tcPr>
            <w:tcW w:w="2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First Lien Secured Debt—8.3%</w:t>
            </w:r>
          </w:p>
        </w:tc>
        <w:tc>
          <w:tcPr>
            <w:tcW w:w="90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Corfin Industries LLC</w:t>
            </w:r>
          </w:p>
        </w:tc>
        <w:tc>
          <w:tcPr>
            <w:tcW w:w="90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86"/>
              </w:rPr>
              <w:t>11/25/2020</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10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10.75%</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L+975</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5"/>
              </w:rPr>
              <w:t>23,522,250</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2"/>
              </w:rPr>
              <w:t>23,114,058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23,522,250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Corfin Industries LLC (Revolver) </w:t>
            </w:r>
            <w:r>
              <w:rPr>
                <w:rFonts w:ascii="Arial" w:cs="Arial" w:eastAsia="Arial" w:hAnsi="Arial"/>
                <w:sz w:val="10"/>
                <w:szCs w:val="10"/>
                <w:color w:val="auto"/>
              </w:rPr>
              <w:t>(8)</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86"/>
              </w:rPr>
              <w:t>11/25/2020</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1,942,623</w:t>
            </w:r>
          </w:p>
        </w:tc>
        <w:tc>
          <w:tcPr>
            <w:tcW w:w="8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tcPr>
          <w:p>
            <w:pPr>
              <w:spacing w:after="0" w:line="121" w:lineRule="exact"/>
              <w:rPr>
                <w:sz w:val="20"/>
                <w:szCs w:val="20"/>
                <w:color w:val="auto"/>
              </w:rPr>
            </w:pPr>
            <w:r>
              <w:rPr>
                <w:rFonts w:ascii="Arial" w:cs="Arial" w:eastAsia="Arial" w:hAnsi="Arial"/>
                <w:sz w:val="13"/>
                <w:szCs w:val="13"/>
                <w:color w:val="auto"/>
              </w:rPr>
              <w:t>PAS Technologies, Inc.</w:t>
            </w:r>
          </w:p>
        </w:tc>
        <w:tc>
          <w:tcPr>
            <w:tcW w:w="900" w:type="dxa"/>
            <w:vAlign w:val="bottom"/>
          </w:tcPr>
          <w:p>
            <w:pPr>
              <w:jc w:val="center"/>
              <w:ind w:right="137"/>
              <w:spacing w:after="0" w:line="121" w:lineRule="exact"/>
              <w:rPr>
                <w:sz w:val="20"/>
                <w:szCs w:val="20"/>
                <w:color w:val="auto"/>
              </w:rPr>
            </w:pPr>
            <w:r>
              <w:rPr>
                <w:rFonts w:ascii="Arial" w:cs="Arial" w:eastAsia="Arial" w:hAnsi="Arial"/>
                <w:sz w:val="13"/>
                <w:szCs w:val="13"/>
                <w:color w:val="auto"/>
                <w:w w:val="89"/>
              </w:rPr>
              <w:t>03/21/2017</w:t>
            </w:r>
          </w:p>
        </w:tc>
        <w:tc>
          <w:tcPr>
            <w:tcW w:w="2660" w:type="dxa"/>
            <w:vAlign w:val="bottom"/>
          </w:tcPr>
          <w:p>
            <w:pPr>
              <w:jc w:val="center"/>
              <w:spacing w:after="0" w:line="121" w:lineRule="exact"/>
              <w:rPr>
                <w:sz w:val="20"/>
                <w:szCs w:val="20"/>
                <w:color w:val="auto"/>
              </w:rPr>
            </w:pPr>
            <w:r>
              <w:rPr>
                <w:rFonts w:ascii="Arial" w:cs="Arial" w:eastAsia="Arial" w:hAnsi="Arial"/>
                <w:sz w:val="13"/>
                <w:szCs w:val="13"/>
                <w:color w:val="auto"/>
                <w:w w:val="86"/>
              </w:rPr>
              <w:t>Aerospace and Defense</w:t>
            </w:r>
          </w:p>
        </w:tc>
        <w:tc>
          <w:tcPr>
            <w:tcW w:w="1020" w:type="dxa"/>
            <w:vAlign w:val="bottom"/>
          </w:tcPr>
          <w:p>
            <w:pPr>
              <w:jc w:val="right"/>
              <w:ind w:right="37"/>
              <w:spacing w:after="0" w:line="121" w:lineRule="exact"/>
              <w:rPr>
                <w:sz w:val="20"/>
                <w:szCs w:val="20"/>
                <w:color w:val="auto"/>
              </w:rPr>
            </w:pPr>
            <w:r>
              <w:rPr>
                <w:rFonts w:ascii="Arial" w:cs="Arial" w:eastAsia="Arial" w:hAnsi="Arial"/>
                <w:sz w:val="13"/>
                <w:szCs w:val="13"/>
                <w:color w:val="auto"/>
              </w:rPr>
              <w:t>6.01%</w:t>
            </w:r>
          </w:p>
        </w:tc>
        <w:tc>
          <w:tcPr>
            <w:tcW w:w="900" w:type="dxa"/>
            <w:vAlign w:val="bottom"/>
          </w:tcPr>
          <w:p>
            <w:pPr>
              <w:jc w:val="right"/>
              <w:ind w:right="17"/>
              <w:spacing w:after="0" w:line="121" w:lineRule="exact"/>
              <w:rPr>
                <w:sz w:val="20"/>
                <w:szCs w:val="20"/>
                <w:color w:val="auto"/>
              </w:rPr>
            </w:pPr>
            <w:r>
              <w:rPr>
                <w:rFonts w:ascii="Arial" w:cs="Arial" w:eastAsia="Arial" w:hAnsi="Arial"/>
                <w:sz w:val="13"/>
                <w:szCs w:val="13"/>
                <w:color w:val="auto"/>
              </w:rPr>
              <w:t>L+500</w:t>
            </w:r>
          </w:p>
        </w:tc>
        <w:tc>
          <w:tcPr>
            <w:tcW w:w="7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4,434,295</w:t>
            </w:r>
          </w:p>
        </w:tc>
        <w:tc>
          <w:tcPr>
            <w:tcW w:w="80" w:type="dxa"/>
            <w:vAlign w:val="bottom"/>
          </w:tcPr>
          <w:p>
            <w:pPr>
              <w:spacing w:after="0"/>
              <w:rPr>
                <w:sz w:val="10"/>
                <w:szCs w:val="10"/>
                <w:color w:val="auto"/>
              </w:rPr>
            </w:pPr>
          </w:p>
        </w:tc>
        <w:tc>
          <w:tcPr>
            <w:tcW w:w="64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3,357,949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3,946,523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(PIK 1.00%)</w:t>
            </w: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TRAK Acquisition Corp.</w:t>
            </w:r>
          </w:p>
        </w:tc>
        <w:tc>
          <w:tcPr>
            <w:tcW w:w="900" w:type="dxa"/>
            <w:vAlign w:val="bottom"/>
            <w:shd w:val="clear" w:color="auto" w:fill="CCEEFF"/>
          </w:tcPr>
          <w:p>
            <w:pPr>
              <w:jc w:val="center"/>
              <w:ind w:right="137"/>
              <w:spacing w:after="0" w:line="138" w:lineRule="exact"/>
              <w:rPr>
                <w:sz w:val="20"/>
                <w:szCs w:val="20"/>
                <w:color w:val="auto"/>
              </w:rPr>
            </w:pPr>
            <w:r>
              <w:rPr>
                <w:rFonts w:ascii="Arial" w:cs="Arial" w:eastAsia="Arial" w:hAnsi="Arial"/>
                <w:sz w:val="13"/>
                <w:szCs w:val="13"/>
                <w:color w:val="auto"/>
                <w:w w:val="89"/>
              </w:rPr>
              <w:t>04/30/2018</w:t>
            </w:r>
          </w:p>
        </w:tc>
        <w:tc>
          <w:tcPr>
            <w:tcW w:w="2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6"/>
              </w:rPr>
              <w:t>Business Services</w:t>
            </w:r>
          </w:p>
        </w:tc>
        <w:tc>
          <w:tcPr>
            <w:tcW w:w="1020" w:type="dxa"/>
            <w:vAlign w:val="bottom"/>
            <w:shd w:val="clear" w:color="auto" w:fill="CCEEFF"/>
          </w:tcPr>
          <w:p>
            <w:pPr>
              <w:jc w:val="right"/>
              <w:ind w:right="37"/>
              <w:spacing w:after="0" w:line="138" w:lineRule="exact"/>
              <w:rPr>
                <w:sz w:val="20"/>
                <w:szCs w:val="20"/>
                <w:color w:val="auto"/>
              </w:rPr>
            </w:pPr>
            <w:r>
              <w:rPr>
                <w:rFonts w:ascii="Arial" w:cs="Arial" w:eastAsia="Arial" w:hAnsi="Arial"/>
                <w:sz w:val="13"/>
                <w:szCs w:val="13"/>
                <w:color w:val="auto"/>
              </w:rPr>
              <w:t>12.00%</w:t>
            </w:r>
          </w:p>
        </w:tc>
        <w:tc>
          <w:tcPr>
            <w:tcW w:w="900" w:type="dxa"/>
            <w:vAlign w:val="bottom"/>
            <w:shd w:val="clear" w:color="auto" w:fill="CCEEFF"/>
          </w:tcPr>
          <w:p>
            <w:pPr>
              <w:jc w:val="right"/>
              <w:ind w:right="17"/>
              <w:spacing w:after="0" w:line="138" w:lineRule="exact"/>
              <w:rPr>
                <w:sz w:val="20"/>
                <w:szCs w:val="20"/>
                <w:color w:val="auto"/>
              </w:rPr>
            </w:pPr>
            <w:r>
              <w:rPr>
                <w:rFonts w:ascii="Arial" w:cs="Arial" w:eastAsia="Arial" w:hAnsi="Arial"/>
                <w:sz w:val="13"/>
                <w:szCs w:val="13"/>
                <w:color w:val="auto"/>
              </w:rPr>
              <w:t>L+1,050</w:t>
            </w:r>
          </w:p>
        </w:tc>
        <w:tc>
          <w:tcPr>
            <w:tcW w:w="760" w:type="dxa"/>
            <w:vAlign w:val="bottom"/>
            <w:shd w:val="clear" w:color="auto" w:fill="CCEEFF"/>
          </w:tcPr>
          <w:p>
            <w:pPr>
              <w:jc w:val="right"/>
              <w:ind w:right="57"/>
              <w:spacing w:after="0" w:line="138" w:lineRule="exact"/>
              <w:rPr>
                <w:sz w:val="20"/>
                <w:szCs w:val="20"/>
                <w:color w:val="auto"/>
              </w:rPr>
            </w:pPr>
            <w:r>
              <w:rPr>
                <w:rFonts w:ascii="Arial" w:cs="Arial" w:eastAsia="Arial" w:hAnsi="Arial"/>
                <w:sz w:val="13"/>
                <w:szCs w:val="13"/>
                <w:color w:val="auto"/>
                <w:w w:val="95"/>
              </w:rPr>
              <w:t>22,764,911</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w w:val="92"/>
              </w:rPr>
              <w:t>22,613,930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w w:val="95"/>
              </w:rPr>
              <w:t>22,764,911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TRAK Acquisition Corp. (Revolver)</w:t>
            </w:r>
          </w:p>
        </w:tc>
        <w:tc>
          <w:tcPr>
            <w:tcW w:w="90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86"/>
              </w:rPr>
              <w:t>11/22/2016</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10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L+1,050</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3,000,000</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3,000,000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3,000,000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90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2"/>
              </w:rPr>
              <w:t>52,085,937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53,233,684</w:t>
            </w:r>
          </w:p>
        </w:tc>
        <w:tc>
          <w:tcPr>
            <w:tcW w:w="0" w:type="dxa"/>
            <w:vAlign w:val="bottom"/>
          </w:tcPr>
          <w:p>
            <w:pPr>
              <w:spacing w:after="0"/>
              <w:rPr>
                <w:sz w:val="1"/>
                <w:szCs w:val="1"/>
                <w:color w:val="auto"/>
              </w:rPr>
            </w:pPr>
          </w:p>
        </w:tc>
      </w:tr>
      <w:tr>
        <w:trPr>
          <w:trHeight w:val="142"/>
        </w:trPr>
        <w:tc>
          <w:tcPr>
            <w:tcW w:w="350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Second Lien Secured Debt—3.9%</w:t>
            </w:r>
          </w:p>
        </w:tc>
        <w:tc>
          <w:tcPr>
            <w:tcW w:w="9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Inc.</w:t>
            </w:r>
          </w:p>
        </w:tc>
        <w:tc>
          <w:tcPr>
            <w:tcW w:w="900" w:type="dxa"/>
            <w:vAlign w:val="bottom"/>
            <w:shd w:val="clear" w:color="auto" w:fill="CCEEFF"/>
          </w:tcPr>
          <w:p>
            <w:pPr>
              <w:jc w:val="center"/>
              <w:ind w:right="137"/>
              <w:spacing w:after="0" w:line="135" w:lineRule="exact"/>
              <w:rPr>
                <w:sz w:val="20"/>
                <w:szCs w:val="20"/>
                <w:color w:val="auto"/>
              </w:rPr>
            </w:pPr>
            <w:r>
              <w:rPr>
                <w:rFonts w:ascii="Arial" w:cs="Arial" w:eastAsia="Arial" w:hAnsi="Arial"/>
                <w:sz w:val="13"/>
                <w:szCs w:val="13"/>
                <w:color w:val="auto"/>
                <w:w w:val="89"/>
              </w:rPr>
              <w:t>10/31/2018</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10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8.50%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L+700</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5"/>
              </w:rPr>
              <w:t>18,000,000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2"/>
              </w:rPr>
              <w:t>16,960,967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15,825,060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EnviroSolutions Real Property Holdings, Inc.</w:t>
            </w:r>
          </w:p>
        </w:tc>
        <w:tc>
          <w:tcPr>
            <w:tcW w:w="900" w:type="dxa"/>
            <w:vAlign w:val="bottom"/>
          </w:tcPr>
          <w:p>
            <w:pPr>
              <w:jc w:val="center"/>
              <w:ind w:right="137"/>
              <w:spacing w:after="0" w:line="135" w:lineRule="exact"/>
              <w:rPr>
                <w:sz w:val="20"/>
                <w:szCs w:val="20"/>
                <w:color w:val="auto"/>
              </w:rPr>
            </w:pPr>
            <w:r>
              <w:rPr>
                <w:rFonts w:ascii="Arial" w:cs="Arial" w:eastAsia="Arial" w:hAnsi="Arial"/>
                <w:sz w:val="13"/>
                <w:szCs w:val="13"/>
                <w:color w:val="auto"/>
                <w:w w:val="89"/>
              </w:rPr>
              <w:t>12/26/2017</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10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L+800</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9,409,740</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9,307,548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9,409,740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90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2"/>
              </w:rPr>
              <w:t>26,268,515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25,234,800</w:t>
            </w:r>
          </w:p>
        </w:tc>
        <w:tc>
          <w:tcPr>
            <w:tcW w:w="0" w:type="dxa"/>
            <w:vAlign w:val="bottom"/>
          </w:tcPr>
          <w:p>
            <w:pPr>
              <w:spacing w:after="0"/>
              <w:rPr>
                <w:sz w:val="1"/>
                <w:szCs w:val="1"/>
                <w:color w:val="auto"/>
              </w:rPr>
            </w:pPr>
          </w:p>
        </w:tc>
      </w:tr>
      <w:tr>
        <w:trPr>
          <w:trHeight w:val="142"/>
        </w:trPr>
        <w:tc>
          <w:tcPr>
            <w:tcW w:w="350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Subordinated Debt/Corporate Notes—11.7%</w:t>
            </w:r>
          </w:p>
        </w:tc>
        <w:tc>
          <w:tcPr>
            <w:tcW w:w="9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Affinion International Holdings Limited </w:t>
            </w:r>
            <w:r>
              <w:rPr>
                <w:rFonts w:ascii="Arial" w:cs="Arial" w:eastAsia="Arial" w:hAnsi="Arial"/>
                <w:sz w:val="10"/>
                <w:szCs w:val="10"/>
                <w:color w:val="auto"/>
              </w:rPr>
              <w:t>(5), (9), (12)</w:t>
            </w:r>
          </w:p>
        </w:tc>
        <w:tc>
          <w:tcPr>
            <w:tcW w:w="900" w:type="dxa"/>
            <w:vAlign w:val="bottom"/>
            <w:shd w:val="clear" w:color="auto" w:fill="CCEEFF"/>
          </w:tcPr>
          <w:p>
            <w:pPr>
              <w:jc w:val="center"/>
              <w:ind w:right="137"/>
              <w:spacing w:after="0" w:line="121" w:lineRule="exact"/>
              <w:rPr>
                <w:sz w:val="20"/>
                <w:szCs w:val="20"/>
                <w:color w:val="auto"/>
              </w:rPr>
            </w:pPr>
            <w:r>
              <w:rPr>
                <w:rFonts w:ascii="Arial" w:cs="Arial" w:eastAsia="Arial" w:hAnsi="Arial"/>
                <w:sz w:val="13"/>
                <w:szCs w:val="13"/>
                <w:color w:val="auto"/>
                <w:w w:val="89"/>
              </w:rPr>
              <w:t>07/30/2018</w:t>
            </w:r>
          </w:p>
        </w:tc>
        <w:tc>
          <w:tcPr>
            <w:tcW w:w="26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Consumer Products</w:t>
            </w:r>
          </w:p>
        </w:tc>
        <w:tc>
          <w:tcPr>
            <w:tcW w:w="102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7.50%</w:t>
            </w:r>
          </w:p>
        </w:tc>
        <w:tc>
          <w:tcPr>
            <w:tcW w:w="9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9,858,025</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8,946,674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8,995,448</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(PIK 4.00%)</w:t>
            </w:r>
          </w:p>
        </w:tc>
        <w:tc>
          <w:tcPr>
            <w:tcW w:w="9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DirectBuy Holdings, Inc.</w:t>
            </w:r>
          </w:p>
        </w:tc>
        <w:tc>
          <w:tcPr>
            <w:tcW w:w="90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86"/>
              </w:rPr>
              <w:t>11/05/2019</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10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5"/>
              </w:rPr>
              <w:t>14,735,238</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2"/>
              </w:rPr>
              <w:t>12,340,534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2,799,695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4"/>
              </w:rPr>
              <w:t>ETX Energy, LLC (f/k/a New Gulf Resources, LLC), Convertible</w:t>
            </w:r>
          </w:p>
        </w:tc>
        <w:tc>
          <w:tcPr>
            <w:tcW w:w="900" w:type="dxa"/>
            <w:vAlign w:val="bottom"/>
            <w:shd w:val="clear" w:color="auto" w:fill="CCEEFF"/>
          </w:tcPr>
          <w:p>
            <w:pPr>
              <w:jc w:val="center"/>
              <w:ind w:right="137"/>
              <w:spacing w:after="0" w:line="121" w:lineRule="exact"/>
              <w:rPr>
                <w:sz w:val="20"/>
                <w:szCs w:val="20"/>
                <w:color w:val="auto"/>
              </w:rPr>
            </w:pPr>
            <w:r>
              <w:rPr>
                <w:rFonts w:ascii="Arial" w:cs="Arial" w:eastAsia="Arial" w:hAnsi="Arial"/>
                <w:sz w:val="13"/>
                <w:szCs w:val="13"/>
                <w:color w:val="auto"/>
                <w:w w:val="89"/>
              </w:rPr>
              <w:t>05/03/2021</w:t>
            </w:r>
          </w:p>
        </w:tc>
        <w:tc>
          <w:tcPr>
            <w:tcW w:w="26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Oil and Gas</w:t>
            </w:r>
          </w:p>
        </w:tc>
        <w:tc>
          <w:tcPr>
            <w:tcW w:w="102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12.50%</w:t>
            </w:r>
          </w:p>
        </w:tc>
        <w:tc>
          <w:tcPr>
            <w:tcW w:w="9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w w:val="95"/>
              </w:rPr>
              <w:t>25,297,664</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w w:val="92"/>
              </w:rPr>
              <w:t>36,473,119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line="121" w:lineRule="exact"/>
              <w:rPr>
                <w:sz w:val="20"/>
                <w:szCs w:val="20"/>
                <w:color w:val="auto"/>
              </w:rPr>
            </w:pPr>
            <w:r>
              <w:rPr>
                <w:rFonts w:ascii="Arial" w:cs="Arial" w:eastAsia="Arial" w:hAnsi="Arial"/>
                <w:sz w:val="13"/>
                <w:szCs w:val="13"/>
                <w:color w:val="auto"/>
                <w:w w:val="95"/>
              </w:rPr>
              <w:t>35,416,730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 xml:space="preserve">Note </w:t>
            </w:r>
            <w:r>
              <w:rPr>
                <w:rFonts w:ascii="Arial" w:cs="Arial" w:eastAsia="Arial" w:hAnsi="Arial"/>
                <w:sz w:val="10"/>
                <w:szCs w:val="10"/>
                <w:color w:val="auto"/>
              </w:rPr>
              <w:t>(5)</w:t>
            </w:r>
          </w:p>
        </w:tc>
        <w:tc>
          <w:tcPr>
            <w:tcW w:w="90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(PIK 12.50%)</w:t>
            </w:r>
          </w:p>
        </w:tc>
        <w:tc>
          <w:tcPr>
            <w:tcW w:w="9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Service Champ, Inc.</w:t>
            </w:r>
          </w:p>
        </w:tc>
        <w:tc>
          <w:tcPr>
            <w:tcW w:w="900" w:type="dxa"/>
            <w:vAlign w:val="bottom"/>
          </w:tcPr>
          <w:p>
            <w:pPr>
              <w:jc w:val="center"/>
              <w:ind w:right="137"/>
              <w:spacing w:after="0" w:line="135" w:lineRule="exact"/>
              <w:rPr>
                <w:sz w:val="20"/>
                <w:szCs w:val="20"/>
                <w:color w:val="auto"/>
              </w:rPr>
            </w:pPr>
            <w:r>
              <w:rPr>
                <w:rFonts w:ascii="Arial" w:cs="Arial" w:eastAsia="Arial" w:hAnsi="Arial"/>
                <w:sz w:val="13"/>
                <w:szCs w:val="13"/>
                <w:color w:val="auto"/>
                <w:w w:val="89"/>
              </w:rPr>
              <w:t>10/02/2017</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88"/>
              </w:rPr>
              <w:t>Auto Sector</w:t>
            </w:r>
          </w:p>
        </w:tc>
        <w:tc>
          <w:tcPr>
            <w:tcW w:w="10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12.50%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5"/>
              </w:rPr>
              <w:t>28,000,000</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2"/>
              </w:rPr>
              <w:t>27,841,741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5"/>
              </w:rPr>
              <w:t>27,908,663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90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2"/>
              </w:rPr>
              <w:t>85,602,068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75,120,536</w:t>
            </w:r>
          </w:p>
        </w:tc>
        <w:tc>
          <w:tcPr>
            <w:tcW w:w="0" w:type="dxa"/>
            <w:vAlign w:val="bottom"/>
          </w:tcPr>
          <w:p>
            <w:pPr>
              <w:spacing w:after="0"/>
              <w:rPr>
                <w:sz w:val="1"/>
                <w:szCs w:val="1"/>
                <w:color w:val="auto"/>
              </w:rPr>
            </w:pPr>
          </w:p>
        </w:tc>
      </w:tr>
      <w:tr>
        <w:trPr>
          <w:trHeight w:val="142"/>
        </w:trPr>
        <w:tc>
          <w:tcPr>
            <w:tcW w:w="350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 xml:space="preserve">Preferred Equity—0.7% </w:t>
            </w:r>
            <w:r>
              <w:rPr>
                <w:rFonts w:ascii="Arial" w:cs="Arial" w:eastAsia="Arial" w:hAnsi="Arial"/>
                <w:sz w:val="10"/>
                <w:szCs w:val="10"/>
                <w:b w:val="1"/>
                <w:bCs w:val="1"/>
                <w:color w:val="auto"/>
              </w:rPr>
              <w:t>(6)</w:t>
            </w:r>
          </w:p>
        </w:tc>
        <w:tc>
          <w:tcPr>
            <w:tcW w:w="9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53,071</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2"/>
              </w:rPr>
              <w:t>20,059,340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4,287,107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50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w w:val="98"/>
              </w:rPr>
              <w:t xml:space="preserve">Common Equity/Partnership Interests/Warrants—8.9% </w:t>
            </w:r>
            <w:r>
              <w:rPr>
                <w:rFonts w:ascii="Arial" w:cs="Arial" w:eastAsia="Arial" w:hAnsi="Arial"/>
                <w:sz w:val="10"/>
                <w:szCs w:val="10"/>
                <w:b w:val="1"/>
                <w:bCs w:val="1"/>
                <w:color w:val="auto"/>
                <w:w w:val="98"/>
              </w:rPr>
              <w:t>(6)</w:t>
            </w:r>
          </w:p>
        </w:tc>
        <w:tc>
          <w:tcPr>
            <w:tcW w:w="9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859,496</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2"/>
              </w:rPr>
              <w:t>30,503,493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32,115,042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Affinion Group Holdings, Inc., Series C and Series D</w:t>
            </w:r>
          </w:p>
        </w:tc>
        <w:tc>
          <w:tcPr>
            <w:tcW w:w="90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37,181</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2"/>
              </w:rPr>
              <w:t>10,265,972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173,844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Corfin InvestCo, L.P.</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11,250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1,125,000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2,330,813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 xml:space="preserve">Corfin InvestCo, L.P. </w:t>
            </w:r>
            <w:r>
              <w:rPr>
                <w:rFonts w:ascii="Arial" w:cs="Arial" w:eastAsia="Arial" w:hAnsi="Arial"/>
                <w:sz w:val="10"/>
                <w:szCs w:val="10"/>
                <w:color w:val="auto"/>
              </w:rPr>
              <w:t>(8)</w:t>
            </w:r>
          </w:p>
        </w:tc>
        <w:tc>
          <w:tcPr>
            <w:tcW w:w="90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11,250</w:t>
            </w:r>
          </w:p>
        </w:tc>
        <w:tc>
          <w:tcPr>
            <w:tcW w:w="80" w:type="dxa"/>
            <w:vAlign w:val="bottom"/>
          </w:tcPr>
          <w:p>
            <w:pPr>
              <w:spacing w:after="0"/>
              <w:rPr>
                <w:sz w:val="11"/>
                <w:szCs w:val="11"/>
                <w:color w:val="auto"/>
              </w:rPr>
            </w:pPr>
          </w:p>
        </w:tc>
        <w:tc>
          <w:tcPr>
            <w:tcW w:w="74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DirectBuy Holdings, Inc.</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104,719</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2"/>
              </w:rPr>
              <w:t>21,492,822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DirectBuy Holdings, Inc. (Warrants)</w:t>
            </w:r>
          </w:p>
        </w:tc>
        <w:tc>
          <w:tcPr>
            <w:tcW w:w="90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86"/>
              </w:rPr>
              <w:t>11/05/2022</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15,486</w:t>
            </w:r>
          </w:p>
        </w:tc>
        <w:tc>
          <w:tcPr>
            <w:tcW w:w="80" w:type="dxa"/>
            <w:vAlign w:val="bottom"/>
          </w:tcPr>
          <w:p>
            <w:pPr>
              <w:spacing w:after="0"/>
              <w:rPr>
                <w:sz w:val="11"/>
                <w:szCs w:val="11"/>
                <w:color w:val="auto"/>
              </w:rPr>
            </w:pPr>
          </w:p>
        </w:tc>
        <w:tc>
          <w:tcPr>
            <w:tcW w:w="74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EnviroSolutions Holdings, Inc.</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143,668</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2"/>
              </w:rPr>
              <w:t>11,960,702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13,112,260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 xml:space="preserve">ETX Energy, LLC (f/k/a New Gulf Resources, LLC) </w:t>
            </w:r>
            <w:r>
              <w:rPr>
                <w:rFonts w:ascii="Arial" w:cs="Arial" w:eastAsia="Arial" w:hAnsi="Arial"/>
                <w:sz w:val="10"/>
                <w:szCs w:val="10"/>
                <w:color w:val="auto"/>
              </w:rPr>
              <w:t>(10)</w:t>
            </w:r>
          </w:p>
        </w:tc>
        <w:tc>
          <w:tcPr>
            <w:tcW w:w="90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113,610</w:t>
            </w:r>
          </w:p>
        </w:tc>
        <w:tc>
          <w:tcPr>
            <w:tcW w:w="80" w:type="dxa"/>
            <w:vAlign w:val="bottom"/>
          </w:tcPr>
          <w:p>
            <w:pPr>
              <w:spacing w:after="0"/>
              <w:rPr>
                <w:sz w:val="11"/>
                <w:szCs w:val="11"/>
                <w:color w:val="auto"/>
              </w:rPr>
            </w:pPr>
          </w:p>
        </w:tc>
        <w:tc>
          <w:tcPr>
            <w:tcW w:w="74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0"/>
              </w:rPr>
              <w:t>ETX Energy Management Company, LLC (f/k/a NGR Management</w:t>
            </w:r>
          </w:p>
        </w:tc>
        <w:tc>
          <w:tcPr>
            <w:tcW w:w="900" w:type="dxa"/>
            <w:vAlign w:val="bottom"/>
            <w:shd w:val="clear" w:color="auto" w:fill="CCEEFF"/>
          </w:tcPr>
          <w:p>
            <w:pPr>
              <w:jc w:val="center"/>
              <w:ind w:right="157"/>
              <w:spacing w:after="0" w:line="121"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Oil and Gas</w:t>
            </w:r>
          </w:p>
        </w:tc>
        <w:tc>
          <w:tcPr>
            <w:tcW w:w="102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119,603</w:t>
            </w:r>
          </w:p>
        </w:tc>
        <w:tc>
          <w:tcPr>
            <w:tcW w:w="80" w:type="dxa"/>
            <w:vAlign w:val="bottom"/>
            <w:shd w:val="clear" w:color="auto" w:fill="CCEEFF"/>
          </w:tcPr>
          <w:p>
            <w:pPr>
              <w:spacing w:after="0"/>
              <w:rPr>
                <w:sz w:val="10"/>
                <w:szCs w:val="10"/>
                <w:color w:val="auto"/>
              </w:rPr>
            </w:pPr>
          </w:p>
        </w:tc>
        <w:tc>
          <w:tcPr>
            <w:tcW w:w="740" w:type="dxa"/>
            <w:vAlign w:val="bottom"/>
            <w:gridSpan w:val="3"/>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 xml:space="preserve">Company LLC) </w:t>
            </w:r>
            <w:r>
              <w:rPr>
                <w:rFonts w:ascii="Arial" w:cs="Arial" w:eastAsia="Arial" w:hAnsi="Arial"/>
                <w:sz w:val="10"/>
                <w:szCs w:val="10"/>
                <w:color w:val="auto"/>
              </w:rPr>
              <w:t>(10)</w:t>
            </w:r>
          </w:p>
        </w:tc>
        <w:tc>
          <w:tcPr>
            <w:tcW w:w="90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New Service Champ Holdings, Inc.</w:t>
            </w:r>
          </w:p>
        </w:tc>
        <w:tc>
          <w:tcPr>
            <w:tcW w:w="90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88"/>
              </w:rPr>
              <w:t>Auto Sector</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16,800</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2,721,600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6,989,362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900" w:type="dxa"/>
            <w:vAlign w:val="bottom"/>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53,071</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202,620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line="135" w:lineRule="exact"/>
              <w:rPr>
                <w:sz w:val="20"/>
                <w:szCs w:val="20"/>
                <w:color w:val="auto"/>
              </w:rPr>
            </w:pPr>
            <w:r>
              <w:rPr>
                <w:rFonts w:ascii="Arial" w:cs="Arial" w:eastAsia="Arial" w:hAnsi="Arial"/>
                <w:sz w:val="13"/>
                <w:szCs w:val="13"/>
                <w:color w:val="auto"/>
              </w:rPr>
              <w:t>TRAK Acquisition Corp.</w:t>
            </w:r>
          </w:p>
        </w:tc>
        <w:tc>
          <w:tcPr>
            <w:tcW w:w="90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1"/>
              </w:rPr>
              <w:t>—</w:t>
            </w:r>
          </w:p>
        </w:tc>
        <w:tc>
          <w:tcPr>
            <w:tcW w:w="2660" w:type="dxa"/>
            <w:vAlign w:val="bottom"/>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491,755</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188,837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2,595,099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90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2"/>
              </w:rPr>
              <w:t>78,461,046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57,316,420</w:t>
            </w:r>
          </w:p>
        </w:tc>
        <w:tc>
          <w:tcPr>
            <w:tcW w:w="0" w:type="dxa"/>
            <w:vAlign w:val="bottom"/>
          </w:tcPr>
          <w:p>
            <w:pPr>
              <w:spacing w:after="0"/>
              <w:rPr>
                <w:sz w:val="1"/>
                <w:szCs w:val="1"/>
                <w:color w:val="auto"/>
              </w:rPr>
            </w:pPr>
          </w:p>
        </w:tc>
      </w:tr>
      <w:tr>
        <w:trPr>
          <w:trHeight w:val="142"/>
        </w:trPr>
        <w:tc>
          <w:tcPr>
            <w:tcW w:w="440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Total Investments in Non-Controlled, Affiliated Portfolio Companies</w:t>
            </w:r>
          </w:p>
        </w:tc>
        <w:tc>
          <w:tcPr>
            <w:tcW w:w="2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262,476,906</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215,192,547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28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Maturity /</w:t>
            </w: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Basis Point</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380"/>
              <w:spacing w:after="0" w:line="126" w:lineRule="exact"/>
              <w:rPr>
                <w:sz w:val="20"/>
                <w:szCs w:val="20"/>
                <w:color w:val="auto"/>
              </w:rPr>
            </w:pPr>
            <w:r>
              <w:rPr>
                <w:rFonts w:ascii="Arial" w:cs="Arial" w:eastAsia="Arial" w:hAnsi="Arial"/>
                <w:sz w:val="13"/>
                <w:szCs w:val="13"/>
                <w:b w:val="1"/>
                <w:bCs w:val="1"/>
                <w:color w:val="auto"/>
              </w:rPr>
              <w:t>Current</w:t>
            </w:r>
          </w:p>
        </w:tc>
        <w:tc>
          <w:tcPr>
            <w:tcW w:w="900" w:type="dxa"/>
            <w:vAlign w:val="bottom"/>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84"/>
              </w:rPr>
              <w:t>Spread Above</w:t>
            </w:r>
          </w:p>
        </w:tc>
        <w:tc>
          <w:tcPr>
            <w:tcW w:w="760" w:type="dxa"/>
            <w:vAlign w:val="bottom"/>
            <w:gridSpan w:val="2"/>
          </w:tcPr>
          <w:p>
            <w:pPr>
              <w:jc w:val="right"/>
              <w:ind w:right="320"/>
              <w:spacing w:after="0" w:line="126" w:lineRule="exact"/>
              <w:rPr>
                <w:sz w:val="20"/>
                <w:szCs w:val="20"/>
                <w:color w:val="auto"/>
              </w:rPr>
            </w:pPr>
            <w:r>
              <w:rPr>
                <w:rFonts w:ascii="Arial" w:cs="Arial" w:eastAsia="Arial" w:hAnsi="Arial"/>
                <w:sz w:val="13"/>
                <w:szCs w:val="13"/>
                <w:b w:val="1"/>
                <w:bCs w:val="1"/>
                <w:color w:val="auto"/>
              </w:rPr>
              <w:t>Par /</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140" w:type="dxa"/>
            <w:vAlign w:val="bottom"/>
            <w:gridSpan w:val="2"/>
          </w:tcPr>
          <w:p>
            <w:pPr>
              <w:spacing w:after="0"/>
              <w:rPr>
                <w:sz w:val="20"/>
                <w:szCs w:val="20"/>
                <w:color w:val="auto"/>
              </w:rPr>
            </w:pPr>
            <w:r>
              <w:rPr>
                <w:rFonts w:ascii="Arial" w:cs="Arial" w:eastAsia="Arial" w:hAnsi="Arial"/>
                <w:sz w:val="13"/>
                <w:szCs w:val="13"/>
                <w:b w:val="1"/>
                <w:bCs w:val="1"/>
                <w:color w:val="auto"/>
              </w:rPr>
              <w:t>Issuer Name</w:t>
            </w:r>
          </w:p>
        </w:tc>
        <w:tc>
          <w:tcPr>
            <w:tcW w:w="1280" w:type="dxa"/>
            <w:vAlign w:val="bottom"/>
          </w:tcPr>
          <w:p>
            <w:pPr>
              <w:ind w:left="60"/>
              <w:spacing w:after="0"/>
              <w:rPr>
                <w:sz w:val="20"/>
                <w:szCs w:val="20"/>
                <w:color w:val="auto"/>
              </w:rPr>
            </w:pPr>
            <w:r>
              <w:rPr>
                <w:rFonts w:ascii="Arial" w:cs="Arial" w:eastAsia="Arial" w:hAnsi="Arial"/>
                <w:sz w:val="13"/>
                <w:szCs w:val="13"/>
                <w:b w:val="1"/>
                <w:bCs w:val="1"/>
                <w:color w:val="auto"/>
              </w:rPr>
              <w:t>Expiration</w:t>
            </w:r>
          </w:p>
        </w:tc>
        <w:tc>
          <w:tcPr>
            <w:tcW w:w="2620" w:type="dxa"/>
            <w:vAlign w:val="bottom"/>
            <w:gridSpan w:val="2"/>
          </w:tcPr>
          <w:p>
            <w:pPr>
              <w:jc w:val="center"/>
              <w:ind w:right="640"/>
              <w:spacing w:after="0"/>
              <w:rPr>
                <w:sz w:val="20"/>
                <w:szCs w:val="20"/>
                <w:color w:val="auto"/>
              </w:rPr>
            </w:pPr>
            <w:r>
              <w:rPr>
                <w:rFonts w:ascii="Arial" w:cs="Arial" w:eastAsia="Arial" w:hAnsi="Arial"/>
                <w:sz w:val="13"/>
                <w:szCs w:val="13"/>
                <w:b w:val="1"/>
                <w:bCs w:val="1"/>
                <w:color w:val="auto"/>
                <w:w w:val="89"/>
              </w:rPr>
              <w:t>Industry</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7"/>
              </w:rPr>
              <w:t>Coupon</w:t>
            </w: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4"/>
                <w:szCs w:val="14"/>
                <w:color w:val="auto"/>
              </w:rPr>
            </w:pPr>
          </w:p>
        </w:tc>
        <w:tc>
          <w:tcPr>
            <w:tcW w:w="880" w:type="dxa"/>
            <w:vAlign w:val="bottom"/>
            <w:gridSpan w:val="2"/>
          </w:tcPr>
          <w:p>
            <w:pPr>
              <w:ind w:left="220"/>
              <w:spacing w:after="0"/>
              <w:rPr>
                <w:sz w:val="20"/>
                <w:szCs w:val="20"/>
                <w:color w:val="auto"/>
              </w:rPr>
            </w:pPr>
            <w:r>
              <w:rPr>
                <w:rFonts w:ascii="Arial" w:cs="Arial" w:eastAsia="Arial" w:hAnsi="Arial"/>
                <w:sz w:val="13"/>
                <w:szCs w:val="13"/>
                <w:b w:val="1"/>
                <w:bCs w:val="1"/>
                <w:color w:val="auto"/>
              </w:rPr>
              <w:t>Cost</w:t>
            </w:r>
          </w:p>
        </w:tc>
        <w:tc>
          <w:tcPr>
            <w:tcW w:w="880" w:type="dxa"/>
            <w:vAlign w:val="bottom"/>
            <w:gridSpan w:val="3"/>
          </w:tcPr>
          <w:p>
            <w:pPr>
              <w:ind w:left="4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Investments in Controlled, Affiliated Portfolio Companies—19.4% </w:t>
            </w:r>
            <w:r>
              <w:rPr>
                <w:rFonts w:ascii="Arial" w:cs="Arial" w:eastAsia="Arial" w:hAnsi="Arial"/>
                <w:sz w:val="10"/>
                <w:szCs w:val="10"/>
                <w:b w:val="1"/>
                <w:bCs w:val="1"/>
                <w:color w:val="auto"/>
              </w:rPr>
              <w:t>(1), (2)</w:t>
            </w:r>
          </w:p>
        </w:tc>
        <w:tc>
          <w:tcPr>
            <w:tcW w:w="25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Debt—14.7%</w:t>
            </w:r>
          </w:p>
        </w:tc>
        <w:tc>
          <w:tcPr>
            <w:tcW w:w="12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RAM Energy LLC</w:t>
            </w:r>
          </w:p>
        </w:tc>
        <w:tc>
          <w:tcPr>
            <w:tcW w:w="1280" w:type="dxa"/>
            <w:vAlign w:val="bottom"/>
            <w:shd w:val="clear" w:color="auto" w:fill="CCEEFF"/>
          </w:tcPr>
          <w:p>
            <w:pPr>
              <w:jc w:val="center"/>
              <w:ind w:right="517"/>
              <w:spacing w:after="0" w:line="121" w:lineRule="exact"/>
              <w:rPr>
                <w:sz w:val="20"/>
                <w:szCs w:val="20"/>
                <w:color w:val="auto"/>
              </w:rPr>
            </w:pPr>
            <w:r>
              <w:rPr>
                <w:rFonts w:ascii="Arial" w:cs="Arial" w:eastAsia="Arial" w:hAnsi="Arial"/>
                <w:sz w:val="13"/>
                <w:szCs w:val="13"/>
                <w:color w:val="auto"/>
                <w:w w:val="89"/>
              </w:rPr>
              <w:t>07/18/2019</w:t>
            </w:r>
          </w:p>
        </w:tc>
        <w:tc>
          <w:tcPr>
            <w:tcW w:w="2620" w:type="dxa"/>
            <w:vAlign w:val="bottom"/>
            <w:gridSpan w:val="2"/>
            <w:shd w:val="clear" w:color="auto" w:fill="CCEEFF"/>
          </w:tcPr>
          <w:p>
            <w:pPr>
              <w:jc w:val="center"/>
              <w:ind w:right="640"/>
              <w:spacing w:after="0" w:line="121" w:lineRule="exact"/>
              <w:rPr>
                <w:sz w:val="20"/>
                <w:szCs w:val="20"/>
                <w:color w:val="auto"/>
              </w:rPr>
            </w:pPr>
            <w:r>
              <w:rPr>
                <w:rFonts w:ascii="Arial" w:cs="Arial" w:eastAsia="Arial" w:hAnsi="Arial"/>
                <w:sz w:val="13"/>
                <w:szCs w:val="13"/>
                <w:color w:val="auto"/>
                <w:w w:val="91"/>
              </w:rPr>
              <w:t>Energy and Utilities</w:t>
            </w:r>
          </w:p>
        </w:tc>
        <w:tc>
          <w:tcPr>
            <w:tcW w:w="90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10.00%</w:t>
            </w:r>
          </w:p>
        </w:tc>
        <w:tc>
          <w:tcPr>
            <w:tcW w:w="9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L+800</w:t>
            </w:r>
          </w:p>
        </w:tc>
        <w:tc>
          <w:tcPr>
            <w:tcW w:w="76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w w:val="89"/>
              </w:rPr>
              <w:t>84,606,067</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83,653,689</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68,319,399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3"/>
              </w:rPr>
              <w:t>(PIK 10.00%)</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20" w:type="dxa"/>
            <w:vAlign w:val="bottom"/>
          </w:tcPr>
          <w:p>
            <w:pPr>
              <w:spacing w:after="0" w:line="121" w:lineRule="exact"/>
              <w:rPr>
                <w:sz w:val="20"/>
                <w:szCs w:val="20"/>
                <w:color w:val="auto"/>
              </w:rPr>
            </w:pPr>
            <w:r>
              <w:rPr>
                <w:rFonts w:ascii="Arial" w:cs="Arial" w:eastAsia="Arial" w:hAnsi="Arial"/>
                <w:sz w:val="13"/>
                <w:szCs w:val="13"/>
                <w:color w:val="auto"/>
              </w:rPr>
              <w:t>Superior Digital Displays, LLC</w:t>
            </w:r>
          </w:p>
        </w:tc>
        <w:tc>
          <w:tcPr>
            <w:tcW w:w="1280" w:type="dxa"/>
            <w:vAlign w:val="bottom"/>
          </w:tcPr>
          <w:p>
            <w:pPr>
              <w:jc w:val="center"/>
              <w:ind w:right="517"/>
              <w:spacing w:after="0" w:line="121" w:lineRule="exact"/>
              <w:rPr>
                <w:sz w:val="20"/>
                <w:szCs w:val="20"/>
                <w:color w:val="auto"/>
              </w:rPr>
            </w:pPr>
            <w:r>
              <w:rPr>
                <w:rFonts w:ascii="Arial" w:cs="Arial" w:eastAsia="Arial" w:hAnsi="Arial"/>
                <w:sz w:val="13"/>
                <w:szCs w:val="13"/>
                <w:color w:val="auto"/>
                <w:w w:val="89"/>
              </w:rPr>
              <w:t>12/31/2018</w:t>
            </w:r>
          </w:p>
        </w:tc>
        <w:tc>
          <w:tcPr>
            <w:tcW w:w="2620" w:type="dxa"/>
            <w:vAlign w:val="bottom"/>
            <w:gridSpan w:val="2"/>
          </w:tcPr>
          <w:p>
            <w:pPr>
              <w:jc w:val="center"/>
              <w:ind w:right="640"/>
              <w:spacing w:after="0" w:line="121" w:lineRule="exact"/>
              <w:rPr>
                <w:sz w:val="20"/>
                <w:szCs w:val="20"/>
                <w:color w:val="auto"/>
              </w:rPr>
            </w:pPr>
            <w:r>
              <w:rPr>
                <w:rFonts w:ascii="Arial" w:cs="Arial" w:eastAsia="Arial" w:hAnsi="Arial"/>
                <w:sz w:val="13"/>
                <w:szCs w:val="13"/>
                <w:color w:val="auto"/>
                <w:w w:val="95"/>
              </w:rPr>
              <w:t>Media</w:t>
            </w:r>
          </w:p>
        </w:tc>
        <w:tc>
          <w:tcPr>
            <w:tcW w:w="90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14.00%</w:t>
            </w:r>
          </w:p>
        </w:tc>
        <w:tc>
          <w:tcPr>
            <w:tcW w:w="9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L+1,300</w:t>
            </w:r>
          </w:p>
        </w:tc>
        <w:tc>
          <w:tcPr>
            <w:tcW w:w="7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w w:val="89"/>
              </w:rPr>
              <w:t>26,516,321</w:t>
            </w:r>
          </w:p>
        </w:tc>
        <w:tc>
          <w:tcPr>
            <w:tcW w:w="60" w:type="dxa"/>
            <w:vAlign w:val="bottom"/>
          </w:tcPr>
          <w:p>
            <w:pPr>
              <w:spacing w:after="0"/>
              <w:rPr>
                <w:sz w:val="10"/>
                <w:szCs w:val="10"/>
                <w:color w:val="auto"/>
              </w:rPr>
            </w:pPr>
          </w:p>
        </w:tc>
        <w:tc>
          <w:tcPr>
            <w:tcW w:w="8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24,845,647</w:t>
            </w:r>
          </w:p>
        </w:tc>
        <w:tc>
          <w:tcPr>
            <w:tcW w:w="60" w:type="dxa"/>
            <w:vAlign w:val="bottom"/>
          </w:tcPr>
          <w:p>
            <w:pPr>
              <w:spacing w:after="0"/>
              <w:rPr>
                <w:sz w:val="10"/>
                <w:szCs w:val="10"/>
                <w:color w:val="auto"/>
              </w:rPr>
            </w:pPr>
          </w:p>
        </w:tc>
        <w:tc>
          <w:tcPr>
            <w:tcW w:w="8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26,516,321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w w:val="93"/>
              </w:rPr>
              <w:t>(PIK 14.00%)</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12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9"/>
              </w:rPr>
              <w:t>108,499,336</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94,835,720</w:t>
            </w:r>
          </w:p>
        </w:tc>
        <w:tc>
          <w:tcPr>
            <w:tcW w:w="0" w:type="dxa"/>
            <w:vAlign w:val="bottom"/>
          </w:tcPr>
          <w:p>
            <w:pPr>
              <w:spacing w:after="0"/>
              <w:rPr>
                <w:sz w:val="1"/>
                <w:szCs w:val="1"/>
                <w:color w:val="auto"/>
              </w:rPr>
            </w:pPr>
          </w:p>
        </w:tc>
      </w:tr>
      <w:tr>
        <w:trPr>
          <w:trHeight w:val="142"/>
        </w:trPr>
        <w:tc>
          <w:tcPr>
            <w:tcW w:w="314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Second Lien Secured Debt—1.2%</w:t>
            </w:r>
          </w:p>
        </w:tc>
        <w:tc>
          <w:tcPr>
            <w:tcW w:w="1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Superior Digital Displays, LLC</w:t>
            </w:r>
          </w:p>
        </w:tc>
        <w:tc>
          <w:tcPr>
            <w:tcW w:w="1280" w:type="dxa"/>
            <w:vAlign w:val="bottom"/>
            <w:shd w:val="clear" w:color="auto" w:fill="CCEEFF"/>
          </w:tcPr>
          <w:p>
            <w:pPr>
              <w:jc w:val="center"/>
              <w:ind w:right="517"/>
              <w:spacing w:after="0" w:line="121" w:lineRule="exact"/>
              <w:rPr>
                <w:sz w:val="20"/>
                <w:szCs w:val="20"/>
                <w:color w:val="auto"/>
              </w:rPr>
            </w:pPr>
            <w:r>
              <w:rPr>
                <w:rFonts w:ascii="Arial" w:cs="Arial" w:eastAsia="Arial" w:hAnsi="Arial"/>
                <w:sz w:val="13"/>
                <w:szCs w:val="13"/>
                <w:color w:val="auto"/>
                <w:w w:val="89"/>
              </w:rPr>
              <w:t>07/01/2019</w:t>
            </w:r>
          </w:p>
        </w:tc>
        <w:tc>
          <w:tcPr>
            <w:tcW w:w="2620" w:type="dxa"/>
            <w:vAlign w:val="bottom"/>
            <w:gridSpan w:val="2"/>
            <w:shd w:val="clear" w:color="auto" w:fill="CCEEFF"/>
          </w:tcPr>
          <w:p>
            <w:pPr>
              <w:jc w:val="center"/>
              <w:ind w:right="640"/>
              <w:spacing w:after="0" w:line="121" w:lineRule="exact"/>
              <w:rPr>
                <w:sz w:val="20"/>
                <w:szCs w:val="20"/>
                <w:color w:val="auto"/>
              </w:rPr>
            </w:pPr>
            <w:r>
              <w:rPr>
                <w:rFonts w:ascii="Arial" w:cs="Arial" w:eastAsia="Arial" w:hAnsi="Arial"/>
                <w:sz w:val="13"/>
                <w:szCs w:val="13"/>
                <w:color w:val="auto"/>
                <w:w w:val="95"/>
              </w:rPr>
              <w:t>Media</w:t>
            </w:r>
          </w:p>
        </w:tc>
        <w:tc>
          <w:tcPr>
            <w:tcW w:w="90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16.00%</w:t>
            </w:r>
          </w:p>
        </w:tc>
        <w:tc>
          <w:tcPr>
            <w:tcW w:w="9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L+1,500</w:t>
            </w:r>
          </w:p>
        </w:tc>
        <w:tc>
          <w:tcPr>
            <w:tcW w:w="76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8,675,815</w:t>
            </w: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8,675,815</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7,346,315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3"/>
              </w:rPr>
              <w:t>(PIK 16.00%)</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4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 xml:space="preserve">Preferred Equity—3.1% </w:t>
            </w:r>
            <w:r>
              <w:rPr>
                <w:rFonts w:ascii="Arial" w:cs="Arial" w:eastAsia="Arial" w:hAnsi="Arial"/>
                <w:sz w:val="10"/>
                <w:szCs w:val="10"/>
                <w:b w:val="1"/>
                <w:bCs w:val="1"/>
                <w:color w:val="auto"/>
              </w:rPr>
              <w:t>(6)</w:t>
            </w:r>
          </w:p>
        </w:tc>
        <w:tc>
          <w:tcPr>
            <w:tcW w:w="1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MidOcean JF Holdings Corp.</w:t>
            </w:r>
          </w:p>
        </w:tc>
        <w:tc>
          <w:tcPr>
            <w:tcW w:w="1280" w:type="dxa"/>
            <w:vAlign w:val="bottom"/>
            <w:shd w:val="clear" w:color="auto" w:fill="CCEEFF"/>
          </w:tcPr>
          <w:p>
            <w:pPr>
              <w:jc w:val="center"/>
              <w:ind w:right="517"/>
              <w:spacing w:after="0" w:line="135" w:lineRule="exact"/>
              <w:rPr>
                <w:sz w:val="20"/>
                <w:szCs w:val="20"/>
                <w:color w:val="auto"/>
              </w:rPr>
            </w:pPr>
            <w:r>
              <w:rPr>
                <w:rFonts w:ascii="Arial" w:cs="Arial" w:eastAsia="Arial" w:hAnsi="Arial"/>
                <w:sz w:val="13"/>
                <w:szCs w:val="13"/>
                <w:color w:val="auto"/>
              </w:rPr>
              <w:t>—</w:t>
            </w:r>
          </w:p>
        </w:tc>
        <w:tc>
          <w:tcPr>
            <w:tcW w:w="2620" w:type="dxa"/>
            <w:vAlign w:val="bottom"/>
            <w:gridSpan w:val="2"/>
            <w:shd w:val="clear" w:color="auto" w:fill="CCEEFF"/>
          </w:tcPr>
          <w:p>
            <w:pPr>
              <w:jc w:val="center"/>
              <w:ind w:right="640"/>
              <w:spacing w:after="0" w:line="135" w:lineRule="exact"/>
              <w:rPr>
                <w:sz w:val="20"/>
                <w:szCs w:val="20"/>
                <w:color w:val="auto"/>
              </w:rPr>
            </w:pPr>
            <w:r>
              <w:rPr>
                <w:rFonts w:ascii="Arial" w:cs="Arial" w:eastAsia="Arial" w:hAnsi="Arial"/>
                <w:sz w:val="13"/>
                <w:szCs w:val="13"/>
                <w:color w:val="auto"/>
                <w:w w:val="95"/>
              </w:rPr>
              <w:t>Distribution</w:t>
            </w:r>
          </w:p>
        </w:tc>
        <w:tc>
          <w:tcPr>
            <w:tcW w:w="9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143,183</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14,318,325</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20,151,529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1280" w:type="dxa"/>
            <w:vAlign w:val="bottom"/>
          </w:tcPr>
          <w:p>
            <w:pPr>
              <w:jc w:val="center"/>
              <w:ind w:right="517"/>
              <w:spacing w:after="0" w:line="135" w:lineRule="exact"/>
              <w:rPr>
                <w:sz w:val="20"/>
                <w:szCs w:val="20"/>
                <w:color w:val="auto"/>
              </w:rPr>
            </w:pPr>
            <w:r>
              <w:rPr>
                <w:rFonts w:ascii="Arial" w:cs="Arial" w:eastAsia="Arial" w:hAnsi="Arial"/>
                <w:sz w:val="13"/>
                <w:szCs w:val="13"/>
                <w:color w:val="auto"/>
              </w:rPr>
              <w:t>—</w:t>
            </w:r>
          </w:p>
        </w:tc>
        <w:tc>
          <w:tcPr>
            <w:tcW w:w="2620" w:type="dxa"/>
            <w:vAlign w:val="bottom"/>
            <w:gridSpan w:val="2"/>
          </w:tcPr>
          <w:p>
            <w:pPr>
              <w:jc w:val="center"/>
              <w:ind w:right="640"/>
              <w:spacing w:after="0" w:line="135" w:lineRule="exact"/>
              <w:rPr>
                <w:sz w:val="20"/>
                <w:szCs w:val="20"/>
                <w:color w:val="auto"/>
              </w:rPr>
            </w:pPr>
            <w:r>
              <w:rPr>
                <w:rFonts w:ascii="Arial" w:cs="Arial" w:eastAsia="Arial" w:hAnsi="Arial"/>
                <w:sz w:val="13"/>
                <w:szCs w:val="13"/>
                <w:color w:val="auto"/>
                <w:w w:val="95"/>
              </w:rPr>
              <w:t>Media</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15.00%</w:t>
            </w: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103,916</w:t>
            </w: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7,000,000</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Preferred Equity</w:t>
            </w:r>
          </w:p>
        </w:tc>
        <w:tc>
          <w:tcPr>
            <w:tcW w:w="12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21,318,325</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20,151,529</w:t>
            </w:r>
          </w:p>
        </w:tc>
        <w:tc>
          <w:tcPr>
            <w:tcW w:w="0" w:type="dxa"/>
            <w:vAlign w:val="bottom"/>
          </w:tcPr>
          <w:p>
            <w:pPr>
              <w:spacing w:after="0"/>
              <w:rPr>
                <w:sz w:val="1"/>
                <w:szCs w:val="1"/>
                <w:color w:val="auto"/>
              </w:rPr>
            </w:pPr>
          </w:p>
        </w:tc>
      </w:tr>
      <w:tr>
        <w:trPr>
          <w:trHeight w:val="142"/>
        </w:trPr>
        <w:tc>
          <w:tcPr>
            <w:tcW w:w="314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 xml:space="preserve">Common Equity—0.4% </w:t>
            </w:r>
            <w:r>
              <w:rPr>
                <w:rFonts w:ascii="Arial" w:cs="Arial" w:eastAsia="Arial" w:hAnsi="Arial"/>
                <w:sz w:val="10"/>
                <w:szCs w:val="10"/>
                <w:b w:val="1"/>
                <w:bCs w:val="1"/>
                <w:color w:val="auto"/>
              </w:rPr>
              <w:t>(6)</w:t>
            </w:r>
          </w:p>
        </w:tc>
        <w:tc>
          <w:tcPr>
            <w:tcW w:w="1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MidOcean JF Holdings Corp.</w:t>
            </w:r>
          </w:p>
        </w:tc>
        <w:tc>
          <w:tcPr>
            <w:tcW w:w="1280" w:type="dxa"/>
            <w:vAlign w:val="bottom"/>
            <w:shd w:val="clear" w:color="auto" w:fill="CCEEFF"/>
          </w:tcPr>
          <w:p>
            <w:pPr>
              <w:jc w:val="center"/>
              <w:ind w:right="517"/>
              <w:spacing w:after="0" w:line="135" w:lineRule="exact"/>
              <w:rPr>
                <w:sz w:val="20"/>
                <w:szCs w:val="20"/>
                <w:color w:val="auto"/>
              </w:rPr>
            </w:pPr>
            <w:r>
              <w:rPr>
                <w:rFonts w:ascii="Arial" w:cs="Arial" w:eastAsia="Arial" w:hAnsi="Arial"/>
                <w:sz w:val="13"/>
                <w:szCs w:val="13"/>
                <w:color w:val="auto"/>
              </w:rPr>
              <w:t>—</w:t>
            </w:r>
          </w:p>
        </w:tc>
        <w:tc>
          <w:tcPr>
            <w:tcW w:w="2620" w:type="dxa"/>
            <w:vAlign w:val="bottom"/>
            <w:gridSpan w:val="2"/>
            <w:shd w:val="clear" w:color="auto" w:fill="CCEEFF"/>
          </w:tcPr>
          <w:p>
            <w:pPr>
              <w:jc w:val="center"/>
              <w:ind w:right="640"/>
              <w:spacing w:after="0" w:line="135" w:lineRule="exact"/>
              <w:rPr>
                <w:sz w:val="20"/>
                <w:szCs w:val="20"/>
                <w:color w:val="auto"/>
              </w:rPr>
            </w:pPr>
            <w:r>
              <w:rPr>
                <w:rFonts w:ascii="Arial" w:cs="Arial" w:eastAsia="Arial" w:hAnsi="Arial"/>
                <w:sz w:val="13"/>
                <w:szCs w:val="13"/>
                <w:color w:val="auto"/>
                <w:w w:val="95"/>
              </w:rPr>
              <w:t>Distribution</w:t>
            </w:r>
          </w:p>
        </w:tc>
        <w:tc>
          <w:tcPr>
            <w:tcW w:w="9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65,933</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24,761,831</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2,686,073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tcPr>
          <w:p>
            <w:pPr>
              <w:spacing w:after="0" w:line="135" w:lineRule="exact"/>
              <w:rPr>
                <w:sz w:val="20"/>
                <w:szCs w:val="20"/>
                <w:color w:val="auto"/>
              </w:rPr>
            </w:pPr>
            <w:r>
              <w:rPr>
                <w:rFonts w:ascii="Arial" w:cs="Arial" w:eastAsia="Arial" w:hAnsi="Arial"/>
                <w:sz w:val="13"/>
                <w:szCs w:val="13"/>
                <w:color w:val="auto"/>
              </w:rPr>
              <w:t>RAM Energy Holdings LLC</w:t>
            </w:r>
          </w:p>
        </w:tc>
        <w:tc>
          <w:tcPr>
            <w:tcW w:w="1280" w:type="dxa"/>
            <w:vAlign w:val="bottom"/>
          </w:tcPr>
          <w:p>
            <w:pPr>
              <w:jc w:val="center"/>
              <w:ind w:right="517"/>
              <w:spacing w:after="0" w:line="135" w:lineRule="exact"/>
              <w:rPr>
                <w:sz w:val="20"/>
                <w:szCs w:val="20"/>
                <w:color w:val="auto"/>
              </w:rPr>
            </w:pPr>
            <w:r>
              <w:rPr>
                <w:rFonts w:ascii="Arial" w:cs="Arial" w:eastAsia="Arial" w:hAnsi="Arial"/>
                <w:sz w:val="13"/>
                <w:szCs w:val="13"/>
                <w:color w:val="auto"/>
              </w:rPr>
              <w:t>—</w:t>
            </w:r>
          </w:p>
        </w:tc>
        <w:tc>
          <w:tcPr>
            <w:tcW w:w="2620" w:type="dxa"/>
            <w:vAlign w:val="bottom"/>
            <w:gridSpan w:val="2"/>
          </w:tcPr>
          <w:p>
            <w:pPr>
              <w:jc w:val="center"/>
              <w:ind w:right="640"/>
              <w:spacing w:after="0" w:line="135" w:lineRule="exact"/>
              <w:rPr>
                <w:sz w:val="20"/>
                <w:szCs w:val="20"/>
                <w:color w:val="auto"/>
              </w:rPr>
            </w:pPr>
            <w:r>
              <w:rPr>
                <w:rFonts w:ascii="Arial" w:cs="Arial" w:eastAsia="Arial" w:hAnsi="Arial"/>
                <w:sz w:val="13"/>
                <w:szCs w:val="13"/>
                <w:color w:val="auto"/>
                <w:w w:val="91"/>
              </w:rPr>
              <w:t>Energy and Utilities</w:t>
            </w:r>
          </w:p>
        </w:tc>
        <w:tc>
          <w:tcPr>
            <w:tcW w:w="9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23,141</w:t>
            </w:r>
          </w:p>
        </w:tc>
        <w:tc>
          <w:tcPr>
            <w:tcW w:w="6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20,824,388</w:t>
            </w:r>
          </w:p>
        </w:tc>
        <w:tc>
          <w:tcPr>
            <w:tcW w:w="6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1280" w:type="dxa"/>
            <w:vAlign w:val="bottom"/>
            <w:shd w:val="clear" w:color="auto" w:fill="CCEEFF"/>
          </w:tcPr>
          <w:p>
            <w:pPr>
              <w:jc w:val="center"/>
              <w:ind w:right="517"/>
              <w:spacing w:after="0" w:line="135" w:lineRule="exact"/>
              <w:rPr>
                <w:sz w:val="20"/>
                <w:szCs w:val="20"/>
                <w:color w:val="auto"/>
              </w:rPr>
            </w:pPr>
            <w:r>
              <w:rPr>
                <w:rFonts w:ascii="Arial" w:cs="Arial" w:eastAsia="Arial" w:hAnsi="Arial"/>
                <w:sz w:val="13"/>
                <w:szCs w:val="13"/>
                <w:color w:val="auto"/>
              </w:rPr>
              <w:t>—</w:t>
            </w:r>
          </w:p>
        </w:tc>
        <w:tc>
          <w:tcPr>
            <w:tcW w:w="2620" w:type="dxa"/>
            <w:vAlign w:val="bottom"/>
            <w:gridSpan w:val="2"/>
            <w:shd w:val="clear" w:color="auto" w:fill="CCEEFF"/>
          </w:tcPr>
          <w:p>
            <w:pPr>
              <w:jc w:val="center"/>
              <w:ind w:right="640"/>
              <w:spacing w:after="0" w:line="135" w:lineRule="exact"/>
              <w:rPr>
                <w:sz w:val="20"/>
                <w:szCs w:val="20"/>
                <w:color w:val="auto"/>
              </w:rPr>
            </w:pPr>
            <w:r>
              <w:rPr>
                <w:rFonts w:ascii="Arial" w:cs="Arial" w:eastAsia="Arial" w:hAnsi="Arial"/>
                <w:sz w:val="13"/>
                <w:szCs w:val="13"/>
                <w:color w:val="auto"/>
                <w:w w:val="95"/>
              </w:rPr>
              <w:t>Media</w:t>
            </w:r>
          </w:p>
        </w:tc>
        <w:tc>
          <w:tcPr>
            <w:tcW w:w="9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11,100</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2,211,000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14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Common Equity</w:t>
            </w:r>
          </w:p>
        </w:tc>
        <w:tc>
          <w:tcPr>
            <w:tcW w:w="1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47,797,219</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2,686,073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in Controlled, Affiliated Portfolio Companies</w:t>
            </w: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9"/>
              </w:rPr>
              <w:t>186,290,695</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9"/>
              </w:rPr>
              <w:t>125,019,637</w:t>
            </w:r>
          </w:p>
        </w:tc>
        <w:tc>
          <w:tcPr>
            <w:tcW w:w="0" w:type="dxa"/>
            <w:vAlign w:val="bottom"/>
          </w:tcPr>
          <w:p>
            <w:pPr>
              <w:spacing w:after="0"/>
              <w:rPr>
                <w:sz w:val="1"/>
                <w:szCs w:val="1"/>
                <w:color w:val="auto"/>
              </w:rPr>
            </w:pPr>
          </w:p>
        </w:tc>
      </w:tr>
      <w:tr>
        <w:trPr>
          <w:trHeight w:val="149"/>
        </w:trPr>
        <w:tc>
          <w:tcPr>
            <w:tcW w:w="314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Investments—179.3%</w:t>
            </w:r>
          </w:p>
        </w:tc>
        <w:tc>
          <w:tcPr>
            <w:tcW w:w="1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6"/>
              </w:rPr>
              <w:t>1,253,957,146</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6"/>
              </w:rPr>
              <w:t>1,153,679,675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and Cash Equivalents—11.8%</w:t>
            </w:r>
          </w:p>
        </w:tc>
        <w:tc>
          <w:tcPr>
            <w:tcW w:w="12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tcPr>
          <w:p>
            <w:pPr>
              <w:spacing w:after="0" w:line="135" w:lineRule="exact"/>
              <w:rPr>
                <w:sz w:val="20"/>
                <w:szCs w:val="20"/>
                <w:color w:val="auto"/>
              </w:rPr>
            </w:pPr>
            <w:r>
              <w:rPr>
                <w:rFonts w:ascii="Arial" w:cs="Arial" w:eastAsia="Arial" w:hAnsi="Arial"/>
                <w:sz w:val="13"/>
                <w:szCs w:val="13"/>
                <w:color w:val="auto"/>
                <w:w w:val="89"/>
              </w:rPr>
              <w:t>BlackRock Liquidity Funds, Temp Cash, Institutional Shares</w:t>
            </w:r>
          </w:p>
        </w:tc>
        <w:tc>
          <w:tcPr>
            <w:tcW w:w="12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64,897,736</w:t>
            </w:r>
          </w:p>
        </w:tc>
        <w:tc>
          <w:tcPr>
            <w:tcW w:w="6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64,897,736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12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10,719,397</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10,710,377</w:t>
            </w:r>
          </w:p>
        </w:tc>
        <w:tc>
          <w:tcPr>
            <w:tcW w:w="0" w:type="dxa"/>
            <w:vAlign w:val="bottom"/>
          </w:tcPr>
          <w:p>
            <w:pPr>
              <w:spacing w:after="0"/>
              <w:rPr>
                <w:sz w:val="1"/>
                <w:szCs w:val="1"/>
                <w:color w:val="auto"/>
              </w:rPr>
            </w:pPr>
          </w:p>
        </w:tc>
      </w:tr>
      <w:tr>
        <w:trPr>
          <w:trHeight w:val="149"/>
        </w:trPr>
        <w:tc>
          <w:tcPr>
            <w:tcW w:w="314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Cash and Cash Equivalents</w:t>
            </w:r>
          </w:p>
        </w:tc>
        <w:tc>
          <w:tcPr>
            <w:tcW w:w="1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75,617,133</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75,608,113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and Cash Equivalents—191.1%</w:t>
            </w:r>
          </w:p>
        </w:tc>
        <w:tc>
          <w:tcPr>
            <w:tcW w:w="12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u w:val="single" w:color="auto"/>
                <w:color w:val="auto"/>
                <w:w w:val="78"/>
              </w:rPr>
              <w:t>$</w:t>
            </w: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86"/>
              </w:rPr>
              <w:t>1,329,574,279</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u w:val="single" w:color="auto"/>
                <w:color w:val="auto"/>
                <w:w w:val="78"/>
              </w:rPr>
              <w:t>$</w:t>
            </w: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86"/>
              </w:rPr>
              <w:t>1,229,287,788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1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Assets—(91.1%)</w:t>
            </w:r>
          </w:p>
        </w:tc>
        <w:tc>
          <w:tcPr>
            <w:tcW w:w="1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40" w:type="dxa"/>
            <w:vAlign w:val="bottom"/>
            <w:gridSpan w:val="2"/>
            <w:vMerge w:val="continue"/>
          </w:tcPr>
          <w:p>
            <w:pPr>
              <w:spacing w:after="0"/>
              <w:rPr>
                <w:sz w:val="11"/>
                <w:szCs w:val="11"/>
                <w:color w:val="auto"/>
              </w:rPr>
            </w:pPr>
          </w:p>
        </w:tc>
        <w:tc>
          <w:tcPr>
            <w:tcW w:w="12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8"/>
              </w:rPr>
              <w:t>(585,920,932)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12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9"/>
              </w:rPr>
              <w:t>643,366,856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8658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25" w:lineRule="exact"/>
        <w:rPr>
          <w:sz w:val="20"/>
          <w:szCs w:val="20"/>
          <w:color w:val="auto"/>
        </w:rPr>
      </w:pPr>
    </w:p>
    <w:p>
      <w:pPr>
        <w:ind w:left="340" w:right="200" w:hanging="332"/>
        <w:spacing w:after="0" w:line="243" w:lineRule="auto"/>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40" w:right="220" w:hanging="332"/>
        <w:spacing w:after="0" w:line="234" w:lineRule="auto"/>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 w:lineRule="exact"/>
        <w:rPr>
          <w:rFonts w:ascii="Arial" w:cs="Arial" w:eastAsia="Arial" w:hAnsi="Arial"/>
          <w:sz w:val="12"/>
          <w:szCs w:val="12"/>
          <w:color w:val="auto"/>
        </w:rPr>
      </w:pPr>
    </w:p>
    <w:p>
      <w:pPr>
        <w:ind w:left="340" w:hanging="332"/>
        <w:spacing w:after="0" w:line="234" w:lineRule="auto"/>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right="20" w:hanging="332"/>
        <w:spacing w:after="0" w:line="234" w:lineRule="auto"/>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94"/>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40" w:hanging="332"/>
        <w:spacing w:after="0"/>
        <w:tabs>
          <w:tab w:leader="none" w:pos="340" w:val="left"/>
        </w:tabs>
        <w:numPr>
          <w:ilvl w:val="0"/>
          <w:numId w:val="9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40" w:hanging="332"/>
        <w:spacing w:after="0" w:line="234" w:lineRule="auto"/>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Investment is held through our consolidated Taxable Subsidiaries (See Note 1).</w:t>
      </w:r>
    </w:p>
    <w:p>
      <w:pPr>
        <w:ind w:left="340" w:hanging="332"/>
        <w:spacing w:after="0" w:line="234" w:lineRule="auto"/>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Par amount is denominated in British Pounds.</w:t>
      </w:r>
    </w:p>
    <w:p>
      <w:pPr>
        <w:ind w:left="340" w:right="220" w:hanging="332"/>
        <w:spacing w:after="0" w:line="237" w:lineRule="auto"/>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3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39"/>
        <w:spacing w:after="0" w:line="222" w:lineRule="auto"/>
        <w:rPr>
          <w:sz w:val="20"/>
          <w:szCs w:val="20"/>
          <w:color w:val="auto"/>
        </w:rPr>
      </w:pPr>
      <w:r>
        <w:rPr>
          <w:rFonts w:ascii="Arial" w:cs="Arial" w:eastAsia="Arial" w:hAnsi="Arial"/>
          <w:sz w:val="14"/>
          <w:szCs w:val="14"/>
          <w:b w:val="1"/>
          <w:bCs w:val="1"/>
          <w:color w:val="auto"/>
        </w:rPr>
        <w:t>DECEMBER 31, 2016</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73" w:lineRule="exact"/>
        <w:rPr>
          <w:sz w:val="20"/>
          <w:szCs w:val="20"/>
          <w:color w:val="auto"/>
        </w:rPr>
      </w:pPr>
    </w:p>
    <w:p>
      <w:pPr>
        <w:ind w:right="20" w:firstLine="685"/>
        <w:spacing w:after="0" w:line="231" w:lineRule="auto"/>
        <w:rPr>
          <w:sz w:val="20"/>
          <w:szCs w:val="20"/>
          <w:color w:val="auto"/>
        </w:rPr>
      </w:pPr>
      <w:r>
        <w:rPr>
          <w:rFonts w:ascii="Arial" w:cs="Arial" w:eastAsia="Arial" w:hAnsi="Arial"/>
          <w:sz w:val="14"/>
          <w:szCs w:val="14"/>
          <w:color w:val="auto"/>
        </w:rPr>
        <w:t>PennantPark Investment Corporation was organized as a Maryland corporation in January 2007. We are a closed-end, externally managed, non-diversified investment company that has elected to be treated as a BDC under the 1940 Act. PennantPark Investment’s objective is to generate both current income and capital appreciation while seeking to preserve capital through debt and equity investments. We invest primarily in U.S. middle-market companies in the form of senior secured debt, mezzanine debt and, to a lesser extent, equity investments. On April 24, 2007, we closed our initial public offering and our common stock trades on the NASDAQ Global Select Market under the symbol “PNNT.” Our 2025 Notes trade on the New York Stock Exchange, or the NYSE, under the symbol “PNTA.”</w:t>
      </w:r>
    </w:p>
    <w:p>
      <w:pPr>
        <w:spacing w:after="0" w:line="36" w:lineRule="exact"/>
        <w:rPr>
          <w:sz w:val="20"/>
          <w:szCs w:val="20"/>
          <w:color w:val="auto"/>
        </w:rPr>
      </w:pPr>
    </w:p>
    <w:p>
      <w:pPr>
        <w:ind w:right="140" w:firstLine="685"/>
        <w:spacing w:after="0" w:line="256" w:lineRule="auto"/>
        <w:rPr>
          <w:sz w:val="20"/>
          <w:szCs w:val="20"/>
          <w:color w:val="auto"/>
        </w:rPr>
      </w:pPr>
      <w:r>
        <w:rPr>
          <w:rFonts w:ascii="Arial" w:cs="Arial" w:eastAsia="Arial" w:hAnsi="Arial"/>
          <w:sz w:val="13"/>
          <w:szCs w:val="13"/>
          <w:color w:val="auto"/>
        </w:rPr>
        <w:t>We have entered into an investment management agreement, or the Investment Management Agreement, with the Investment Adviser, an external adviser that manages our day-to-day operations. PennantPark Investment, through the Investment Adviser, manages day-to-day operations of and provides investment advisory services to each of our SBIC Funds under separate investment management agreements. We have also entered into an administration agreement, or the Administration Agreement, with the Administrator, which provides the administrative services necessary for us to operate. PennantPark Investment, through the Administrator, also provides similar services to each of our SBIC Funds under a separate administration agreement. See Note 3.</w:t>
      </w:r>
    </w:p>
    <w:p>
      <w:pPr>
        <w:spacing w:after="0" w:line="24" w:lineRule="exact"/>
        <w:rPr>
          <w:sz w:val="20"/>
          <w:szCs w:val="20"/>
          <w:color w:val="auto"/>
        </w:rPr>
      </w:pPr>
    </w:p>
    <w:p>
      <w:pPr>
        <w:ind w:right="260" w:firstLine="685"/>
        <w:spacing w:after="0" w:line="238" w:lineRule="auto"/>
        <w:rPr>
          <w:sz w:val="20"/>
          <w:szCs w:val="20"/>
          <w:color w:val="auto"/>
        </w:rPr>
      </w:pPr>
      <w:r>
        <w:rPr>
          <w:rFonts w:ascii="Arial" w:cs="Arial" w:eastAsia="Arial" w:hAnsi="Arial"/>
          <w:sz w:val="14"/>
          <w:szCs w:val="14"/>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48" w:lineRule="exact"/>
        <w:rPr>
          <w:sz w:val="20"/>
          <w:szCs w:val="20"/>
          <w:color w:val="auto"/>
        </w:rPr>
      </w:pPr>
    </w:p>
    <w:p>
      <w:pPr>
        <w:ind w:right="200" w:firstLine="685"/>
        <w:spacing w:after="0" w:line="291" w:lineRule="auto"/>
        <w:rPr>
          <w:sz w:val="20"/>
          <w:szCs w:val="20"/>
          <w:color w:val="auto"/>
        </w:rPr>
      </w:pPr>
      <w:r>
        <w:rPr>
          <w:rFonts w:ascii="Arial" w:cs="Arial" w:eastAsia="Arial" w:hAnsi="Arial"/>
          <w:sz w:val="13"/>
          <w:szCs w:val="13"/>
          <w:color w:val="auto"/>
        </w:rPr>
        <w:t>We have formed and expect to continue to form certain Taxable Subsidiaries, which are subject to tax as corporations. These Taxable Subsidiaries allow us to hold equity securities of certain portfolio companies treated as pass-through entities for U.S. federal income tax purposes while allowing us to maintain our ability to qualify as a RIC under the Code.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59" w:lineRule="exact"/>
        <w:rPr>
          <w:sz w:val="20"/>
          <w:szCs w:val="20"/>
          <w:color w:val="auto"/>
        </w:rPr>
      </w:pPr>
    </w:p>
    <w:p>
      <w:pPr>
        <w:ind w:firstLine="685"/>
        <w:spacing w:after="0" w:line="228" w:lineRule="auto"/>
        <w:rPr>
          <w:sz w:val="20"/>
          <w:szCs w:val="20"/>
          <w:color w:val="auto"/>
        </w:rPr>
      </w:pPr>
      <w:r>
        <w:rPr>
          <w:rFonts w:ascii="Arial" w:cs="Arial" w:eastAsia="Arial" w:hAnsi="Arial"/>
          <w:sz w:val="14"/>
          <w:szCs w:val="14"/>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37" w:lineRule="exact"/>
        <w:rPr>
          <w:sz w:val="20"/>
          <w:szCs w:val="20"/>
          <w:color w:val="auto"/>
        </w:rPr>
      </w:pPr>
    </w:p>
    <w:p>
      <w:pPr>
        <w:jc w:val="both"/>
        <w:ind w:right="80" w:firstLine="685"/>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946, Financial Services – 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4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69" w:lineRule="exact"/>
        <w:rPr>
          <w:sz w:val="20"/>
          <w:szCs w:val="20"/>
          <w:color w:val="auto"/>
        </w:rPr>
      </w:pPr>
    </w:p>
    <w:p>
      <w:pPr>
        <w:ind w:firstLine="685"/>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30" w:lineRule="exact"/>
        <w:rPr>
          <w:sz w:val="20"/>
          <w:szCs w:val="20"/>
          <w:color w:val="auto"/>
        </w:rPr>
      </w:pPr>
    </w:p>
    <w:p>
      <w:pPr>
        <w:ind w:right="260" w:firstLine="685"/>
        <w:spacing w:after="0" w:line="291"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6" w:lineRule="exact"/>
        <w:rPr>
          <w:sz w:val="20"/>
          <w:szCs w:val="20"/>
          <w:color w:val="auto"/>
        </w:rPr>
      </w:pPr>
    </w:p>
    <w:p>
      <w:pPr>
        <w:ind w:left="800" w:right="60" w:hanging="346"/>
        <w:spacing w:after="0" w:line="253" w:lineRule="auto"/>
        <w:tabs>
          <w:tab w:leader="none" w:pos="800" w:val="left"/>
        </w:tabs>
        <w:numPr>
          <w:ilvl w:val="0"/>
          <w:numId w:val="9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38" w:lineRule="exact"/>
        <w:rPr>
          <w:rFonts w:ascii="Arial" w:cs="Arial" w:eastAsia="Arial" w:hAnsi="Arial"/>
          <w:sz w:val="14"/>
          <w:szCs w:val="14"/>
          <w:color w:val="auto"/>
        </w:rPr>
      </w:pPr>
    </w:p>
    <w:p>
      <w:pPr>
        <w:ind w:left="800" w:hanging="346"/>
        <w:spacing w:after="0"/>
        <w:tabs>
          <w:tab w:leader="none" w:pos="800" w:val="left"/>
        </w:tabs>
        <w:numPr>
          <w:ilvl w:val="0"/>
          <w:numId w:val="9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68" w:lineRule="exact"/>
        <w:rPr>
          <w:rFonts w:ascii="Arial" w:cs="Arial" w:eastAsia="Arial" w:hAnsi="Arial"/>
          <w:sz w:val="14"/>
          <w:szCs w:val="14"/>
          <w:color w:val="auto"/>
        </w:rPr>
      </w:pPr>
    </w:p>
    <w:p>
      <w:pPr>
        <w:jc w:val="both"/>
        <w:ind w:left="800" w:right="340" w:hanging="346"/>
        <w:spacing w:after="0" w:line="264" w:lineRule="auto"/>
        <w:tabs>
          <w:tab w:leader="none" w:pos="800" w:val="left"/>
        </w:tabs>
        <w:numPr>
          <w:ilvl w:val="0"/>
          <w:numId w:val="9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33" w:lineRule="exact"/>
        <w:rPr>
          <w:rFonts w:ascii="Arial" w:cs="Arial" w:eastAsia="Arial" w:hAnsi="Arial"/>
          <w:sz w:val="13"/>
          <w:szCs w:val="13"/>
          <w:color w:val="auto"/>
        </w:rPr>
      </w:pPr>
    </w:p>
    <w:p>
      <w:pPr>
        <w:ind w:left="800" w:right="220" w:hanging="346"/>
        <w:spacing w:after="0" w:line="238" w:lineRule="auto"/>
        <w:tabs>
          <w:tab w:leader="none" w:pos="80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47" w:lineRule="exact"/>
        <w:rPr>
          <w:rFonts w:ascii="Arial" w:cs="Arial" w:eastAsia="Arial" w:hAnsi="Arial"/>
          <w:sz w:val="14"/>
          <w:szCs w:val="14"/>
          <w:color w:val="auto"/>
        </w:rPr>
      </w:pPr>
    </w:p>
    <w:p>
      <w:pPr>
        <w:ind w:left="800" w:right="340" w:hanging="346"/>
        <w:spacing w:after="0" w:line="253" w:lineRule="auto"/>
        <w:tabs>
          <w:tab w:leader="none" w:pos="800" w:val="left"/>
        </w:tabs>
        <w:numPr>
          <w:ilvl w:val="0"/>
          <w:numId w:val="95"/>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F-13</w:t>
      </w:r>
    </w:p>
    <w:p>
      <w:pPr>
        <w:sectPr>
          <w:pgSz w:w="11900" w:h="16838" w:orient="portrait"/>
          <w:cols w:equalWidth="0" w:num="1">
            <w:col w:w="11380"/>
          </w:cols>
          <w:pgMar w:left="240" w:top="459" w:right="2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8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line="222" w:lineRule="auto"/>
        <w:rPr>
          <w:sz w:val="20"/>
          <w:szCs w:val="20"/>
          <w:color w:val="auto"/>
        </w:rPr>
      </w:pPr>
      <w:r>
        <w:rPr>
          <w:rFonts w:ascii="Arial" w:cs="Arial" w:eastAsia="Arial" w:hAnsi="Arial"/>
          <w:sz w:val="14"/>
          <w:szCs w:val="14"/>
          <w:b w:val="1"/>
          <w:bCs w:val="1"/>
          <w:color w:val="auto"/>
        </w:rPr>
        <w:t>DECEMBER 31, 2016</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300" w:firstLine="685"/>
        <w:spacing w:after="0" w:line="256"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3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55" w:lineRule="exact"/>
        <w:rPr>
          <w:sz w:val="20"/>
          <w:szCs w:val="20"/>
          <w:color w:val="auto"/>
        </w:rPr>
      </w:pPr>
    </w:p>
    <w:p>
      <w:pPr>
        <w:ind w:firstLine="685"/>
        <w:spacing w:after="0" w:line="234"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our Credit Facility and our Notes during the reporting period, including any reversal of previously recorded unrealized appreciation or depreciation, when gains or losses are realized.</w:t>
      </w:r>
    </w:p>
    <w:p>
      <w:pPr>
        <w:spacing w:after="0" w:line="34" w:lineRule="exact"/>
        <w:rPr>
          <w:sz w:val="20"/>
          <w:szCs w:val="20"/>
          <w:color w:val="auto"/>
        </w:rPr>
      </w:pPr>
    </w:p>
    <w:p>
      <w:pPr>
        <w:ind w:right="20" w:firstLine="685"/>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w:t>
      </w:r>
    </w:p>
    <w:p>
      <w:pPr>
        <w:spacing w:after="0" w:line="51" w:lineRule="exact"/>
        <w:rPr>
          <w:sz w:val="20"/>
          <w:szCs w:val="20"/>
          <w:color w:val="auto"/>
        </w:rPr>
      </w:pPr>
    </w:p>
    <w:p>
      <w:pPr>
        <w:ind w:right="180" w:firstLine="685"/>
        <w:spacing w:after="0" w:line="296"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  Income Taxes</w:t>
      </w:r>
    </w:p>
    <w:p>
      <w:pPr>
        <w:spacing w:after="0" w:line="55" w:lineRule="exact"/>
        <w:rPr>
          <w:sz w:val="20"/>
          <w:szCs w:val="20"/>
          <w:color w:val="auto"/>
        </w:rPr>
      </w:pPr>
    </w:p>
    <w:p>
      <w:pPr>
        <w:ind w:right="20" w:firstLine="685"/>
        <w:spacing w:after="0" w:line="229" w:lineRule="auto"/>
        <w:rPr>
          <w:sz w:val="20"/>
          <w:szCs w:val="20"/>
          <w:color w:val="auto"/>
        </w:rPr>
      </w:pPr>
      <w:r>
        <w:rPr>
          <w:rFonts w:ascii="Arial" w:cs="Arial" w:eastAsia="Arial" w:hAnsi="Arial"/>
          <w:sz w:val="14"/>
          <w:szCs w:val="14"/>
          <w:color w:val="auto"/>
        </w:rPr>
        <w:t>We have complied with the requirements of Subchapter M of the Code and have qualified to be treated as a RIC for federal income tax purposes.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we do not anticipate paying any material level of federal income taxes. Although we generally do not incur federal income taxes as a RIC for federal income tax purposes, we may elect to retain a portion of our calendar year income, which may result in an excise tax, or we may incur taxes through our Taxable Subsidiaries. For the three months ended December 31, 2016 and 2015, we recorded a provision for taxes of $0.4 million and $1.3 million, respectively.</w:t>
      </w:r>
    </w:p>
    <w:p>
      <w:pPr>
        <w:spacing w:after="0" w:line="51" w:lineRule="exact"/>
        <w:rPr>
          <w:sz w:val="20"/>
          <w:szCs w:val="20"/>
          <w:color w:val="auto"/>
        </w:rPr>
      </w:pPr>
    </w:p>
    <w:p>
      <w:pPr>
        <w:jc w:val="both"/>
        <w:ind w:right="80" w:firstLine="685"/>
        <w:spacing w:after="0" w:line="264" w:lineRule="auto"/>
        <w:rPr>
          <w:sz w:val="20"/>
          <w:szCs w:val="20"/>
          <w:color w:val="auto"/>
        </w:rPr>
      </w:pPr>
      <w:r>
        <w:rPr>
          <w:rFonts w:ascii="Arial" w:cs="Arial" w:eastAsia="Arial" w:hAnsi="Arial"/>
          <w:sz w:val="13"/>
          <w:szCs w:val="13"/>
          <w:color w:val="auto"/>
        </w:rPr>
        <w:t>We recognize the effect of a tax position in our Consolidated Financial Statements when it is more likely than not, based on the technical merits, that the position will be sustained upon examination by the applicable tax authority. Tax positions not considered to satisfy the “more-likely-than-not” threshold would be recorded as a tax expense or benefit. We did not have any material uncertain tax positions or any unrecognized tax benefits that met the recognition or measurement criteria of ASC 740-10-25 as of the periods presented herein.</w:t>
      </w:r>
    </w:p>
    <w:p>
      <w:pPr>
        <w:spacing w:after="0" w:line="20" w:lineRule="exact"/>
        <w:rPr>
          <w:sz w:val="20"/>
          <w:szCs w:val="20"/>
          <w:color w:val="auto"/>
        </w:rPr>
      </w:pPr>
    </w:p>
    <w:p>
      <w:pPr>
        <w:ind w:right="200" w:firstLine="685"/>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69" w:lineRule="exact"/>
        <w:rPr>
          <w:sz w:val="20"/>
          <w:szCs w:val="20"/>
          <w:color w:val="auto"/>
        </w:rPr>
      </w:pPr>
    </w:p>
    <w:p>
      <w:pPr>
        <w:ind w:right="280" w:firstLine="685"/>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return of capital.</w:t>
      </w:r>
    </w:p>
    <w:p>
      <w:pPr>
        <w:spacing w:after="0" w:line="34" w:lineRule="exact"/>
        <w:rPr>
          <w:sz w:val="20"/>
          <w:szCs w:val="20"/>
          <w:color w:val="auto"/>
        </w:rPr>
      </w:pPr>
    </w:p>
    <w:p>
      <w:pPr>
        <w:ind w:right="20" w:firstLine="685"/>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(e)  Foreign Currency Translation</w:t>
      </w:r>
    </w:p>
    <w:p>
      <w:pPr>
        <w:spacing w:after="0" w:line="6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69" w:lineRule="exact"/>
        <w:rPr>
          <w:sz w:val="20"/>
          <w:szCs w:val="20"/>
          <w:color w:val="auto"/>
        </w:rPr>
      </w:pPr>
    </w:p>
    <w:p>
      <w:pPr>
        <w:ind w:left="1260" w:hanging="455"/>
        <w:spacing w:after="0"/>
        <w:tabs>
          <w:tab w:leader="none" w:pos="12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68" w:lineRule="exact"/>
        <w:rPr>
          <w:rFonts w:ascii="Arial" w:cs="Arial" w:eastAsia="Arial" w:hAnsi="Arial"/>
          <w:sz w:val="14"/>
          <w:szCs w:val="14"/>
          <w:color w:val="auto"/>
        </w:rPr>
      </w:pPr>
    </w:p>
    <w:p>
      <w:pPr>
        <w:ind w:left="1260" w:hanging="455"/>
        <w:spacing w:after="0"/>
        <w:tabs>
          <w:tab w:leader="none" w:pos="12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55" w:lineRule="exact"/>
        <w:rPr>
          <w:sz w:val="20"/>
          <w:szCs w:val="20"/>
          <w:color w:val="auto"/>
        </w:rPr>
      </w:pPr>
    </w:p>
    <w:p>
      <w:pPr>
        <w:jc w:val="both"/>
        <w:ind w:firstLine="685"/>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34" w:lineRule="exact"/>
        <w:rPr>
          <w:sz w:val="20"/>
          <w:szCs w:val="20"/>
          <w:color w:val="auto"/>
        </w:rPr>
      </w:pPr>
    </w:p>
    <w:p>
      <w:pPr>
        <w:jc w:val="both"/>
        <w:ind w:right="120" w:firstLine="685"/>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8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line="222" w:lineRule="auto"/>
        <w:rPr>
          <w:sz w:val="20"/>
          <w:szCs w:val="20"/>
          <w:color w:val="auto"/>
        </w:rPr>
      </w:pPr>
      <w:r>
        <w:rPr>
          <w:rFonts w:ascii="Arial" w:cs="Arial" w:eastAsia="Arial" w:hAnsi="Arial"/>
          <w:sz w:val="14"/>
          <w:szCs w:val="14"/>
          <w:b w:val="1"/>
          <w:bCs w:val="1"/>
          <w:color w:val="auto"/>
        </w:rPr>
        <w:t>DECEMBER 31, 2016</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69" w:lineRule="exact"/>
        <w:rPr>
          <w:sz w:val="20"/>
          <w:szCs w:val="20"/>
          <w:color w:val="auto"/>
        </w:rPr>
      </w:pPr>
    </w:p>
    <w:p>
      <w:pPr>
        <w:ind w:right="160" w:firstLine="685"/>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59" w:lineRule="exact"/>
        <w:rPr>
          <w:sz w:val="20"/>
          <w:szCs w:val="20"/>
          <w:color w:val="auto"/>
        </w:rPr>
      </w:pPr>
    </w:p>
    <w:p>
      <w:pPr>
        <w:ind w:right="20" w:firstLine="685"/>
        <w:spacing w:after="0" w:line="231" w:lineRule="auto"/>
        <w:rPr>
          <w:sz w:val="20"/>
          <w:szCs w:val="20"/>
          <w:color w:val="auto"/>
        </w:rPr>
      </w:pPr>
      <w:r>
        <w:rPr>
          <w:rFonts w:ascii="Arial" w:cs="Arial" w:eastAsia="Arial" w:hAnsi="Arial"/>
          <w:sz w:val="14"/>
          <w:szCs w:val="14"/>
          <w:color w:val="auto"/>
        </w:rPr>
        <w:t>The Investment Management Agreement with the Investment Adviser was reapproved by our board of directors, including a majority of our directors who are not interested persons of us or the Investment Adviser, in February 2017. Under the Investment Management Agreement, the Investment Adviser, subject to the overall supervision of our board of directors, manages the day-to-day operations of and provides investment advisory services to us.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 or collectively referred to as Management Fees.</w:t>
      </w:r>
    </w:p>
    <w:p>
      <w:pPr>
        <w:spacing w:after="0" w:line="49" w:lineRule="exact"/>
        <w:rPr>
          <w:sz w:val="20"/>
          <w:szCs w:val="20"/>
          <w:color w:val="auto"/>
        </w:rPr>
      </w:pPr>
    </w:p>
    <w:p>
      <w:pPr>
        <w:ind w:right="60" w:firstLine="685"/>
        <w:spacing w:after="0" w:line="245" w:lineRule="auto"/>
        <w:rPr>
          <w:sz w:val="20"/>
          <w:szCs w:val="20"/>
          <w:color w:val="auto"/>
        </w:rPr>
      </w:pPr>
      <w:r>
        <w:rPr>
          <w:rFonts w:ascii="Arial" w:cs="Arial" w:eastAsia="Arial" w:hAnsi="Arial"/>
          <w:sz w:val="13"/>
          <w:szCs w:val="13"/>
          <w:color w:val="auto"/>
        </w:rPr>
        <w:t>The base management fee is calculated at an annual rate of 2.00%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Since December 31, 2015 and through December 31, 2017, the Investment Adviser has voluntarily agreed, in consultation with the board of directors, to waive 16% of base management fees, correlated to our 16% energy cost exposure (oil &amp; gas and energy &amp; utilities industries) at cost as of December 31, 2015. For the three months ended December 31, 2016 and 2015, the Investment Adviser earned a base management fee of $5.3 million (after a waiver of $1.0 million) and $5.5 million (after a waiver of $1.0 million), respectively, from us.</w:t>
      </w:r>
    </w:p>
    <w:p>
      <w:pPr>
        <w:spacing w:after="0" w:line="3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incentive fee has two parts, as follows:</w:t>
      </w:r>
    </w:p>
    <w:p>
      <w:pPr>
        <w:spacing w:after="0" w:line="55" w:lineRule="exact"/>
        <w:rPr>
          <w:sz w:val="20"/>
          <w:szCs w:val="20"/>
          <w:color w:val="auto"/>
        </w:rPr>
      </w:pPr>
    </w:p>
    <w:p>
      <w:pPr>
        <w:ind w:right="20" w:firstLine="685"/>
        <w:spacing w:after="0" w:line="242"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pro-rated for any share issuances or repurchases during the relevant quarter, if applicable. Since December 31, 2015 and through December 31, 2017, the Investment Adviser has voluntarily agreed, in consultation with the board of directors, to waive 16% of incentive fees, correlated to our 16% energy cost exposure (oil &amp; gas and energy &amp; utilities industries) at cost as of December 31, 2015. For the three months ended December 31, 2016 and 2015, the Investment Adviser earned an incentive fee of $2.9 million (after a waiver of $0.5 million) and $3.2 million (after a waiver of $0.6 million), respectively, from us.</w:t>
      </w:r>
    </w:p>
    <w:p>
      <w:pPr>
        <w:spacing w:after="0" w:line="48" w:lineRule="exact"/>
        <w:rPr>
          <w:sz w:val="20"/>
          <w:szCs w:val="20"/>
          <w:color w:val="auto"/>
        </w:rPr>
      </w:pPr>
    </w:p>
    <w:p>
      <w:pPr>
        <w:ind w:right="80" w:firstLine="685"/>
        <w:spacing w:after="0" w:line="256"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months ended December 31, 2016 and 2015, the Investment Adviser did not earn an incentive fee on capital gains as calculated under the Investment Management Agreement (as described above).</w:t>
      </w:r>
    </w:p>
    <w:p>
      <w:pPr>
        <w:spacing w:after="0" w:line="24" w:lineRule="exact"/>
        <w:rPr>
          <w:sz w:val="20"/>
          <w:szCs w:val="20"/>
          <w:color w:val="auto"/>
        </w:rPr>
      </w:pPr>
    </w:p>
    <w:p>
      <w:pPr>
        <w:ind w:firstLine="685"/>
        <w:spacing w:after="0" w:line="247" w:lineRule="auto"/>
        <w:rPr>
          <w:sz w:val="20"/>
          <w:szCs w:val="20"/>
          <w:color w:val="auto"/>
        </w:rPr>
      </w:pPr>
      <w:r>
        <w:rPr>
          <w:rFonts w:ascii="Arial" w:cs="Arial" w:eastAsia="Arial" w:hAnsi="Arial"/>
          <w:sz w:val="13"/>
          <w:szCs w:val="13"/>
          <w:color w:val="auto"/>
        </w:rPr>
        <w:t>Under GAAP, we are required to accrue a capital gains incentive fee based upon net realized capital gains and net unrealized capital appreciation and depreciation on investments and foreign currencies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if any, will be realized in the future. For each of the three months ended December 31, 2016 and 2015, the Investment Adviser did not accrue such an incentive fee.</w:t>
      </w:r>
    </w:p>
    <w:p>
      <w:pPr>
        <w:spacing w:after="0" w:line="30" w:lineRule="exact"/>
        <w:rPr>
          <w:sz w:val="20"/>
          <w:szCs w:val="20"/>
          <w:color w:val="auto"/>
        </w:rPr>
      </w:pPr>
    </w:p>
    <w:p>
      <w:pPr>
        <w:ind w:right="80" w:firstLine="685"/>
        <w:spacing w:after="0" w:line="246"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our directors who are not interested persons of us, in February 2017.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 under our Administration Agreement, including rent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Statements of Operations. For the three months ended December 31, 2016 and 2015, the Investment Adviser was reimbursed $0.5 million and $0.3 million, respectively, from us, including expenses incurred on behalf of the Administrator, for the services described above.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8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39"/>
        <w:spacing w:after="0" w:line="222" w:lineRule="auto"/>
        <w:rPr>
          <w:sz w:val="20"/>
          <w:szCs w:val="20"/>
          <w:color w:val="auto"/>
        </w:rPr>
      </w:pPr>
      <w:r>
        <w:rPr>
          <w:rFonts w:ascii="Arial" w:cs="Arial" w:eastAsia="Arial" w:hAnsi="Arial"/>
          <w:sz w:val="14"/>
          <w:szCs w:val="14"/>
          <w:b w:val="1"/>
          <w:bCs w:val="1"/>
          <w:color w:val="auto"/>
        </w:rPr>
        <w:t>DECEMBER 31, 2016</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ind w:firstLine="685"/>
        <w:spacing w:after="0" w:line="234" w:lineRule="auto"/>
        <w:rPr>
          <w:sz w:val="20"/>
          <w:szCs w:val="20"/>
          <w:color w:val="auto"/>
        </w:rPr>
      </w:pPr>
      <w:r>
        <w:rPr>
          <w:rFonts w:ascii="Arial" w:cs="Arial" w:eastAsia="Arial" w:hAnsi="Arial"/>
          <w:sz w:val="14"/>
          <w:szCs w:val="14"/>
          <w:color w:val="auto"/>
        </w:rPr>
        <w:t>Purchases of investments, including PIK interest, for the three months ended December 31, 2016 and 2015 totaled $232.1 million and $134.8 million, respectively. Sales and repayments of investments for the same periods totaled $64.2 million and $108.1 million, respectively. For the three months ended December 31, 2016, the Company bought $5.0 million in total investments from an affiliated fund managed by our Investment Adviser in accordance with, and pursuant to procedures adopted under, Rule 17a-7 of the 1940 Act. The affiliated fund realized a gain of less than $0.1 million.</w:t>
      </w:r>
    </w:p>
    <w:p>
      <w:pPr>
        <w:spacing w:after="0" w:line="115" w:lineRule="exact"/>
        <w:rPr>
          <w:sz w:val="20"/>
          <w:szCs w:val="20"/>
          <w:color w:val="auto"/>
        </w:rPr>
      </w:pPr>
    </w:p>
    <w:tbl>
      <w:tblPr>
        <w:tblLayout w:type="fixed"/>
        <w:tblInd w:w="700" w:type="dxa"/>
        <w:tblCellMar>
          <w:top w:w="0" w:type="dxa"/>
          <w:left w:w="0" w:type="dxa"/>
          <w:bottom w:w="0" w:type="dxa"/>
          <w:right w:w="0" w:type="dxa"/>
        </w:tblCellMar>
      </w:tblPr>
      <w:tr>
        <w:trPr>
          <w:trHeight w:val="182"/>
        </w:trPr>
        <w:tc>
          <w:tcPr>
            <w:tcW w:w="4740" w:type="dxa"/>
            <w:vAlign w:val="bottom"/>
            <w:gridSpan w:val="3"/>
          </w:tcPr>
          <w:p>
            <w:pPr>
              <w:spacing w:after="0"/>
              <w:rPr>
                <w:sz w:val="20"/>
                <w:szCs w:val="20"/>
                <w:color w:val="auto"/>
              </w:rPr>
            </w:pPr>
            <w:r>
              <w:rPr>
                <w:rFonts w:ascii="Arial" w:cs="Arial" w:eastAsia="Arial" w:hAnsi="Arial"/>
                <w:sz w:val="14"/>
                <w:szCs w:val="14"/>
                <w:color w:val="auto"/>
              </w:rPr>
              <w:t>Investments, cash and cash equivalents consisted of the following:</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220" w:type="dxa"/>
            <w:vAlign w:val="bottom"/>
          </w:tcPr>
          <w:p>
            <w:pPr>
              <w:spacing w:after="0"/>
              <w:rPr>
                <w:sz w:val="24"/>
                <w:szCs w:val="24"/>
                <w:color w:val="auto"/>
              </w:rPr>
            </w:pPr>
          </w:p>
        </w:tc>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40" w:type="dxa"/>
            <w:vAlign w:val="bottom"/>
          </w:tcPr>
          <w:p>
            <w:pPr>
              <w:spacing w:after="0"/>
              <w:rPr>
                <w:sz w:val="24"/>
                <w:szCs w:val="24"/>
                <w:color w:val="auto"/>
              </w:rPr>
            </w:pPr>
          </w:p>
        </w:tc>
        <w:tc>
          <w:tcPr>
            <w:tcW w:w="2500" w:type="dxa"/>
            <w:vAlign w:val="bottom"/>
            <w:gridSpan w:val="6"/>
          </w:tcPr>
          <w:p>
            <w:pPr>
              <w:ind w:left="46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Pr>
          <w:p>
            <w:pPr>
              <w:spacing w:after="0"/>
              <w:rPr>
                <w:sz w:val="24"/>
                <w:szCs w:val="24"/>
                <w:color w:val="auto"/>
              </w:rPr>
            </w:pPr>
          </w:p>
        </w:tc>
        <w:tc>
          <w:tcPr>
            <w:tcW w:w="22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452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Cost</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Cost</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4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543,041,856</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522,190,511</w:t>
            </w: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418,873,576</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397,102,721</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452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14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441,804,534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442,872,294</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451,756,995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425,412,443</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4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211,801,413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206,702,440</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189,453,101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177,631,517</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4520" w:type="dxa"/>
            <w:vAlign w:val="bottom"/>
            <w:gridSpan w:val="2"/>
          </w:tcPr>
          <w:p>
            <w:pPr>
              <w:spacing w:after="0" w:line="149" w:lineRule="exact"/>
              <w:rPr>
                <w:sz w:val="20"/>
                <w:szCs w:val="20"/>
                <w:color w:val="auto"/>
              </w:rPr>
            </w:pPr>
            <w:r>
              <w:rPr>
                <w:rFonts w:ascii="Arial" w:cs="Arial" w:eastAsia="Arial" w:hAnsi="Arial"/>
                <w:sz w:val="14"/>
                <w:szCs w:val="14"/>
                <w:color w:val="auto"/>
              </w:rPr>
              <w:t>Equity</w:t>
            </w: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203,814,838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153,778,534</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193,873,474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153,532,994</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20" w:type="dxa"/>
            <w:vAlign w:val="bottom"/>
          </w:tcPr>
          <w:p>
            <w:pPr>
              <w:spacing w:after="0"/>
              <w:rPr>
                <w:sz w:val="12"/>
                <w:szCs w:val="12"/>
                <w:color w:val="auto"/>
              </w:rPr>
            </w:pPr>
          </w:p>
        </w:tc>
        <w:tc>
          <w:tcPr>
            <w:tcW w:w="4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1,400,462,641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1,325,543,779</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1,253,957,146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1,153,679,675</w:t>
            </w:r>
          </w:p>
        </w:tc>
        <w:tc>
          <w:tcPr>
            <w:tcW w:w="0" w:type="dxa"/>
            <w:vAlign w:val="bottom"/>
          </w:tcPr>
          <w:p>
            <w:pPr>
              <w:spacing w:after="0"/>
              <w:rPr>
                <w:sz w:val="1"/>
                <w:szCs w:val="1"/>
                <w:color w:val="auto"/>
              </w:rPr>
            </w:pPr>
          </w:p>
        </w:tc>
      </w:tr>
      <w:tr>
        <w:trPr>
          <w:trHeight w:val="163"/>
        </w:trPr>
        <w:tc>
          <w:tcPr>
            <w:tcW w:w="220" w:type="dxa"/>
            <w:vAlign w:val="bottom"/>
          </w:tcPr>
          <w:p>
            <w:pPr>
              <w:spacing w:after="0"/>
              <w:rPr>
                <w:sz w:val="14"/>
                <w:szCs w:val="14"/>
                <w:color w:val="auto"/>
              </w:rPr>
            </w:pPr>
          </w:p>
        </w:tc>
        <w:tc>
          <w:tcPr>
            <w:tcW w:w="452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w:t>
            </w:r>
          </w:p>
        </w:tc>
        <w:tc>
          <w:tcPr>
            <w:tcW w:w="1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45,335,225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45,340,576</w:t>
            </w:r>
          </w:p>
        </w:tc>
        <w:tc>
          <w:tcPr>
            <w:tcW w:w="2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75,617,133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75,608,113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4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1,445,797,866</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1,370,884,355</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8"/>
              </w:rPr>
              <w:t>1,329,574,279</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1,229,287,788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firstLine="685"/>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 as of:</w:t>
      </w:r>
    </w:p>
    <w:p>
      <w:pPr>
        <w:spacing w:after="0" w:line="197" w:lineRule="exact"/>
        <w:rPr>
          <w:sz w:val="20"/>
          <w:szCs w:val="20"/>
          <w:color w:val="auto"/>
        </w:rPr>
      </w:pPr>
    </w:p>
    <w:tbl>
      <w:tblPr>
        <w:tblLayout w:type="fixed"/>
        <w:tblInd w:w="1720" w:type="dxa"/>
        <w:tblCellMar>
          <w:top w:w="0" w:type="dxa"/>
          <w:left w:w="0" w:type="dxa"/>
          <w:bottom w:w="0" w:type="dxa"/>
          <w:right w:w="0" w:type="dxa"/>
        </w:tblCellMar>
      </w:tblPr>
      <w:tr>
        <w:trPr>
          <w:trHeight w:val="185"/>
        </w:trPr>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Industry Classification</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December 31, 2016</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September 30, 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Hotels, Motels, Inns and Gaming</w:t>
            </w:r>
          </w:p>
        </w:tc>
        <w:tc>
          <w:tcPr>
            <w:tcW w:w="134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4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17%</w:t>
            </w:r>
          </w:p>
        </w:tc>
        <w:tc>
          <w:tcPr>
            <w:tcW w:w="13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Consumer Products</w:t>
            </w:r>
          </w:p>
        </w:tc>
        <w:tc>
          <w:tcPr>
            <w:tcW w:w="2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w:t>
            </w:r>
          </w:p>
        </w:tc>
        <w:tc>
          <w:tcPr>
            <w:tcW w:w="26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Personal, Food and Miscellaneous Services</w:t>
            </w:r>
          </w:p>
        </w:tc>
        <w:tc>
          <w:tcPr>
            <w:tcW w:w="2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Aerospace and Defense</w:t>
            </w:r>
          </w:p>
        </w:tc>
        <w:tc>
          <w:tcPr>
            <w:tcW w:w="2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w:t>
            </w:r>
          </w:p>
        </w:tc>
        <w:tc>
          <w:tcPr>
            <w:tcW w:w="26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2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Energy and Utilities</w:t>
            </w:r>
          </w:p>
        </w:tc>
        <w:tc>
          <w:tcPr>
            <w:tcW w:w="2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w:t>
            </w:r>
          </w:p>
        </w:tc>
        <w:tc>
          <w:tcPr>
            <w:tcW w:w="26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Environmental Services</w:t>
            </w:r>
          </w:p>
        </w:tc>
        <w:tc>
          <w:tcPr>
            <w:tcW w:w="2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Financial Services</w:t>
            </w:r>
          </w:p>
        </w:tc>
        <w:tc>
          <w:tcPr>
            <w:tcW w:w="2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w:t>
            </w:r>
          </w:p>
        </w:tc>
        <w:tc>
          <w:tcPr>
            <w:tcW w:w="26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w:t>
            </w:r>
          </w:p>
        </w:tc>
        <w:tc>
          <w:tcPr>
            <w:tcW w:w="2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Electronics</w:t>
            </w:r>
          </w:p>
        </w:tc>
        <w:tc>
          <w:tcPr>
            <w:tcW w:w="2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w:t>
            </w:r>
          </w:p>
        </w:tc>
        <w:tc>
          <w:tcPr>
            <w:tcW w:w="26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Manufacturing / Basic Industries</w:t>
            </w:r>
          </w:p>
        </w:tc>
        <w:tc>
          <w:tcPr>
            <w:tcW w:w="2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Oil and Gas</w:t>
            </w:r>
          </w:p>
        </w:tc>
        <w:tc>
          <w:tcPr>
            <w:tcW w:w="2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w:t>
            </w:r>
          </w:p>
        </w:tc>
        <w:tc>
          <w:tcPr>
            <w:tcW w:w="26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Auto Sector</w:t>
            </w:r>
          </w:p>
        </w:tc>
        <w:tc>
          <w:tcPr>
            <w:tcW w:w="2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Healthcare, Education and Childcare</w:t>
            </w:r>
          </w:p>
        </w:tc>
        <w:tc>
          <w:tcPr>
            <w:tcW w:w="2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26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Retail</w:t>
            </w:r>
          </w:p>
        </w:tc>
        <w:tc>
          <w:tcPr>
            <w:tcW w:w="2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Buildings and Real Estate</w:t>
            </w:r>
          </w:p>
        </w:tc>
        <w:tc>
          <w:tcPr>
            <w:tcW w:w="2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26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Building Materials</w:t>
            </w:r>
          </w:p>
        </w:tc>
        <w:tc>
          <w:tcPr>
            <w:tcW w:w="2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Media</w:t>
            </w:r>
          </w:p>
        </w:tc>
        <w:tc>
          <w:tcPr>
            <w:tcW w:w="2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26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Media</w:t>
            </w:r>
          </w:p>
        </w:tc>
        <w:tc>
          <w:tcPr>
            <w:tcW w:w="2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Printing and Publishing</w:t>
            </w:r>
          </w:p>
        </w:tc>
        <w:tc>
          <w:tcPr>
            <w:tcW w:w="2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26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Diversified Natural Resources, Precious Metals and Minerals</w:t>
            </w:r>
          </w:p>
        </w:tc>
        <w:tc>
          <w:tcPr>
            <w:tcW w:w="2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1440" w:type="dxa"/>
            <w:vAlign w:val="bottom"/>
            <w:gridSpan w:val="2"/>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6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440" w:type="dxa"/>
            <w:vAlign w:val="bottom"/>
            <w:gridSpan w:val="2"/>
            <w:shd w:val="clear" w:color="auto" w:fill="CCEEFF"/>
          </w:tcPr>
          <w:p>
            <w:pPr>
              <w:spacing w:after="0"/>
              <w:rPr>
                <w:sz w:val="12"/>
                <w:szCs w:val="12"/>
                <w:color w:val="auto"/>
              </w:rPr>
            </w:pPr>
          </w:p>
        </w:tc>
        <w:tc>
          <w:tcPr>
            <w:tcW w:w="14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1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920" w:type="dxa"/>
            <w:vAlign w:val="bottom"/>
            <w:gridSpan w:val="4"/>
          </w:tcPr>
          <w:p>
            <w:pPr>
              <w:jc w:val="right"/>
              <w:ind w:right="2480"/>
              <w:spacing w:after="0"/>
              <w:rPr>
                <w:sz w:val="20"/>
                <w:szCs w:val="20"/>
                <w:color w:val="auto"/>
              </w:rPr>
            </w:pPr>
            <w:r>
              <w:rPr>
                <w:rFonts w:ascii="Arial" w:cs="Arial" w:eastAsia="Arial" w:hAnsi="Arial"/>
                <w:sz w:val="14"/>
                <w:szCs w:val="14"/>
                <w:color w:val="auto"/>
              </w:rPr>
              <w:t>F-16</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8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DECEMBER 31, 2016</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right="20" w:firstLine="685"/>
        <w:spacing w:after="0" w:line="251" w:lineRule="auto"/>
        <w:rPr>
          <w:sz w:val="20"/>
          <w:szCs w:val="20"/>
          <w:color w:val="auto"/>
        </w:rPr>
      </w:pPr>
      <w:r>
        <w:rPr>
          <w:rFonts w:ascii="Arial" w:cs="Arial" w:eastAsia="Arial" w:hAnsi="Arial"/>
          <w:sz w:val="13"/>
          <w:szCs w:val="13"/>
          <w:color w:val="auto"/>
        </w:rPr>
        <w:t>Fair value, as defined under ASC 820, Fair Value Measurement,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date.</w:t>
      </w:r>
    </w:p>
    <w:p>
      <w:pPr>
        <w:spacing w:after="0" w:line="110" w:lineRule="exact"/>
        <w:rPr>
          <w:sz w:val="20"/>
          <w:szCs w:val="20"/>
          <w:color w:val="auto"/>
        </w:rPr>
      </w:pPr>
    </w:p>
    <w:p>
      <w:pPr>
        <w:ind w:left="70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760"/>
        <w:spacing w:after="0"/>
        <w:tabs>
          <w:tab w:leader="none" w:pos="152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540" w:right="960" w:hanging="796"/>
        <w:spacing w:after="0" w:line="238" w:lineRule="auto"/>
        <w:tabs>
          <w:tab w:leader="none" w:pos="152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540" w:right="940" w:hanging="796"/>
        <w:spacing w:after="0" w:line="253" w:lineRule="auto"/>
        <w:tabs>
          <w:tab w:leader="none" w:pos="152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93" w:lineRule="exact"/>
        <w:rPr>
          <w:sz w:val="20"/>
          <w:szCs w:val="20"/>
          <w:color w:val="auto"/>
        </w:rPr>
      </w:pPr>
    </w:p>
    <w:p>
      <w:pPr>
        <w:ind w:right="140" w:firstLine="685"/>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firstLine="685"/>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are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7" w:lineRule="exact"/>
        <w:rPr>
          <w:sz w:val="20"/>
          <w:szCs w:val="20"/>
          <w:color w:val="auto"/>
        </w:rPr>
      </w:pPr>
    </w:p>
    <w:p>
      <w:pPr>
        <w:ind w:right="60" w:firstLine="685"/>
        <w:spacing w:after="0" w:line="256" w:lineRule="auto"/>
        <w:rPr>
          <w:sz w:val="20"/>
          <w:szCs w:val="20"/>
          <w:color w:val="auto"/>
        </w:rPr>
      </w:pPr>
      <w:r>
        <w:rPr>
          <w:rFonts w:ascii="Arial" w:cs="Arial" w:eastAsia="Arial" w:hAnsi="Arial"/>
          <w:sz w:val="13"/>
          <w:szCs w:val="13"/>
          <w:color w:val="auto"/>
        </w:rPr>
        <w:t>Our investments are generally structured as debt and equity investments in the form of senior secured debt, mezzanine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91" w:lineRule="exact"/>
        <w:rPr>
          <w:sz w:val="20"/>
          <w:szCs w:val="20"/>
          <w:color w:val="auto"/>
        </w:rPr>
      </w:pPr>
    </w:p>
    <w:p>
      <w:pPr>
        <w:ind w:right="100" w:firstLine="685"/>
        <w:spacing w:after="0" w:line="234"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three months ended December 31, 2016 and 2015, our ability to observe valuation inputs resulted in no reclassifications and one reclassification of an asset from Level 2 to 1, respectively.</w:t>
      </w:r>
    </w:p>
    <w:p>
      <w:pPr>
        <w:spacing w:after="0" w:line="115" w:lineRule="exact"/>
        <w:rPr>
          <w:sz w:val="20"/>
          <w:szCs w:val="20"/>
          <w:color w:val="auto"/>
        </w:rPr>
      </w:pPr>
    </w:p>
    <w:p>
      <w:pPr>
        <w:jc w:val="both"/>
        <w:ind w:right="200" w:firstLine="685"/>
        <w:spacing w:after="0" w:line="238" w:lineRule="auto"/>
        <w:rPr>
          <w:sz w:val="20"/>
          <w:szCs w:val="20"/>
          <w:color w:val="auto"/>
        </w:rPr>
      </w:pPr>
      <w:r>
        <w:rPr>
          <w:rFonts w:ascii="Arial" w:cs="Arial" w:eastAsia="Arial" w:hAnsi="Arial"/>
          <w:sz w:val="14"/>
          <w:szCs w:val="14"/>
          <w:color w:val="auto"/>
        </w:rPr>
        <w:t>In addition to using the above inputs in cash equivalents, investments, our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5" w:lineRule="exact"/>
        <w:rPr>
          <w:sz w:val="20"/>
          <w:szCs w:val="20"/>
          <w:color w:val="auto"/>
        </w:rPr>
      </w:pPr>
    </w:p>
    <w:p>
      <w:pPr>
        <w:ind w:right="80" w:firstLine="685"/>
        <w:spacing w:after="0" w:line="256"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typically include a disclaimer, have no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91" w:lineRule="exact"/>
        <w:rPr>
          <w:sz w:val="20"/>
          <w:szCs w:val="20"/>
          <w:color w:val="auto"/>
        </w:rPr>
      </w:pPr>
    </w:p>
    <w:p>
      <w:pPr>
        <w:ind w:right="100" w:firstLine="685"/>
        <w:spacing w:after="0" w:line="245" w:lineRule="auto"/>
        <w:rPr>
          <w:sz w:val="20"/>
          <w:szCs w:val="20"/>
          <w:color w:val="auto"/>
        </w:rPr>
      </w:pPr>
      <w:r>
        <w:rPr>
          <w:rFonts w:ascii="Arial" w:cs="Arial" w:eastAsia="Arial" w:hAnsi="Arial"/>
          <w:sz w:val="13"/>
          <w:szCs w:val="13"/>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will have the opposite effect.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F-17</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8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line="222" w:lineRule="auto"/>
        <w:rPr>
          <w:sz w:val="20"/>
          <w:szCs w:val="20"/>
          <w:color w:val="auto"/>
        </w:rPr>
      </w:pPr>
      <w:r>
        <w:rPr>
          <w:rFonts w:ascii="Arial" w:cs="Arial" w:eastAsia="Arial" w:hAnsi="Arial"/>
          <w:sz w:val="14"/>
          <w:szCs w:val="14"/>
          <w:b w:val="1"/>
          <w:bCs w:val="1"/>
          <w:color w:val="auto"/>
        </w:rPr>
        <w:t>DECEMBER 31, 2016</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Our Level 3 valuations techniques, unobservable inputs and ranges were categorized as follows for ASC 820 purposes: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40" w:type="dxa"/>
            <w:vAlign w:val="bottom"/>
          </w:tcPr>
          <w:p>
            <w:pPr>
              <w:spacing w:after="0"/>
              <w:rPr>
                <w:sz w:val="14"/>
                <w:szCs w:val="14"/>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Fair Value at</w:t>
            </w:r>
          </w:p>
        </w:tc>
        <w:tc>
          <w:tcPr>
            <w:tcW w:w="1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Valuation Technique</w:t>
            </w:r>
          </w:p>
        </w:tc>
        <w:tc>
          <w:tcPr>
            <w:tcW w:w="21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Unobservable Input</w:t>
            </w:r>
          </w:p>
        </w:tc>
        <w:tc>
          <w:tcPr>
            <w:tcW w:w="14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16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1"/>
              </w:rPr>
              <w:t>December 31, 2016</w:t>
            </w:r>
          </w:p>
        </w:tc>
        <w:tc>
          <w:tcPr>
            <w:tcW w:w="1920" w:type="dxa"/>
            <w:vAlign w:val="bottom"/>
            <w:gridSpan w:val="2"/>
            <w:vMerge w:val="continue"/>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14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37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4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126,200,242</w:t>
            </w:r>
          </w:p>
        </w:tc>
        <w:tc>
          <w:tcPr>
            <w:tcW w:w="44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Market Comparable</w:t>
            </w:r>
          </w:p>
        </w:tc>
        <w:tc>
          <w:tcPr>
            <w:tcW w:w="46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Broker/Dealer bids or quotes</w:t>
            </w:r>
          </w:p>
        </w:tc>
        <w:tc>
          <w:tcPr>
            <w:tcW w:w="46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ind w:left="620"/>
              <w:spacing w:after="0" w:line="142" w:lineRule="exact"/>
              <w:rPr>
                <w:sz w:val="20"/>
                <w:szCs w:val="20"/>
                <w:color w:val="auto"/>
              </w:rPr>
            </w:pPr>
            <w:r>
              <w:rPr>
                <w:rFonts w:ascii="Arial" w:cs="Arial" w:eastAsia="Arial" w:hAnsi="Arial"/>
                <w:sz w:val="14"/>
                <w:szCs w:val="14"/>
                <w:color w:val="auto"/>
              </w:rPr>
              <w:t>N/A</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140" w:type="dxa"/>
            <w:vAlign w:val="bottom"/>
          </w:tcPr>
          <w:p>
            <w:pPr>
              <w:spacing w:after="0"/>
              <w:rPr>
                <w:sz w:val="12"/>
                <w:szCs w:val="12"/>
                <w:color w:val="auto"/>
              </w:rPr>
            </w:pPr>
          </w:p>
        </w:tc>
        <w:tc>
          <w:tcPr>
            <w:tcW w:w="15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159,739,313</w:t>
            </w:r>
          </w:p>
        </w:tc>
        <w:tc>
          <w:tcPr>
            <w:tcW w:w="19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2"/>
              </w:rPr>
              <w:t>Market Comparable</w:t>
            </w:r>
          </w:p>
        </w:tc>
        <w:tc>
          <w:tcPr>
            <w:tcW w:w="21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3"/>
              </w:rPr>
              <w:t>Broker/Dealer bids or quotes</w:t>
            </w:r>
          </w:p>
        </w:tc>
        <w:tc>
          <w:tcPr>
            <w:tcW w:w="14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1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9,652,978</w:t>
            </w:r>
          </w:p>
        </w:tc>
        <w:tc>
          <w:tcPr>
            <w:tcW w:w="192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2"/>
              </w:rPr>
              <w:t>Market Comparable</w:t>
            </w:r>
          </w:p>
        </w:tc>
        <w:tc>
          <w:tcPr>
            <w:tcW w:w="216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3"/>
              </w:rPr>
              <w:t>Broker/Dealer bids or quotes</w:t>
            </w:r>
          </w:p>
        </w:tc>
        <w:tc>
          <w:tcPr>
            <w:tcW w:w="14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First lien</w:t>
            </w:r>
          </w:p>
        </w:tc>
        <w:tc>
          <w:tcPr>
            <w:tcW w:w="140" w:type="dxa"/>
            <w:vAlign w:val="bottom"/>
          </w:tcPr>
          <w:p>
            <w:pPr>
              <w:spacing w:after="0"/>
              <w:rPr>
                <w:sz w:val="12"/>
                <w:szCs w:val="12"/>
                <w:color w:val="auto"/>
              </w:rPr>
            </w:pPr>
          </w:p>
        </w:tc>
        <w:tc>
          <w:tcPr>
            <w:tcW w:w="15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395,990,269</w:t>
            </w:r>
          </w:p>
        </w:tc>
        <w:tc>
          <w:tcPr>
            <w:tcW w:w="19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2"/>
              </w:rPr>
              <w:t>Market Comparable</w:t>
            </w:r>
          </w:p>
        </w:tc>
        <w:tc>
          <w:tcPr>
            <w:tcW w:w="21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7"/>
              </w:rPr>
              <w:t>Market Yield</w:t>
            </w: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9.8% – 18.0% (13.0%)</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Second lien</w:t>
            </w:r>
          </w:p>
        </w:tc>
        <w:tc>
          <w:tcPr>
            <w:tcW w:w="1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296,166,981</w:t>
            </w:r>
          </w:p>
        </w:tc>
        <w:tc>
          <w:tcPr>
            <w:tcW w:w="192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2"/>
              </w:rPr>
              <w:t>Market Comparable</w:t>
            </w:r>
          </w:p>
        </w:tc>
        <w:tc>
          <w:tcPr>
            <w:tcW w:w="216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97"/>
              </w:rPr>
              <w:t>Market Yield</w:t>
            </w:r>
          </w:p>
        </w:tc>
        <w:tc>
          <w:tcPr>
            <w:tcW w:w="14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9.6% – 18.0% (13.5%)</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140" w:type="dxa"/>
            <w:vAlign w:val="bottom"/>
          </w:tcPr>
          <w:p>
            <w:pPr>
              <w:spacing w:after="0"/>
              <w:rPr>
                <w:sz w:val="12"/>
                <w:szCs w:val="12"/>
                <w:color w:val="auto"/>
              </w:rPr>
            </w:pPr>
          </w:p>
        </w:tc>
        <w:tc>
          <w:tcPr>
            <w:tcW w:w="15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184,015,462</w:t>
            </w:r>
          </w:p>
        </w:tc>
        <w:tc>
          <w:tcPr>
            <w:tcW w:w="19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2"/>
              </w:rPr>
              <w:t>Market Comparable</w:t>
            </w:r>
          </w:p>
        </w:tc>
        <w:tc>
          <w:tcPr>
            <w:tcW w:w="21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7"/>
              </w:rPr>
              <w:t>Market Yield</w:t>
            </w: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11.0% – 18.6% (10.7%)</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w:t>
            </w:r>
          </w:p>
        </w:tc>
        <w:tc>
          <w:tcPr>
            <w:tcW w:w="1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125,589,910</w:t>
            </w:r>
          </w:p>
        </w:tc>
        <w:tc>
          <w:tcPr>
            <w:tcW w:w="192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93"/>
              </w:rPr>
              <w:t>Enterprise Market Value</w:t>
            </w:r>
          </w:p>
        </w:tc>
        <w:tc>
          <w:tcPr>
            <w:tcW w:w="216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9"/>
              </w:rPr>
              <w:t>EBITDA multiple</w:t>
            </w:r>
          </w:p>
        </w:tc>
        <w:tc>
          <w:tcPr>
            <w:tcW w:w="14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5.5x – 15.5x (8.8x)</w:t>
            </w:r>
          </w:p>
        </w:tc>
        <w:tc>
          <w:tcPr>
            <w:tcW w:w="0" w:type="dxa"/>
            <w:vAlign w:val="bottom"/>
          </w:tcPr>
          <w:p>
            <w:pPr>
              <w:spacing w:after="0"/>
              <w:rPr>
                <w:sz w:val="1"/>
                <w:szCs w:val="1"/>
                <w:color w:val="auto"/>
              </w:rPr>
            </w:pPr>
          </w:p>
        </w:tc>
      </w:tr>
      <w:tr>
        <w:trPr>
          <w:trHeight w:val="156"/>
        </w:trPr>
        <w:tc>
          <w:tcPr>
            <w:tcW w:w="420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Total Level 3 investments</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1,297,355,155</w:t>
            </w:r>
          </w:p>
        </w:tc>
        <w:tc>
          <w:tcPr>
            <w:tcW w:w="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CEEFF"/>
          </w:tcPr>
          <w:p>
            <w:pPr>
              <w:jc w:val="right"/>
              <w:ind w:right="440"/>
              <w:spacing w:after="0" w:line="143" w:lineRule="exact"/>
              <w:rPr>
                <w:sz w:val="20"/>
                <w:szCs w:val="20"/>
                <w:color w:val="auto"/>
              </w:rPr>
            </w:pPr>
            <w:r>
              <w:rPr>
                <w:rFonts w:ascii="Arial" w:cs="Arial" w:eastAsia="Arial" w:hAnsi="Arial"/>
                <w:sz w:val="14"/>
                <w:szCs w:val="14"/>
                <w:color w:val="auto"/>
              </w:rPr>
              <w:t>136,122,503</w:t>
            </w:r>
          </w:p>
        </w:tc>
        <w:tc>
          <w:tcPr>
            <w:tcW w:w="1920" w:type="dxa"/>
            <w:vAlign w:val="bottom"/>
            <w:gridSpan w:val="2"/>
            <w:shd w:val="clear" w:color="auto" w:fill="CCEEFF"/>
          </w:tcPr>
          <w:p>
            <w:pPr>
              <w:jc w:val="center"/>
              <w:ind w:right="420"/>
              <w:spacing w:after="0" w:line="143" w:lineRule="exact"/>
              <w:rPr>
                <w:sz w:val="20"/>
                <w:szCs w:val="20"/>
                <w:color w:val="auto"/>
              </w:rPr>
            </w:pPr>
            <w:r>
              <w:rPr>
                <w:rFonts w:ascii="Arial" w:cs="Arial" w:eastAsia="Arial" w:hAnsi="Arial"/>
                <w:sz w:val="14"/>
                <w:szCs w:val="14"/>
                <w:color w:val="auto"/>
                <w:w w:val="92"/>
              </w:rPr>
              <w:t>Market Comparable</w:t>
            </w:r>
          </w:p>
        </w:tc>
        <w:tc>
          <w:tcPr>
            <w:tcW w:w="2160" w:type="dxa"/>
            <w:vAlign w:val="bottom"/>
            <w:gridSpan w:val="2"/>
            <w:shd w:val="clear" w:color="auto" w:fill="CCEEFF"/>
          </w:tcPr>
          <w:p>
            <w:pPr>
              <w:jc w:val="center"/>
              <w:ind w:right="400"/>
              <w:spacing w:after="0" w:line="143" w:lineRule="exact"/>
              <w:rPr>
                <w:sz w:val="20"/>
                <w:szCs w:val="20"/>
                <w:color w:val="auto"/>
              </w:rPr>
            </w:pPr>
            <w:r>
              <w:rPr>
                <w:rFonts w:ascii="Arial" w:cs="Arial" w:eastAsia="Arial" w:hAnsi="Arial"/>
                <w:sz w:val="14"/>
                <w:szCs w:val="14"/>
                <w:color w:val="auto"/>
                <w:w w:val="97"/>
              </w:rPr>
              <w:t>Market Yield</w:t>
            </w:r>
          </w:p>
        </w:tc>
        <w:tc>
          <w:tcPr>
            <w:tcW w:w="14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3.7%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4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 at</w:t>
            </w:r>
          </w:p>
        </w:tc>
        <w:tc>
          <w:tcPr>
            <w:tcW w:w="1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Valuation Technique</w:t>
            </w:r>
          </w:p>
        </w:tc>
        <w:tc>
          <w:tcPr>
            <w:tcW w:w="21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Unobservable Input</w:t>
            </w:r>
          </w:p>
        </w:tc>
        <w:tc>
          <w:tcPr>
            <w:tcW w:w="14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2016</w:t>
            </w:r>
          </w:p>
        </w:tc>
        <w:tc>
          <w:tcPr>
            <w:tcW w:w="1920" w:type="dxa"/>
            <w:vAlign w:val="bottom"/>
            <w:gridSpan w:val="2"/>
            <w:vMerge w:val="continue"/>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14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37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4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35,569,934</w:t>
            </w:r>
          </w:p>
        </w:tc>
        <w:tc>
          <w:tcPr>
            <w:tcW w:w="44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Market Comparable</w:t>
            </w:r>
          </w:p>
        </w:tc>
        <w:tc>
          <w:tcPr>
            <w:tcW w:w="46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Broker/Dealer bids or quotes</w:t>
            </w:r>
          </w:p>
        </w:tc>
        <w:tc>
          <w:tcPr>
            <w:tcW w:w="46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ind w:left="620"/>
              <w:spacing w:after="0" w:line="142" w:lineRule="exact"/>
              <w:rPr>
                <w:sz w:val="20"/>
                <w:szCs w:val="20"/>
                <w:color w:val="auto"/>
              </w:rPr>
            </w:pPr>
            <w:r>
              <w:rPr>
                <w:rFonts w:ascii="Arial" w:cs="Arial" w:eastAsia="Arial" w:hAnsi="Arial"/>
                <w:sz w:val="14"/>
                <w:szCs w:val="14"/>
                <w:color w:val="auto"/>
              </w:rPr>
              <w:t>N/A</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140" w:type="dxa"/>
            <w:vAlign w:val="bottom"/>
          </w:tcPr>
          <w:p>
            <w:pPr>
              <w:spacing w:after="0"/>
              <w:rPr>
                <w:sz w:val="12"/>
                <w:szCs w:val="12"/>
                <w:color w:val="auto"/>
              </w:rPr>
            </w:pPr>
          </w:p>
        </w:tc>
        <w:tc>
          <w:tcPr>
            <w:tcW w:w="15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122,923,804</w:t>
            </w:r>
          </w:p>
        </w:tc>
        <w:tc>
          <w:tcPr>
            <w:tcW w:w="19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2"/>
              </w:rPr>
              <w:t>Market Comparable</w:t>
            </w:r>
          </w:p>
        </w:tc>
        <w:tc>
          <w:tcPr>
            <w:tcW w:w="21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3"/>
              </w:rPr>
              <w:t>Broker/Dealer bids or quotes</w:t>
            </w:r>
          </w:p>
        </w:tc>
        <w:tc>
          <w:tcPr>
            <w:tcW w:w="14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1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8,995,448</w:t>
            </w:r>
          </w:p>
        </w:tc>
        <w:tc>
          <w:tcPr>
            <w:tcW w:w="192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2"/>
              </w:rPr>
              <w:t>Market Comparable</w:t>
            </w:r>
          </w:p>
        </w:tc>
        <w:tc>
          <w:tcPr>
            <w:tcW w:w="216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3"/>
              </w:rPr>
              <w:t>Broker/Dealer bids or quotes</w:t>
            </w:r>
          </w:p>
        </w:tc>
        <w:tc>
          <w:tcPr>
            <w:tcW w:w="14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First lien</w:t>
            </w:r>
          </w:p>
        </w:tc>
        <w:tc>
          <w:tcPr>
            <w:tcW w:w="140" w:type="dxa"/>
            <w:vAlign w:val="bottom"/>
          </w:tcPr>
          <w:p>
            <w:pPr>
              <w:spacing w:after="0"/>
              <w:rPr>
                <w:sz w:val="12"/>
                <w:szCs w:val="12"/>
                <w:color w:val="auto"/>
              </w:rPr>
            </w:pPr>
          </w:p>
        </w:tc>
        <w:tc>
          <w:tcPr>
            <w:tcW w:w="15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361,532,787</w:t>
            </w:r>
          </w:p>
        </w:tc>
        <w:tc>
          <w:tcPr>
            <w:tcW w:w="19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2"/>
              </w:rPr>
              <w:t>Market Comparable</w:t>
            </w:r>
          </w:p>
        </w:tc>
        <w:tc>
          <w:tcPr>
            <w:tcW w:w="21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7"/>
              </w:rPr>
              <w:t>Market Yield</w:t>
            </w: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8.8% – 21.7% (13.1%)</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Second lien</w:t>
            </w:r>
          </w:p>
        </w:tc>
        <w:tc>
          <w:tcPr>
            <w:tcW w:w="1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302,488,639</w:t>
            </w:r>
          </w:p>
        </w:tc>
        <w:tc>
          <w:tcPr>
            <w:tcW w:w="192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2"/>
              </w:rPr>
              <w:t>Market Comparable</w:t>
            </w:r>
          </w:p>
        </w:tc>
        <w:tc>
          <w:tcPr>
            <w:tcW w:w="216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97"/>
              </w:rPr>
              <w:t>Market Yield</w:t>
            </w:r>
          </w:p>
        </w:tc>
        <w:tc>
          <w:tcPr>
            <w:tcW w:w="14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9.5% – 17.3% (13.1%)</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140" w:type="dxa"/>
            <w:vAlign w:val="bottom"/>
          </w:tcPr>
          <w:p>
            <w:pPr>
              <w:spacing w:after="0"/>
              <w:rPr>
                <w:sz w:val="12"/>
                <w:szCs w:val="12"/>
                <w:color w:val="auto"/>
              </w:rPr>
            </w:pPr>
          </w:p>
        </w:tc>
        <w:tc>
          <w:tcPr>
            <w:tcW w:w="15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168,636,069</w:t>
            </w:r>
          </w:p>
        </w:tc>
        <w:tc>
          <w:tcPr>
            <w:tcW w:w="19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2"/>
              </w:rPr>
              <w:t>Market Comparable</w:t>
            </w:r>
          </w:p>
        </w:tc>
        <w:tc>
          <w:tcPr>
            <w:tcW w:w="21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7"/>
              </w:rPr>
              <w:t>Market Yield</w:t>
            </w: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11.0% – 15.7% (10.2%)</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w:t>
            </w:r>
          </w:p>
        </w:tc>
        <w:tc>
          <w:tcPr>
            <w:tcW w:w="1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125,633,017</w:t>
            </w:r>
          </w:p>
        </w:tc>
        <w:tc>
          <w:tcPr>
            <w:tcW w:w="192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93"/>
              </w:rPr>
              <w:t>Enterprise Market Value</w:t>
            </w:r>
          </w:p>
        </w:tc>
        <w:tc>
          <w:tcPr>
            <w:tcW w:w="216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9"/>
              </w:rPr>
              <w:t>EBITDA multiple</w:t>
            </w:r>
          </w:p>
        </w:tc>
        <w:tc>
          <w:tcPr>
            <w:tcW w:w="14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5.0x – 15.5x (8.2x)</w:t>
            </w:r>
          </w:p>
        </w:tc>
        <w:tc>
          <w:tcPr>
            <w:tcW w:w="0" w:type="dxa"/>
            <w:vAlign w:val="bottom"/>
          </w:tcPr>
          <w:p>
            <w:pPr>
              <w:spacing w:after="0"/>
              <w:rPr>
                <w:sz w:val="1"/>
                <w:szCs w:val="1"/>
                <w:color w:val="auto"/>
              </w:rPr>
            </w:pPr>
          </w:p>
        </w:tc>
      </w:tr>
      <w:tr>
        <w:trPr>
          <w:trHeight w:val="156"/>
        </w:trPr>
        <w:tc>
          <w:tcPr>
            <w:tcW w:w="420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Total Level 3 investments</w:t>
            </w: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1,125,779,698</w:t>
            </w:r>
          </w:p>
        </w:tc>
        <w:tc>
          <w:tcPr>
            <w:tcW w:w="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1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440"/>
              <w:spacing w:after="0" w:line="143" w:lineRule="exact"/>
              <w:rPr>
                <w:sz w:val="20"/>
                <w:szCs w:val="20"/>
                <w:color w:val="auto"/>
              </w:rPr>
            </w:pPr>
            <w:r>
              <w:rPr>
                <w:rFonts w:ascii="Arial" w:cs="Arial" w:eastAsia="Arial" w:hAnsi="Arial"/>
                <w:sz w:val="14"/>
                <w:szCs w:val="14"/>
                <w:color w:val="auto"/>
              </w:rPr>
              <w:t>39,551,187</w:t>
            </w:r>
          </w:p>
        </w:tc>
        <w:tc>
          <w:tcPr>
            <w:tcW w:w="1920" w:type="dxa"/>
            <w:vAlign w:val="bottom"/>
            <w:gridSpan w:val="2"/>
            <w:shd w:val="clear" w:color="auto" w:fill="CCEEFF"/>
          </w:tcPr>
          <w:p>
            <w:pPr>
              <w:jc w:val="center"/>
              <w:ind w:right="420"/>
              <w:spacing w:after="0" w:line="143" w:lineRule="exact"/>
              <w:rPr>
                <w:sz w:val="20"/>
                <w:szCs w:val="20"/>
                <w:color w:val="auto"/>
              </w:rPr>
            </w:pPr>
            <w:r>
              <w:rPr>
                <w:rFonts w:ascii="Arial" w:cs="Arial" w:eastAsia="Arial" w:hAnsi="Arial"/>
                <w:sz w:val="14"/>
                <w:szCs w:val="14"/>
                <w:color w:val="auto"/>
                <w:w w:val="92"/>
              </w:rPr>
              <w:t>Market Comparable</w:t>
            </w:r>
          </w:p>
        </w:tc>
        <w:tc>
          <w:tcPr>
            <w:tcW w:w="2160" w:type="dxa"/>
            <w:vAlign w:val="bottom"/>
            <w:gridSpan w:val="2"/>
            <w:shd w:val="clear" w:color="auto" w:fill="CCEEFF"/>
          </w:tcPr>
          <w:p>
            <w:pPr>
              <w:jc w:val="center"/>
              <w:ind w:right="400"/>
              <w:spacing w:after="0" w:line="143" w:lineRule="exact"/>
              <w:rPr>
                <w:sz w:val="20"/>
                <w:szCs w:val="20"/>
                <w:color w:val="auto"/>
              </w:rPr>
            </w:pPr>
            <w:r>
              <w:rPr>
                <w:rFonts w:ascii="Arial" w:cs="Arial" w:eastAsia="Arial" w:hAnsi="Arial"/>
                <w:sz w:val="14"/>
                <w:szCs w:val="14"/>
                <w:color w:val="auto"/>
                <w:w w:val="97"/>
              </w:rPr>
              <w:t>Market Yield</w:t>
            </w:r>
          </w:p>
        </w:tc>
        <w:tc>
          <w:tcPr>
            <w:tcW w:w="14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3.8%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Our investments, cash and cash equivalents, Credit Facility and our Notes were categorized as follows in the fair value hierarchy for ASC 820 purposes: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w w:val="99"/>
              </w:rPr>
              <w:t>Fair Value at December 31, 2016</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124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108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1,171,765,245</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ind w:left="820"/>
              <w:spacing w:after="0" w:line="142" w:lineRule="exact"/>
              <w:rPr>
                <w:sz w:val="20"/>
                <w:szCs w:val="20"/>
                <w:color w:val="auto"/>
              </w:rPr>
            </w:pPr>
            <w:r>
              <w:rPr>
                <w:rFonts w:ascii="Arial" w:cs="Arial" w:eastAsia="Arial" w:hAnsi="Arial"/>
                <w:sz w:val="14"/>
                <w:szCs w:val="14"/>
                <w:color w:val="auto"/>
                <w:w w:val="85"/>
              </w:rPr>
              <w:t>—</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1,171,765,245</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153,778,534</w:t>
            </w:r>
          </w:p>
        </w:tc>
        <w:tc>
          <w:tcPr>
            <w:tcW w:w="18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1,817,390</w:t>
            </w:r>
          </w:p>
        </w:tc>
        <w:tc>
          <w:tcPr>
            <w:tcW w:w="24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26,371,234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125,589,910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7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1,325,543,779</w:t>
            </w: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1,817,390</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26,371,234</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1,297,355,155</w:t>
            </w:r>
          </w:p>
        </w:tc>
        <w:tc>
          <w:tcPr>
            <w:tcW w:w="0" w:type="dxa"/>
            <w:vAlign w:val="bottom"/>
          </w:tcPr>
          <w:p>
            <w:pPr>
              <w:spacing w:after="0"/>
              <w:rPr>
                <w:sz w:val="1"/>
                <w:szCs w:val="1"/>
                <w:color w:val="auto"/>
              </w:rPr>
            </w:pPr>
          </w:p>
        </w:tc>
      </w:tr>
      <w:tr>
        <w:trPr>
          <w:trHeight w:val="149"/>
        </w:trPr>
        <w:tc>
          <w:tcPr>
            <w:tcW w:w="570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45,340,576</w:t>
            </w:r>
          </w:p>
        </w:tc>
        <w:tc>
          <w:tcPr>
            <w:tcW w:w="18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45,340,576</w:t>
            </w:r>
          </w:p>
        </w:tc>
        <w:tc>
          <w:tcPr>
            <w:tcW w:w="24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7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1,370,884,355</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47,157,966</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26,371,234</w:t>
            </w:r>
          </w:p>
        </w:tc>
        <w:tc>
          <w:tcPr>
            <w:tcW w:w="34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1,297,355,155</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3" w:lineRule="exact"/>
              <w:rPr>
                <w:sz w:val="20"/>
                <w:szCs w:val="20"/>
                <w:color w:val="auto"/>
              </w:rPr>
            </w:pPr>
            <w:r>
              <w:rPr>
                <w:rFonts w:ascii="Arial" w:cs="Arial" w:eastAsia="Arial" w:hAnsi="Arial"/>
                <w:sz w:val="14"/>
                <w:szCs w:val="14"/>
                <w:color w:val="auto"/>
              </w:rPr>
              <w:t>136,122,503</w:t>
            </w:r>
          </w:p>
        </w:tc>
        <w:tc>
          <w:tcPr>
            <w:tcW w:w="24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40" w:type="dxa"/>
            <w:vAlign w:val="bottom"/>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tcPr>
          <w:p>
            <w:pPr>
              <w:ind w:left="820"/>
              <w:spacing w:after="0" w:line="143"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43" w:lineRule="exact"/>
              <w:rPr>
                <w:sz w:val="20"/>
                <w:szCs w:val="20"/>
                <w:color w:val="auto"/>
              </w:rPr>
            </w:pPr>
            <w:r>
              <w:rPr>
                <w:rFonts w:ascii="Arial" w:cs="Arial" w:eastAsia="Arial" w:hAnsi="Arial"/>
                <w:sz w:val="14"/>
                <w:szCs w:val="14"/>
                <w:color w:val="auto"/>
              </w:rPr>
              <w:t>136,122,503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250,635,000</w:t>
            </w: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250,635,000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00" w:type="dxa"/>
            <w:vAlign w:val="bottom"/>
          </w:tcPr>
          <w:p>
            <w:pPr>
              <w:spacing w:after="0" w:line="149" w:lineRule="exact"/>
              <w:rPr>
                <w:sz w:val="20"/>
                <w:szCs w:val="20"/>
                <w:color w:val="auto"/>
              </w:rPr>
            </w:pPr>
            <w:r>
              <w:rPr>
                <w:rFonts w:ascii="Arial" w:cs="Arial" w:eastAsia="Arial" w:hAnsi="Arial"/>
                <w:sz w:val="14"/>
                <w:szCs w:val="14"/>
                <w:color w:val="auto"/>
              </w:rPr>
              <w:t>2025 Notes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71,535,000</w:t>
            </w:r>
          </w:p>
        </w:tc>
        <w:tc>
          <w:tcPr>
            <w:tcW w:w="18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71,535,000</w:t>
            </w:r>
          </w:p>
        </w:tc>
        <w:tc>
          <w:tcPr>
            <w:tcW w:w="24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7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debt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458,292,503</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71,535,000</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250,635,000</w:t>
            </w:r>
          </w:p>
        </w:tc>
        <w:tc>
          <w:tcPr>
            <w:tcW w:w="34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136,122,503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w w:val="98"/>
              </w:rPr>
              <w:t>Fair Value at September 30, 2016</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2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124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108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14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1,000,146,681</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ind w:left="820"/>
              <w:spacing w:after="0" w:line="142" w:lineRule="exact"/>
              <w:rPr>
                <w:sz w:val="20"/>
                <w:szCs w:val="20"/>
                <w:color w:val="auto"/>
              </w:rPr>
            </w:pPr>
            <w:r>
              <w:rPr>
                <w:rFonts w:ascii="Arial" w:cs="Arial" w:eastAsia="Arial" w:hAnsi="Arial"/>
                <w:sz w:val="14"/>
                <w:szCs w:val="14"/>
                <w:color w:val="auto"/>
                <w:w w:val="85"/>
              </w:rPr>
              <w:t>—</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1,000,146,681</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153,532,994</w:t>
            </w:r>
          </w:p>
        </w:tc>
        <w:tc>
          <w:tcPr>
            <w:tcW w:w="18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2,758,757</w:t>
            </w:r>
          </w:p>
        </w:tc>
        <w:tc>
          <w:tcPr>
            <w:tcW w:w="24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25,141,220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125,633,017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2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1,153,679,675</w:t>
            </w: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2,758,757</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25,141,220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1,125,779,698</w:t>
            </w:r>
          </w:p>
        </w:tc>
        <w:tc>
          <w:tcPr>
            <w:tcW w:w="0" w:type="dxa"/>
            <w:vAlign w:val="bottom"/>
          </w:tcPr>
          <w:p>
            <w:pPr>
              <w:spacing w:after="0"/>
              <w:rPr>
                <w:sz w:val="1"/>
                <w:szCs w:val="1"/>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75,608,113</w:t>
            </w:r>
          </w:p>
        </w:tc>
        <w:tc>
          <w:tcPr>
            <w:tcW w:w="18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75,608,113</w:t>
            </w:r>
          </w:p>
        </w:tc>
        <w:tc>
          <w:tcPr>
            <w:tcW w:w="24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2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16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1,229,287,788</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78,366,870</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25,141,220</w:t>
            </w:r>
          </w:p>
        </w:tc>
        <w:tc>
          <w:tcPr>
            <w:tcW w:w="34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1,125,779,698</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2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3" w:lineRule="exact"/>
              <w:rPr>
                <w:sz w:val="20"/>
                <w:szCs w:val="20"/>
                <w:color w:val="auto"/>
              </w:rPr>
            </w:pPr>
            <w:r>
              <w:rPr>
                <w:rFonts w:ascii="Arial" w:cs="Arial" w:eastAsia="Arial" w:hAnsi="Arial"/>
                <w:sz w:val="14"/>
                <w:szCs w:val="14"/>
                <w:color w:val="auto"/>
              </w:rPr>
              <w:t>39,551,187</w:t>
            </w:r>
          </w:p>
        </w:tc>
        <w:tc>
          <w:tcPr>
            <w:tcW w:w="24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40" w:type="dxa"/>
            <w:vAlign w:val="bottom"/>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tcPr>
          <w:p>
            <w:pPr>
              <w:ind w:left="820"/>
              <w:spacing w:after="0" w:line="143"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43" w:lineRule="exact"/>
              <w:rPr>
                <w:sz w:val="20"/>
                <w:szCs w:val="20"/>
                <w:color w:val="auto"/>
              </w:rPr>
            </w:pPr>
            <w:r>
              <w:rPr>
                <w:rFonts w:ascii="Arial" w:cs="Arial" w:eastAsia="Arial" w:hAnsi="Arial"/>
                <w:sz w:val="14"/>
                <w:szCs w:val="14"/>
                <w:color w:val="auto"/>
              </w:rPr>
              <w:t>39,551,187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254,175,000</w:t>
            </w: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254,175,000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2025 Notes</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72,618,000</w:t>
            </w:r>
          </w:p>
        </w:tc>
        <w:tc>
          <w:tcPr>
            <w:tcW w:w="18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72,618,000</w:t>
            </w:r>
          </w:p>
        </w:tc>
        <w:tc>
          <w:tcPr>
            <w:tcW w:w="24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2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debt</w:t>
            </w:r>
          </w:p>
        </w:tc>
        <w:tc>
          <w:tcPr>
            <w:tcW w:w="16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366,344,187</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72,618,000</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254,175,000</w:t>
            </w:r>
          </w:p>
        </w:tc>
        <w:tc>
          <w:tcPr>
            <w:tcW w:w="34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39,551,187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4220" w:type="dxa"/>
            <w:vAlign w:val="bottom"/>
          </w:tcPr>
          <w:p>
            <w:pPr>
              <w:spacing w:after="0"/>
              <w:rPr>
                <w:sz w:val="24"/>
                <w:szCs w:val="24"/>
                <w:color w:val="auto"/>
              </w:rPr>
            </w:pPr>
          </w:p>
        </w:tc>
        <w:tc>
          <w:tcPr>
            <w:tcW w:w="1840" w:type="dxa"/>
            <w:vAlign w:val="bottom"/>
            <w:gridSpan w:val="3"/>
          </w:tcPr>
          <w:p>
            <w:pPr>
              <w:jc w:val="right"/>
              <w:ind w:right="128"/>
              <w:spacing w:after="0"/>
              <w:rPr>
                <w:sz w:val="20"/>
                <w:szCs w:val="20"/>
                <w:color w:val="auto"/>
              </w:rPr>
            </w:pPr>
            <w:r>
              <w:rPr>
                <w:rFonts w:ascii="Arial" w:cs="Arial" w:eastAsia="Arial" w:hAnsi="Arial"/>
                <w:sz w:val="14"/>
                <w:szCs w:val="14"/>
                <w:color w:val="auto"/>
              </w:rPr>
              <w:t>F-18</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8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line="222" w:lineRule="auto"/>
        <w:rPr>
          <w:sz w:val="20"/>
          <w:szCs w:val="20"/>
          <w:color w:val="auto"/>
        </w:rPr>
      </w:pPr>
      <w:r>
        <w:rPr>
          <w:rFonts w:ascii="Arial" w:cs="Arial" w:eastAsia="Arial" w:hAnsi="Arial"/>
          <w:sz w:val="14"/>
          <w:szCs w:val="14"/>
          <w:b w:val="1"/>
          <w:bCs w:val="1"/>
          <w:color w:val="auto"/>
        </w:rPr>
        <w:t>DECEMBER 31, 2016</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tables below show a reconciliation of the beginning and ending balances for fair valued investments measured using significant unobservable inputs (Level 3):</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10"/>
          </w:tcPr>
          <w:p>
            <w:pPr>
              <w:jc w:val="right"/>
              <w:ind w:right="468"/>
              <w:spacing w:after="0"/>
              <w:rPr>
                <w:sz w:val="20"/>
                <w:szCs w:val="20"/>
                <w:color w:val="auto"/>
              </w:rPr>
            </w:pPr>
            <w:r>
              <w:rPr>
                <w:rFonts w:ascii="Arial" w:cs="Arial" w:eastAsia="Arial" w:hAnsi="Arial"/>
                <w:sz w:val="14"/>
                <w:szCs w:val="14"/>
                <w:b w:val="1"/>
                <w:bCs w:val="1"/>
                <w:color w:val="auto"/>
              </w:rPr>
              <w:t>Three Months Ended December 31, 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Debt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77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2"/>
              </w:rPr>
              <w:t>investments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1,000,146,681</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125,633,017</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1,125,779,698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Net realized (losses) gains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(34,173,159)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11,800,414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(22,372,745)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Net unrealized appreciation (depreciation)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35,054,433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(9,984,472)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25,069,961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226,774,334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11,778,800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238,553,134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Sales, repayments and non-cash exchanges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(56,037,044)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(13,637,849)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(69,674,893)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Transfers in/out of Level 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0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1,171,765,245</w:t>
            </w:r>
          </w:p>
        </w:tc>
        <w:tc>
          <w:tcPr>
            <w:tcW w:w="1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125,589,910</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1,297,355,155</w:t>
            </w:r>
          </w:p>
        </w:tc>
        <w:tc>
          <w:tcPr>
            <w:tcW w:w="0" w:type="dxa"/>
            <w:vAlign w:val="bottom"/>
          </w:tcPr>
          <w:p>
            <w:pPr>
              <w:spacing w:after="0"/>
              <w:rPr>
                <w:sz w:val="1"/>
                <w:szCs w:val="1"/>
                <w:color w:val="auto"/>
              </w:rPr>
            </w:pPr>
          </w:p>
        </w:tc>
      </w:tr>
      <w:tr>
        <w:trPr>
          <w:trHeight w:val="20"/>
        </w:trPr>
        <w:tc>
          <w:tcPr>
            <w:tcW w:w="7740" w:type="dxa"/>
            <w:vAlign w:val="bottom"/>
            <w:gridSpan w:val="3"/>
            <w:vMerge w:val="restart"/>
          </w:tcPr>
          <w:p>
            <w:pPr>
              <w:spacing w:after="0"/>
              <w:rPr>
                <w:sz w:val="20"/>
                <w:szCs w:val="20"/>
                <w:color w:val="auto"/>
              </w:rPr>
            </w:pPr>
            <w:r>
              <w:rPr>
                <w:rFonts w:ascii="Arial" w:cs="Arial" w:eastAsia="Arial" w:hAnsi="Arial"/>
                <w:sz w:val="14"/>
                <w:szCs w:val="14"/>
                <w:color w:val="auto"/>
              </w:rPr>
              <w:t>Net change in unrealized appreciation reported within the net change in unrealized appreciation on investments in our</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7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720" w:type="dxa"/>
            <w:vAlign w:val="bottom"/>
            <w:gridSpan w:val="2"/>
          </w:tcPr>
          <w:p>
            <w:pPr>
              <w:ind w:left="140"/>
              <w:spacing w:after="0"/>
              <w:rPr>
                <w:sz w:val="20"/>
                <w:szCs w:val="20"/>
                <w:color w:val="auto"/>
              </w:rPr>
            </w:pPr>
            <w:r>
              <w:rPr>
                <w:rFonts w:ascii="Arial" w:cs="Arial" w:eastAsia="Arial" w:hAnsi="Arial"/>
                <w:sz w:val="14"/>
                <w:szCs w:val="14"/>
                <w:color w:val="auto"/>
              </w:rPr>
              <w:t>Consolidated Statements of Operations attributable to our Level 3 assets still held at the reporting date.</w:t>
            </w:r>
          </w:p>
        </w:tc>
        <w:tc>
          <w:tcPr>
            <w:tcW w:w="100" w:type="dxa"/>
            <w:vAlign w:val="bottom"/>
            <w:gridSpan w:val="2"/>
          </w:tcPr>
          <w:p>
            <w:pPr>
              <w:jc w:val="right"/>
              <w:ind w:right="14"/>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11,161,106</w:t>
            </w:r>
          </w:p>
        </w:tc>
        <w:tc>
          <w:tcPr>
            <w:tcW w:w="16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252,650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11,413,756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10"/>
          </w:tcPr>
          <w:p>
            <w:pPr>
              <w:jc w:val="right"/>
              <w:ind w:right="468"/>
              <w:spacing w:after="0"/>
              <w:rPr>
                <w:sz w:val="20"/>
                <w:szCs w:val="20"/>
                <w:color w:val="auto"/>
              </w:rPr>
            </w:pPr>
            <w:r>
              <w:rPr>
                <w:rFonts w:ascii="Arial" w:cs="Arial" w:eastAsia="Arial" w:hAnsi="Arial"/>
                <w:sz w:val="14"/>
                <w:szCs w:val="14"/>
                <w:b w:val="1"/>
                <w:bCs w:val="1"/>
                <w:color w:val="auto"/>
              </w:rPr>
              <w:t>Three Months Ended December 31, 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7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Debt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7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2"/>
              </w:rPr>
              <w:t>investments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1,194,257,869</w:t>
            </w:r>
          </w:p>
        </w:tc>
        <w:tc>
          <w:tcPr>
            <w:tcW w:w="3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103,169,586</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1,297,427,455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Net realized (losses) gains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(27,123,807)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1,691,446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(25,432,361)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Net unrealized depreciation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(35,926,407)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(3,177,458)</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(39,103,865)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104,756,425</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31,628,493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136,384,918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Sales, repayments and non-cash exchanges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(104,127,278)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(3,941,446)</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(108,068,724)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Transfers in/out of Level 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0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1,131,836,802</w:t>
            </w:r>
          </w:p>
        </w:tc>
        <w:tc>
          <w:tcPr>
            <w:tcW w:w="100" w:type="dxa"/>
            <w:vAlign w:val="bottom"/>
            <w:gridSpan w:val="2"/>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129,370,621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1,261,207,423</w:t>
            </w:r>
          </w:p>
        </w:tc>
        <w:tc>
          <w:tcPr>
            <w:tcW w:w="0" w:type="dxa"/>
            <w:vAlign w:val="bottom"/>
          </w:tcPr>
          <w:p>
            <w:pPr>
              <w:spacing w:after="0"/>
              <w:rPr>
                <w:sz w:val="1"/>
                <w:szCs w:val="1"/>
                <w:color w:val="auto"/>
              </w:rPr>
            </w:pPr>
          </w:p>
        </w:tc>
      </w:tr>
      <w:tr>
        <w:trPr>
          <w:trHeight w:val="20"/>
        </w:trPr>
        <w:tc>
          <w:tcPr>
            <w:tcW w:w="7740" w:type="dxa"/>
            <w:vAlign w:val="bottom"/>
            <w:gridSpan w:val="4"/>
            <w:vMerge w:val="restart"/>
          </w:tcPr>
          <w:p>
            <w:pPr>
              <w:spacing w:after="0"/>
              <w:rPr>
                <w:sz w:val="20"/>
                <w:szCs w:val="20"/>
                <w:color w:val="auto"/>
              </w:rPr>
            </w:pPr>
            <w:r>
              <w:rPr>
                <w:rFonts w:ascii="Arial" w:cs="Arial" w:eastAsia="Arial" w:hAnsi="Arial"/>
                <w:sz w:val="14"/>
                <w:szCs w:val="14"/>
                <w:color w:val="auto"/>
                <w:w w:val="97"/>
              </w:rPr>
              <w:t>Net change in unrealized (depreciation) appreciation reported within the net change in unrealized (depreciation) appreciation 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74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720" w:type="dxa"/>
            <w:vAlign w:val="bottom"/>
            <w:gridSpan w:val="3"/>
          </w:tcPr>
          <w:p>
            <w:pPr>
              <w:ind w:left="140"/>
              <w:spacing w:after="0"/>
              <w:rPr>
                <w:sz w:val="20"/>
                <w:szCs w:val="20"/>
                <w:color w:val="auto"/>
              </w:rPr>
            </w:pPr>
            <w:r>
              <w:rPr>
                <w:rFonts w:ascii="Arial" w:cs="Arial" w:eastAsia="Arial" w:hAnsi="Arial"/>
                <w:sz w:val="14"/>
                <w:szCs w:val="14"/>
                <w:color w:val="auto"/>
              </w:rPr>
              <w:t>investments in our Consolidated Statements of Operations attributable to our Level 3 assets still held at the reporting date.</w:t>
            </w:r>
          </w:p>
        </w:tc>
        <w:tc>
          <w:tcPr>
            <w:tcW w:w="100" w:type="dxa"/>
            <w:vAlign w:val="bottom"/>
            <w:gridSpan w:val="2"/>
          </w:tcPr>
          <w:p>
            <w:pPr>
              <w:jc w:val="right"/>
              <w:ind w:right="14"/>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(59,533,459)</w:t>
            </w:r>
          </w:p>
        </w:tc>
        <w:tc>
          <w:tcPr>
            <w:tcW w:w="100" w:type="dxa"/>
            <w:vAlign w:val="bottom"/>
            <w:gridSpan w:val="2"/>
          </w:tcPr>
          <w:p>
            <w:pPr>
              <w:jc w:val="right"/>
              <w:ind w:right="5"/>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2,796,027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(56,737,432)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0240" w:type="dxa"/>
            <w:vAlign w:val="bottom"/>
            <w:gridSpan w:val="11"/>
          </w:tcPr>
          <w:p>
            <w:pPr>
              <w:ind w:left="680"/>
              <w:spacing w:after="0"/>
              <w:rPr>
                <w:sz w:val="20"/>
                <w:szCs w:val="20"/>
                <w:color w:val="auto"/>
              </w:rPr>
            </w:pPr>
            <w:r>
              <w:rPr>
                <w:rFonts w:ascii="Arial" w:cs="Arial" w:eastAsia="Arial" w:hAnsi="Arial"/>
                <w:sz w:val="14"/>
                <w:szCs w:val="14"/>
                <w:color w:val="auto"/>
                <w:w w:val="97"/>
              </w:rPr>
              <w:t>The table below shows a reconciliation of the beginning and ending balances for fair valued liabilities measured using significant unobservable inputs (Level 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7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xml:space="preserve">Long-Term Credit Facility </w:t>
            </w:r>
            <w:r>
              <w:rPr>
                <w:rFonts w:ascii="Arial" w:cs="Arial" w:eastAsia="Arial" w:hAnsi="Arial"/>
                <w:sz w:val="12"/>
                <w:szCs w:val="12"/>
                <w:b w:val="1"/>
                <w:bCs w:val="1"/>
                <w:color w:val="auto"/>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gridSpan w:val="8"/>
          </w:tcPr>
          <w:p>
            <w:pPr>
              <w:jc w:val="right"/>
              <w:ind w:right="140"/>
              <w:spacing w:after="0"/>
              <w:rPr>
                <w:sz w:val="20"/>
                <w:szCs w:val="20"/>
                <w:color w:val="auto"/>
              </w:rPr>
            </w:pPr>
            <w:r>
              <w:rPr>
                <w:rFonts w:ascii="Arial" w:cs="Arial" w:eastAsia="Arial" w:hAnsi="Arial"/>
                <w:sz w:val="14"/>
                <w:szCs w:val="14"/>
                <w:b w:val="1"/>
                <w:bCs w:val="1"/>
                <w:color w:val="auto"/>
                <w:w w:val="92"/>
              </w:rPr>
              <w:t>Three Months Ended December 31,</w:t>
            </w:r>
          </w:p>
        </w:tc>
        <w:tc>
          <w:tcPr>
            <w:tcW w:w="0" w:type="dxa"/>
            <w:vAlign w:val="bottom"/>
          </w:tcPr>
          <w:p>
            <w:pPr>
              <w:spacing w:after="0"/>
              <w:rPr>
                <w:sz w:val="1"/>
                <w:szCs w:val="1"/>
                <w:color w:val="auto"/>
              </w:rPr>
            </w:pPr>
          </w:p>
        </w:tc>
      </w:tr>
      <w:tr>
        <w:trPr>
          <w:trHeight w:val="142"/>
        </w:trPr>
        <w:tc>
          <w:tcPr>
            <w:tcW w:w="77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 (cost – $50,339,700 and $106,864,300, respectively)</w:t>
            </w:r>
          </w:p>
        </w:tc>
        <w:tc>
          <w:tcPr>
            <w:tcW w:w="30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39,551,187</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102,356,860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Net change in unrealized depreciation included in earnings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(1,207,684)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(3,805,775)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110,260,000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126,316,923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(12,481,000)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(105,185,900)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Transfers in and/or out of Level 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740" w:type="dxa"/>
            <w:vAlign w:val="bottom"/>
            <w:gridSpan w:val="4"/>
          </w:tcPr>
          <w:p>
            <w:pPr>
              <w:spacing w:after="0" w:line="155" w:lineRule="exact"/>
              <w:rPr>
                <w:sz w:val="20"/>
                <w:szCs w:val="20"/>
                <w:color w:val="auto"/>
              </w:rPr>
            </w:pPr>
            <w:r>
              <w:rPr>
                <w:rFonts w:ascii="Arial" w:cs="Arial" w:eastAsia="Arial" w:hAnsi="Arial"/>
                <w:sz w:val="14"/>
                <w:szCs w:val="14"/>
                <w:color w:val="auto"/>
              </w:rPr>
              <w:t>Ending Balance (cost – $148,118,700 and $127,995,323, respectively)</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jc w:val="right"/>
              <w:ind w:right="5"/>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136,122,503</w:t>
            </w:r>
          </w:p>
        </w:tc>
        <w:tc>
          <w:tcPr>
            <w:tcW w:w="16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119,682,108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Temporary draws outstanding, at cost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740" w:type="dxa"/>
            <w:vAlign w:val="bottom"/>
            <w:gridSpan w:val="4"/>
          </w:tcPr>
          <w:p>
            <w:pPr>
              <w:spacing w:after="0" w:line="155" w:lineRule="exact"/>
              <w:rPr>
                <w:sz w:val="20"/>
                <w:szCs w:val="20"/>
                <w:color w:val="auto"/>
              </w:rPr>
            </w:pPr>
            <w:r>
              <w:rPr>
                <w:rFonts w:ascii="Arial" w:cs="Arial" w:eastAsia="Arial" w:hAnsi="Arial"/>
                <w:sz w:val="14"/>
                <w:szCs w:val="14"/>
                <w:color w:val="auto"/>
              </w:rPr>
              <w:t>Ending Balance (cost – $148,118,700 and $142,995,323, respectively)</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136,122,503</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134,682,108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8658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97"/>
        </w:numPr>
        <w:rPr>
          <w:rFonts w:ascii="Arial" w:cs="Arial" w:eastAsia="Arial" w:hAnsi="Arial"/>
          <w:sz w:val="12"/>
          <w:szCs w:val="12"/>
          <w:color w:val="auto"/>
        </w:rPr>
      </w:pPr>
      <w:r>
        <w:rPr>
          <w:rFonts w:ascii="Arial" w:cs="Arial" w:eastAsia="Arial" w:hAnsi="Arial"/>
          <w:sz w:val="14"/>
          <w:szCs w:val="14"/>
          <w:color w:val="auto"/>
        </w:rPr>
        <w:t>The carrying value of our consolidated financial liabilities approximates fair value.</w:t>
      </w:r>
    </w:p>
    <w:p>
      <w:pPr>
        <w:ind w:left="340" w:hanging="332"/>
        <w:spacing w:after="0"/>
        <w:tabs>
          <w:tab w:leader="none" w:pos="340" w:val="left"/>
        </w:tabs>
        <w:numPr>
          <w:ilvl w:val="0"/>
          <w:numId w:val="97"/>
        </w:numPr>
        <w:rPr>
          <w:rFonts w:ascii="Arial" w:cs="Arial" w:eastAsia="Arial" w:hAnsi="Arial"/>
          <w:sz w:val="12"/>
          <w:szCs w:val="12"/>
          <w:color w:val="auto"/>
        </w:rPr>
      </w:pPr>
      <w:r>
        <w:rPr>
          <w:rFonts w:ascii="Arial" w:cs="Arial" w:eastAsia="Arial" w:hAnsi="Arial"/>
          <w:sz w:val="14"/>
          <w:szCs w:val="14"/>
          <w:color w:val="auto"/>
        </w:rPr>
        <w:t>Excludes temporary draws.</w:t>
      </w:r>
    </w:p>
    <w:p>
      <w:pPr>
        <w:spacing w:after="0" w:line="43" w:lineRule="exact"/>
        <w:rPr>
          <w:sz w:val="20"/>
          <w:szCs w:val="20"/>
          <w:color w:val="auto"/>
        </w:rPr>
      </w:pPr>
    </w:p>
    <w:p>
      <w:pPr>
        <w:ind w:right="40" w:firstLine="685"/>
        <w:spacing w:after="0" w:line="253" w:lineRule="auto"/>
        <w:rPr>
          <w:sz w:val="20"/>
          <w:szCs w:val="20"/>
          <w:color w:val="auto"/>
        </w:rPr>
      </w:pPr>
      <w:r>
        <w:rPr>
          <w:rFonts w:ascii="Arial" w:cs="Arial" w:eastAsia="Arial" w:hAnsi="Arial"/>
          <w:sz w:val="14"/>
          <w:szCs w:val="14"/>
          <w:color w:val="auto"/>
        </w:rPr>
        <w:t>As of December 31, 2016, we had outstanding non-U.S. dollar borrowings on our Credit Facility. Net change in fair value from foreign currency translation on outstanding borrowings is listed below:</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1960" w:type="dxa"/>
            <w:vAlign w:val="bottom"/>
          </w:tcPr>
          <w:p>
            <w:pPr>
              <w:spacing w:after="0"/>
              <w:rPr>
                <w:sz w:val="14"/>
                <w:szCs w:val="14"/>
                <w:color w:val="auto"/>
              </w:rPr>
            </w:pPr>
          </w:p>
        </w:tc>
        <w:tc>
          <w:tcPr>
            <w:tcW w:w="2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 Borrowed</w:t>
            </w:r>
          </w:p>
        </w:tc>
        <w:tc>
          <w:tcPr>
            <w:tcW w:w="14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3"/>
              </w:rPr>
              <w:t>Borrowing Cost</w:t>
            </w:r>
          </w:p>
        </w:tc>
        <w:tc>
          <w:tcPr>
            <w:tcW w:w="380" w:type="dxa"/>
            <w:vAlign w:val="bottom"/>
          </w:tcPr>
          <w:p>
            <w:pPr>
              <w:spacing w:after="0"/>
              <w:rPr>
                <w:sz w:val="14"/>
                <w:szCs w:val="14"/>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Current Value</w:t>
            </w:r>
          </w:p>
        </w:tc>
        <w:tc>
          <w:tcPr>
            <w:tcW w:w="760" w:type="dxa"/>
            <w:vAlign w:val="bottom"/>
          </w:tcPr>
          <w:p>
            <w:pPr>
              <w:spacing w:after="0"/>
              <w:rPr>
                <w:sz w:val="14"/>
                <w:szCs w:val="14"/>
                <w:color w:val="auto"/>
              </w:rPr>
            </w:pP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Reset Date</w:t>
            </w:r>
          </w:p>
        </w:tc>
        <w:tc>
          <w:tcPr>
            <w:tcW w:w="760" w:type="dxa"/>
            <w:vAlign w:val="bottom"/>
          </w:tcPr>
          <w:p>
            <w:pPr>
              <w:spacing w:after="0"/>
              <w:rPr>
                <w:sz w:val="14"/>
                <w:szCs w:val="14"/>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Change in Fair</w:t>
            </w:r>
          </w:p>
        </w:tc>
        <w:tc>
          <w:tcPr>
            <w:tcW w:w="0" w:type="dxa"/>
            <w:vAlign w:val="bottom"/>
          </w:tcPr>
          <w:p>
            <w:pPr>
              <w:spacing w:after="0"/>
              <w:rPr>
                <w:sz w:val="1"/>
                <w:szCs w:val="1"/>
                <w:color w:val="auto"/>
              </w:rPr>
            </w:pPr>
          </w:p>
        </w:tc>
      </w:tr>
      <w:tr>
        <w:trPr>
          <w:trHeight w:val="171"/>
        </w:trPr>
        <w:tc>
          <w:tcPr>
            <w:tcW w:w="1120" w:type="dxa"/>
            <w:vAlign w:val="bottom"/>
            <w:vMerge w:val="continue"/>
          </w:tcPr>
          <w:p>
            <w:pPr>
              <w:spacing w:after="0"/>
              <w:rPr>
                <w:sz w:val="14"/>
                <w:szCs w:val="14"/>
                <w:color w:val="auto"/>
              </w:rPr>
            </w:pPr>
          </w:p>
        </w:tc>
        <w:tc>
          <w:tcPr>
            <w:tcW w:w="1960" w:type="dxa"/>
            <w:vAlign w:val="bottom"/>
          </w:tcPr>
          <w:p>
            <w:pPr>
              <w:spacing w:after="0"/>
              <w:rPr>
                <w:sz w:val="14"/>
                <w:szCs w:val="14"/>
                <w:color w:val="auto"/>
              </w:rPr>
            </w:pPr>
          </w:p>
        </w:tc>
        <w:tc>
          <w:tcPr>
            <w:tcW w:w="2000" w:type="dxa"/>
            <w:vAlign w:val="bottom"/>
            <w:gridSpan w:val="3"/>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2"/>
        </w:trPr>
        <w:tc>
          <w:tcPr>
            <w:tcW w:w="1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British Pound</w:t>
            </w:r>
          </w:p>
        </w:tc>
        <w:tc>
          <w:tcPr>
            <w:tcW w:w="19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30,000,000</w:t>
            </w:r>
          </w:p>
        </w:tc>
        <w:tc>
          <w:tcPr>
            <w:tcW w:w="7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48,858,700</w:t>
            </w:r>
          </w:p>
        </w:tc>
        <w:tc>
          <w:tcPr>
            <w:tcW w:w="3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37,069,530</w:t>
            </w:r>
          </w:p>
        </w:tc>
        <w:tc>
          <w:tcPr>
            <w:tcW w:w="7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w w:val="89"/>
              </w:rPr>
              <w:t>January 3, 2017</w:t>
            </w:r>
          </w:p>
        </w:tc>
        <w:tc>
          <w:tcPr>
            <w:tcW w:w="7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(11,789,170)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line="149" w:lineRule="exact"/>
              <w:rPr>
                <w:sz w:val="20"/>
                <w:szCs w:val="20"/>
                <w:color w:val="auto"/>
              </w:rPr>
            </w:pPr>
            <w:r>
              <w:rPr>
                <w:rFonts w:ascii="Arial" w:cs="Arial" w:eastAsia="Arial" w:hAnsi="Arial"/>
                <w:sz w:val="14"/>
                <w:szCs w:val="14"/>
                <w:color w:val="auto"/>
              </w:rPr>
              <w:t>Euro</w:t>
            </w:r>
          </w:p>
        </w:tc>
        <w:tc>
          <w:tcPr>
            <w:tcW w:w="2300" w:type="dxa"/>
            <w:vAlign w:val="bottom"/>
            <w:gridSpan w:val="2"/>
          </w:tcPr>
          <w:p>
            <w:pPr>
              <w:ind w:left="196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44,000,000</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45,760,000</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46,409,088</w:t>
            </w:r>
          </w:p>
        </w:tc>
        <w:tc>
          <w:tcPr>
            <w:tcW w:w="760" w:type="dxa"/>
            <w:vAlign w:val="bottom"/>
          </w:tcPr>
          <w:p>
            <w:pPr>
              <w:spacing w:after="0"/>
              <w:rPr>
                <w:sz w:val="12"/>
                <w:szCs w:val="12"/>
                <w:color w:val="auto"/>
              </w:rPr>
            </w:pPr>
          </w:p>
        </w:tc>
        <w:tc>
          <w:tcPr>
            <w:tcW w:w="960" w:type="dxa"/>
            <w:vAlign w:val="bottom"/>
          </w:tcPr>
          <w:p>
            <w:pPr>
              <w:ind w:left="40"/>
              <w:spacing w:after="0" w:line="149" w:lineRule="exact"/>
              <w:rPr>
                <w:sz w:val="20"/>
                <w:szCs w:val="20"/>
                <w:color w:val="auto"/>
              </w:rPr>
            </w:pPr>
            <w:r>
              <w:rPr>
                <w:rFonts w:ascii="Arial" w:cs="Arial" w:eastAsia="Arial" w:hAnsi="Arial"/>
                <w:sz w:val="14"/>
                <w:szCs w:val="14"/>
                <w:color w:val="auto"/>
                <w:w w:val="89"/>
              </w:rPr>
              <w:t>January 3, 2017</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649,088</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1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94,618,700</w:t>
            </w:r>
          </w:p>
        </w:tc>
        <w:tc>
          <w:tcPr>
            <w:tcW w:w="5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83,478,618</w:t>
            </w:r>
          </w:p>
        </w:tc>
        <w:tc>
          <w:tcPr>
            <w:tcW w:w="7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(11,140,082)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both"/>
        <w:ind w:right="20" w:firstLine="685"/>
        <w:spacing w:after="0" w:line="253" w:lineRule="auto"/>
        <w:rPr>
          <w:sz w:val="20"/>
          <w:szCs w:val="20"/>
          <w:color w:val="auto"/>
        </w:rPr>
      </w:pPr>
      <w:r>
        <w:rPr>
          <w:rFonts w:ascii="Arial" w:cs="Arial" w:eastAsia="Arial" w:hAnsi="Arial"/>
          <w:sz w:val="14"/>
          <w:szCs w:val="14"/>
          <w:color w:val="auto"/>
        </w:rPr>
        <w:t>As of September 30, 2016, we had outstanding non-U.S. dollar borrowings on our Credit Facility. Net change in fair value from foreign currency translation on outstanding borrowings is listed below:</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1960" w:type="dxa"/>
            <w:vAlign w:val="bottom"/>
          </w:tcPr>
          <w:p>
            <w:pPr>
              <w:spacing w:after="0"/>
              <w:rPr>
                <w:sz w:val="14"/>
                <w:szCs w:val="14"/>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Amount Borrowed</w:t>
            </w:r>
          </w:p>
        </w:tc>
        <w:tc>
          <w:tcPr>
            <w:tcW w:w="760" w:type="dxa"/>
            <w:vAlign w:val="bottom"/>
          </w:tcPr>
          <w:p>
            <w:pPr>
              <w:spacing w:after="0"/>
              <w:rPr>
                <w:sz w:val="14"/>
                <w:szCs w:val="14"/>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Borrowing Cost</w:t>
            </w:r>
          </w:p>
        </w:tc>
        <w:tc>
          <w:tcPr>
            <w:tcW w:w="760" w:type="dxa"/>
            <w:vAlign w:val="bottom"/>
          </w:tcPr>
          <w:p>
            <w:pPr>
              <w:spacing w:after="0"/>
              <w:rPr>
                <w:sz w:val="14"/>
                <w:szCs w:val="14"/>
                <w:color w:val="auto"/>
              </w:rPr>
            </w:pPr>
          </w:p>
        </w:tc>
        <w:tc>
          <w:tcPr>
            <w:tcW w:w="1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Current Value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Reset Date</w:t>
            </w:r>
          </w:p>
        </w:tc>
        <w:tc>
          <w:tcPr>
            <w:tcW w:w="72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Change in Fair</w:t>
            </w:r>
          </w:p>
        </w:tc>
        <w:tc>
          <w:tcPr>
            <w:tcW w:w="0" w:type="dxa"/>
            <w:vAlign w:val="bottom"/>
          </w:tcPr>
          <w:p>
            <w:pPr>
              <w:spacing w:after="0"/>
              <w:rPr>
                <w:sz w:val="1"/>
                <w:szCs w:val="1"/>
                <w:color w:val="auto"/>
              </w:rPr>
            </w:pPr>
          </w:p>
        </w:tc>
      </w:tr>
      <w:tr>
        <w:trPr>
          <w:trHeight w:val="178"/>
        </w:trPr>
        <w:tc>
          <w:tcPr>
            <w:tcW w:w="1120" w:type="dxa"/>
            <w:vAlign w:val="bottom"/>
            <w:tcBorders>
              <w:bottom w:val="single" w:sz="8" w:color="auto"/>
            </w:tcBorders>
            <w:vMerge w:val="continue"/>
          </w:tcPr>
          <w:p>
            <w:pPr>
              <w:spacing w:after="0"/>
              <w:rPr>
                <w:sz w:val="15"/>
                <w:szCs w:val="15"/>
                <w:color w:val="auto"/>
              </w:rPr>
            </w:pPr>
          </w:p>
        </w:tc>
        <w:tc>
          <w:tcPr>
            <w:tcW w:w="19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6"/>
        </w:trPr>
        <w:tc>
          <w:tcPr>
            <w:tcW w:w="1120" w:type="dxa"/>
            <w:vAlign w:val="bottom"/>
            <w:tcBorders>
              <w:top w:val="single" w:sz="8" w:color="CCEEFF"/>
            </w:tcBorders>
            <w:shd w:val="clear" w:color="auto" w:fill="CCEEFF"/>
          </w:tcPr>
          <w:p>
            <w:pPr>
              <w:spacing w:after="0" w:line="136" w:lineRule="exact"/>
              <w:rPr>
                <w:sz w:val="20"/>
                <w:szCs w:val="20"/>
                <w:color w:val="auto"/>
              </w:rPr>
            </w:pPr>
            <w:r>
              <w:rPr>
                <w:rFonts w:ascii="Arial" w:cs="Arial" w:eastAsia="Arial" w:hAnsi="Arial"/>
                <w:sz w:val="14"/>
                <w:szCs w:val="14"/>
                <w:color w:val="auto"/>
              </w:rPr>
              <w:t>British Pound</w:t>
            </w:r>
          </w:p>
        </w:tc>
        <w:tc>
          <w:tcPr>
            <w:tcW w:w="19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ind w:right="188"/>
              <w:spacing w:after="0" w:line="136"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31,000,000</w:t>
            </w:r>
          </w:p>
        </w:tc>
        <w:tc>
          <w:tcPr>
            <w:tcW w:w="7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88"/>
              <w:spacing w:after="0" w:line="136"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50,339,700</w:t>
            </w:r>
          </w:p>
        </w:tc>
        <w:tc>
          <w:tcPr>
            <w:tcW w:w="7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48"/>
              <w:spacing w:after="0" w:line="136"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40,180,433</w:t>
            </w:r>
          </w:p>
        </w:tc>
        <w:tc>
          <w:tcPr>
            <w:tcW w:w="78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93"/>
              </w:rPr>
              <w:t>October 3, 2016</w:t>
            </w:r>
          </w:p>
        </w:tc>
        <w:tc>
          <w:tcPr>
            <w:tcW w:w="72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rPr>
              <w:t>$   (10,159,267)</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1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208"/>
              <w:spacing w:after="0"/>
              <w:rPr>
                <w:sz w:val="20"/>
                <w:szCs w:val="20"/>
                <w:color w:val="auto"/>
              </w:rPr>
            </w:pPr>
            <w:r>
              <w:rPr>
                <w:rFonts w:ascii="Arial" w:cs="Arial" w:eastAsia="Arial" w:hAnsi="Arial"/>
                <w:sz w:val="14"/>
                <w:szCs w:val="14"/>
                <w:color w:val="auto"/>
              </w:rPr>
              <w:t>F-19</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8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line="222" w:lineRule="auto"/>
        <w:rPr>
          <w:sz w:val="20"/>
          <w:szCs w:val="20"/>
          <w:color w:val="auto"/>
        </w:rPr>
      </w:pPr>
      <w:r>
        <w:rPr>
          <w:rFonts w:ascii="Arial" w:cs="Arial" w:eastAsia="Arial" w:hAnsi="Arial"/>
          <w:sz w:val="14"/>
          <w:szCs w:val="14"/>
          <w:b w:val="1"/>
          <w:bCs w:val="1"/>
          <w:color w:val="auto"/>
        </w:rPr>
        <w:t>DECEMBER 31, 2016</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20" w:firstLine="685"/>
        <w:spacing w:after="0" w:line="244" w:lineRule="auto"/>
        <w:rPr>
          <w:sz w:val="20"/>
          <w:szCs w:val="20"/>
          <w:color w:val="auto"/>
        </w:rPr>
      </w:pPr>
      <w:r>
        <w:rPr>
          <w:rFonts w:ascii="Arial" w:cs="Arial" w:eastAsia="Arial" w:hAnsi="Arial"/>
          <w:sz w:val="13"/>
          <w:szCs w:val="13"/>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our Notes. We elected to use the fair value option for the Credit Facility and our Notes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our Notes are reported in our Consolidated Statements of Operations. We elected not to apply ASC 825-10 to any other financial assets or liabilities, including the SBA debentures. For the three months ended December 31, 2016 and 2015, our Credit Facility and our Notes had a net change in unrealized depreciation of $5.8 million and $7.7 million, respectively. As of December 31, 2016 and September 30, 2016, net unrealized depreciation on our Credit Facility and our Notes totaled $11.1 million and $5.2 million, respectively. We use a nationally recognized independent valuation service to fair value of our Credit Facility and our 2019 Notes in a manner consistent with the valuation process that the board of directors uses to value investments. Our 2025 Notes trade on the NYSE under the ticker “PNTA” and we use the closing price on the exchange to determine their fair value.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40" w:lineRule="exact"/>
        <w:rPr>
          <w:sz w:val="20"/>
          <w:szCs w:val="20"/>
          <w:color w:val="auto"/>
        </w:rPr>
      </w:pPr>
    </w:p>
    <w:p>
      <w:pPr>
        <w:ind w:right="360" w:firstLine="685"/>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three months ended December 31, 2016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8"/>
              </w:rPr>
              <w:t>Fair Value at</w:t>
            </w:r>
          </w:p>
        </w:tc>
        <w:tc>
          <w:tcPr>
            <w:tcW w:w="200" w:type="dxa"/>
            <w:vAlign w:val="bottom"/>
          </w:tcPr>
          <w:p>
            <w:pPr>
              <w:spacing w:after="0"/>
              <w:rPr>
                <w:sz w:val="14"/>
                <w:szCs w:val="14"/>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Purchases of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Sale of /</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at</w:t>
            </w:r>
          </w:p>
        </w:tc>
        <w:tc>
          <w:tcPr>
            <w:tcW w:w="16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8"/>
              </w:rPr>
              <w:t>Advances to</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8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w w:val="92"/>
              </w:rPr>
              <w:t>Realized Gains</w:t>
            </w:r>
          </w:p>
        </w:tc>
        <w:tc>
          <w:tcPr>
            <w:tcW w:w="0" w:type="dxa"/>
            <w:vAlign w:val="bottom"/>
          </w:tcPr>
          <w:p>
            <w:pPr>
              <w:spacing w:after="0"/>
              <w:rPr>
                <w:sz w:val="1"/>
                <w:szCs w:val="1"/>
                <w:color w:val="auto"/>
              </w:rPr>
            </w:pPr>
          </w:p>
        </w:tc>
      </w:tr>
      <w:tr>
        <w:trPr>
          <w:trHeight w:val="171"/>
        </w:trPr>
        <w:tc>
          <w:tcPr>
            <w:tcW w:w="4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12"/>
                <w:szCs w:val="12"/>
                <w:b w:val="1"/>
                <w:bCs w:val="1"/>
                <w:color w:val="auto"/>
              </w:rPr>
              <w:t>(1)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Affiliates </w:t>
            </w:r>
            <w:r>
              <w:rPr>
                <w:rFonts w:ascii="Arial" w:cs="Arial" w:eastAsia="Arial" w:hAnsi="Arial"/>
                <w:sz w:val="12"/>
                <w:szCs w:val="12"/>
                <w:b w:val="1"/>
                <w:bCs w:val="1"/>
                <w:color w:val="auto"/>
              </w:rPr>
              <w:t>(1), (2)</w:t>
            </w:r>
          </w:p>
        </w:tc>
        <w:tc>
          <w:tcPr>
            <w:tcW w:w="10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from Affiliates </w:t>
            </w:r>
            <w:r>
              <w:rPr>
                <w:rFonts w:ascii="Arial" w:cs="Arial" w:eastAsia="Arial" w:hAnsi="Arial"/>
                <w:sz w:val="12"/>
                <w:szCs w:val="12"/>
                <w:b w:val="1"/>
                <w:bCs w:val="1"/>
                <w:color w:val="auto"/>
              </w:rPr>
              <w:t>(1)</w:t>
            </w: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Accrued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12"/>
                <w:szCs w:val="12"/>
                <w:b w:val="1"/>
                <w:bCs w:val="1"/>
                <w:color w:val="auto"/>
              </w:rPr>
              <w:t>(1)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(Losses)</w:t>
            </w:r>
          </w:p>
        </w:tc>
        <w:tc>
          <w:tcPr>
            <w:tcW w:w="0" w:type="dxa"/>
            <w:vAlign w:val="bottom"/>
          </w:tcPr>
          <w:p>
            <w:pPr>
              <w:spacing w:after="0"/>
              <w:rPr>
                <w:sz w:val="1"/>
                <w:szCs w:val="1"/>
                <w:color w:val="auto"/>
              </w:rPr>
            </w:pPr>
          </w:p>
        </w:tc>
      </w:tr>
      <w:tr>
        <w:trPr>
          <w:trHeight w:val="142"/>
        </w:trPr>
        <w:tc>
          <w:tcPr>
            <w:tcW w:w="4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Controlled Affiliates</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580" w:type="dxa"/>
            <w:vAlign w:val="bottom"/>
            <w:gridSpan w:val="2"/>
          </w:tcPr>
          <w:p>
            <w:pPr>
              <w:spacing w:after="0" w:line="130" w:lineRule="exact"/>
              <w:rPr>
                <w:sz w:val="20"/>
                <w:szCs w:val="20"/>
                <w:color w:val="auto"/>
              </w:rPr>
            </w:pPr>
            <w:r>
              <w:rPr>
                <w:rFonts w:ascii="Arial" w:cs="Arial" w:eastAsia="Arial" w:hAnsi="Arial"/>
                <w:sz w:val="14"/>
                <w:szCs w:val="14"/>
                <w:color w:val="auto"/>
              </w:rPr>
              <w:t>MidOcean JF Holdings Corp.</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80" w:type="dxa"/>
            <w:vAlign w:val="bottom"/>
            <w:gridSpan w:val="2"/>
          </w:tcPr>
          <w:p>
            <w:pPr>
              <w:ind w:left="160"/>
              <w:spacing w:after="0"/>
              <w:rPr>
                <w:sz w:val="20"/>
                <w:szCs w:val="20"/>
                <w:color w:val="auto"/>
              </w:rPr>
            </w:pPr>
            <w:r>
              <w:rPr>
                <w:rFonts w:ascii="Arial" w:cs="Arial" w:eastAsia="Arial" w:hAnsi="Arial"/>
                <w:sz w:val="14"/>
                <w:szCs w:val="14"/>
                <w:color w:val="auto"/>
              </w:rPr>
              <w:t>(JF Acquisition, LLC)</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22,837,602</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9,599,721</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RAM Energy LLC</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68,319,399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2,138,653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2,264,465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70,480,085</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Superior Digital Displays Holdings, Inc.</w:t>
            </w:r>
          </w:p>
        </w:tc>
        <w:tc>
          <w:tcPr>
            <w:tcW w:w="1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33,862,636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3,600,000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(2,570,000)</w:t>
            </w:r>
          </w:p>
        </w:tc>
        <w:tc>
          <w:tcPr>
            <w:tcW w:w="14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1,381,599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32,436,485</w:t>
            </w:r>
          </w:p>
        </w:tc>
        <w:tc>
          <w:tcPr>
            <w:tcW w:w="1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Non-Controlled Affiliates</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1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57,109,394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197,160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817,473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61,101,083</w:t>
            </w:r>
          </w:p>
        </w:tc>
        <w:tc>
          <w:tcPr>
            <w:tcW w:w="1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American Gilsonite Company </w:t>
            </w:r>
            <w:r>
              <w:rPr>
                <w:rFonts w:ascii="Arial" w:cs="Arial" w:eastAsia="Arial" w:hAnsi="Arial"/>
                <w:sz w:val="12"/>
                <w:szCs w:val="12"/>
                <w:color w:val="auto"/>
              </w:rPr>
              <w:t>(3)</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5,969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18,130,545</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Cano Health, LLC </w:t>
            </w:r>
            <w:r>
              <w:rPr>
                <w:rFonts w:ascii="Arial" w:cs="Arial" w:eastAsia="Arial" w:hAnsi="Arial"/>
                <w:sz w:val="12"/>
                <w:szCs w:val="12"/>
                <w:color w:val="auto"/>
              </w:rPr>
              <w:t>(3)</w:t>
            </w:r>
          </w:p>
        </w:tc>
        <w:tc>
          <w:tcPr>
            <w:tcW w:w="1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11,803,500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52,311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11,803,500</w:t>
            </w:r>
          </w:p>
        </w:tc>
        <w:tc>
          <w:tcPr>
            <w:tcW w:w="1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Corfin Industries LLC</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25,853,063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(59,250)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675,462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26,069,202</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DirectBuy Holdings, Inc.</w:t>
            </w:r>
          </w:p>
        </w:tc>
        <w:tc>
          <w:tcPr>
            <w:tcW w:w="1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2,799,695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1,669,502</w:t>
            </w:r>
          </w:p>
        </w:tc>
        <w:tc>
          <w:tcPr>
            <w:tcW w:w="1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Holdings, Inc.</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22,522,000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230,873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22,760,675</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ETX Energy, LLC</w:t>
            </w:r>
          </w:p>
        </w:tc>
        <w:tc>
          <w:tcPr>
            <w:tcW w:w="1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35,416,730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193,544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45,742,822</w:t>
            </w:r>
          </w:p>
        </w:tc>
        <w:tc>
          <w:tcPr>
            <w:tcW w:w="1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8,233,630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14,052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(11,132)</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616,258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15,523,777</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Service Champ, Inc.</w:t>
            </w:r>
          </w:p>
        </w:tc>
        <w:tc>
          <w:tcPr>
            <w:tcW w:w="1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34,898,025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913,797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35,537,758</w:t>
            </w:r>
          </w:p>
        </w:tc>
        <w:tc>
          <w:tcPr>
            <w:tcW w:w="1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28,360,010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(9,250,000)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742,494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28,456,462</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5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Controlled and Non-Controlled Affiliates</w:t>
            </w: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340,212,184</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26,753,365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(11,890,382)</w:t>
            </w:r>
          </w:p>
        </w:tc>
        <w:tc>
          <w:tcPr>
            <w:tcW w:w="2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7,894,245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379,311,617</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8658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98"/>
        </w:numPr>
        <w:rPr>
          <w:rFonts w:ascii="Arial" w:cs="Arial" w:eastAsia="Arial" w:hAnsi="Arial"/>
          <w:sz w:val="12"/>
          <w:szCs w:val="12"/>
          <w:color w:val="auto"/>
        </w:rPr>
      </w:pPr>
      <w:r>
        <w:rPr>
          <w:rFonts w:ascii="Arial" w:cs="Arial" w:eastAsia="Arial" w:hAnsi="Arial"/>
          <w:sz w:val="14"/>
          <w:szCs w:val="14"/>
          <w:color w:val="auto"/>
        </w:rPr>
        <w:t>Excludes delayed draw investments.</w:t>
      </w:r>
    </w:p>
    <w:p>
      <w:pPr>
        <w:ind w:left="340" w:hanging="332"/>
        <w:spacing w:after="0" w:line="221" w:lineRule="auto"/>
        <w:tabs>
          <w:tab w:leader="none" w:pos="340" w:val="left"/>
        </w:tabs>
        <w:numPr>
          <w:ilvl w:val="0"/>
          <w:numId w:val="98"/>
        </w:numPr>
        <w:rPr>
          <w:rFonts w:ascii="Arial" w:cs="Arial" w:eastAsia="Arial" w:hAnsi="Arial"/>
          <w:sz w:val="12"/>
          <w:szCs w:val="12"/>
          <w:color w:val="auto"/>
        </w:rPr>
      </w:pPr>
      <w:r>
        <w:rPr>
          <w:rFonts w:ascii="Arial" w:cs="Arial" w:eastAsia="Arial" w:hAnsi="Arial"/>
          <w:sz w:val="14"/>
          <w:szCs w:val="14"/>
          <w:color w:val="auto"/>
        </w:rPr>
        <w:t>Includes PIK.</w:t>
      </w:r>
    </w:p>
    <w:p>
      <w:pPr>
        <w:ind w:left="340" w:hanging="332"/>
        <w:spacing w:after="0"/>
        <w:tabs>
          <w:tab w:leader="none" w:pos="340" w:val="left"/>
        </w:tabs>
        <w:numPr>
          <w:ilvl w:val="0"/>
          <w:numId w:val="98"/>
        </w:numPr>
        <w:rPr>
          <w:rFonts w:ascii="Arial" w:cs="Arial" w:eastAsia="Arial" w:hAnsi="Arial"/>
          <w:sz w:val="12"/>
          <w:szCs w:val="12"/>
          <w:color w:val="auto"/>
        </w:rPr>
      </w:pPr>
      <w:r>
        <w:rPr>
          <w:rFonts w:ascii="Arial" w:cs="Arial" w:eastAsia="Arial" w:hAnsi="Arial"/>
          <w:sz w:val="14"/>
          <w:szCs w:val="14"/>
          <w:color w:val="auto"/>
        </w:rPr>
        <w:t>Became a non-controlled affiliate during the three months ended December 31, 2016.</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RESULTING FROM OPERATIONS PER COMMON SHARE</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40" w:type="dxa"/>
            <w:vAlign w:val="bottom"/>
          </w:tcPr>
          <w:p>
            <w:pPr>
              <w:spacing w:after="0"/>
              <w:rPr>
                <w:sz w:val="14"/>
                <w:szCs w:val="14"/>
                <w:color w:val="auto"/>
              </w:rPr>
            </w:pPr>
          </w:p>
        </w:tc>
        <w:tc>
          <w:tcPr>
            <w:tcW w:w="236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4"/>
              </w:rPr>
              <w:t>Three Months Ended December 31,</w:t>
            </w:r>
          </w:p>
        </w:tc>
      </w:tr>
      <w:tr>
        <w:trPr>
          <w:trHeight w:val="142"/>
        </w:trPr>
        <w:tc>
          <w:tcPr>
            <w:tcW w:w="73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r>
      <w:tr>
        <w:trPr>
          <w:trHeight w:val="142"/>
        </w:trPr>
        <w:tc>
          <w:tcPr>
            <w:tcW w:w="7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(decrease) in net assets resulting from operations</w:t>
            </w:r>
          </w:p>
        </w:tc>
        <w:tc>
          <w:tcPr>
            <w:tcW w:w="2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24,049,127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(40,755,183)</w:t>
            </w:r>
          </w:p>
        </w:tc>
        <w:tc>
          <w:tcPr>
            <w:tcW w:w="80" w:type="dxa"/>
            <w:vAlign w:val="bottom"/>
            <w:shd w:val="clear" w:color="auto" w:fill="CCEEFF"/>
          </w:tcPr>
          <w:p>
            <w:pPr>
              <w:spacing w:after="0"/>
              <w:rPr>
                <w:sz w:val="12"/>
                <w:szCs w:val="12"/>
                <w:color w:val="auto"/>
              </w:rPr>
            </w:pP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4"/>
                <w:szCs w:val="14"/>
                <w:color w:val="auto"/>
              </w:rPr>
              <w:t>Denominator for basic and diluted weighted average shares</w:t>
            </w:r>
          </w:p>
        </w:tc>
        <w:tc>
          <w:tcPr>
            <w:tcW w:w="2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71,060,836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72,740,547</w:t>
            </w:r>
          </w:p>
        </w:tc>
        <w:tc>
          <w:tcPr>
            <w:tcW w:w="80" w:type="dxa"/>
            <w:vAlign w:val="bottom"/>
          </w:tcPr>
          <w:p>
            <w:pPr>
              <w:spacing w:after="0"/>
              <w:rPr>
                <w:sz w:val="12"/>
                <w:szCs w:val="12"/>
                <w:color w:val="auto"/>
              </w:rPr>
            </w:pP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 net increase (decrease) in net assets resulting from operations per share</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0.34</w:t>
            </w:r>
          </w:p>
        </w:tc>
        <w:tc>
          <w:tcPr>
            <w:tcW w:w="34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(0.56)</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40" w:lineRule="exact"/>
        <w:rPr>
          <w:sz w:val="20"/>
          <w:szCs w:val="20"/>
          <w:color w:val="auto"/>
        </w:rPr>
      </w:pPr>
    </w:p>
    <w:p>
      <w:pPr>
        <w:ind w:right="40" w:firstLine="685"/>
        <w:spacing w:after="0" w:line="227" w:lineRule="auto"/>
        <w:rPr>
          <w:sz w:val="20"/>
          <w:szCs w:val="20"/>
          <w:color w:val="auto"/>
        </w:rPr>
      </w:pPr>
      <w:r>
        <w:rPr>
          <w:rFonts w:ascii="Arial" w:cs="Arial" w:eastAsia="Arial" w:hAnsi="Arial"/>
          <w:sz w:val="14"/>
          <w:szCs w:val="14"/>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December 31, 2016 and September 30, 2016, cash and cash equivalents consisted of $45.3 million and $75.6 million, respectively, at fair value.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8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DECEMBER 31, 2016</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FINANCIAL HIGHLIGHTS</w:t>
      </w:r>
    </w:p>
    <w:p>
      <w:pPr>
        <w:spacing w:after="0" w:line="140" w:lineRule="exact"/>
        <w:rPr>
          <w:sz w:val="20"/>
          <w:szCs w:val="20"/>
          <w:color w:val="auto"/>
        </w:rPr>
      </w:pPr>
    </w:p>
    <w:tbl>
      <w:tblPr>
        <w:tblLayout w:type="fixed"/>
        <w:tblInd w:w="800" w:type="dxa"/>
        <w:tblCellMar>
          <w:top w:w="0" w:type="dxa"/>
          <w:left w:w="0" w:type="dxa"/>
          <w:bottom w:w="0" w:type="dxa"/>
          <w:right w:w="0" w:type="dxa"/>
        </w:tblCellMar>
      </w:tblPr>
      <w:tr>
        <w:trPr>
          <w:trHeight w:val="182"/>
        </w:trPr>
        <w:tc>
          <w:tcPr>
            <w:tcW w:w="5080" w:type="dxa"/>
            <w:vAlign w:val="bottom"/>
            <w:gridSpan w:val="2"/>
          </w:tcPr>
          <w:p>
            <w:pPr>
              <w:spacing w:after="0"/>
              <w:rPr>
                <w:sz w:val="20"/>
                <w:szCs w:val="20"/>
                <w:color w:val="auto"/>
              </w:rPr>
            </w:pPr>
            <w:r>
              <w:rPr>
                <w:rFonts w:ascii="Arial" w:cs="Arial" w:eastAsia="Arial" w:hAnsi="Arial"/>
                <w:sz w:val="14"/>
                <w:szCs w:val="14"/>
                <w:color w:val="auto"/>
              </w:rPr>
              <w:t>Below are the financial highlights:</w:t>
            </w: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50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45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1020" w:type="dxa"/>
            <w:vAlign w:val="bottom"/>
            <w:gridSpan w:val="2"/>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9.05</w:t>
            </w:r>
          </w:p>
        </w:tc>
        <w:tc>
          <w:tcPr>
            <w:tcW w:w="340" w:type="dxa"/>
            <w:vAlign w:val="bottom"/>
          </w:tcPr>
          <w:p>
            <w:pPr>
              <w:spacing w:after="0"/>
              <w:rPr>
                <w:sz w:val="12"/>
                <w:szCs w:val="12"/>
                <w:color w:val="auto"/>
              </w:rPr>
            </w:pPr>
          </w:p>
        </w:tc>
        <w:tc>
          <w:tcPr>
            <w:tcW w:w="500" w:type="dxa"/>
            <w:vAlign w:val="bottom"/>
            <w:gridSpan w:val="2"/>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9.82</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0.23</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 xml:space="preserve">Net realized and unrealized gain (loss) </w:t>
            </w:r>
            <w:r>
              <w:rPr>
                <w:rFonts w:ascii="Arial" w:cs="Arial" w:eastAsia="Arial" w:hAnsi="Arial"/>
                <w:sz w:val="12"/>
                <w:szCs w:val="12"/>
                <w:color w:val="auto"/>
              </w:rPr>
              <w:t>(1)</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0.13</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(0.79)</w:t>
            </w: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80" w:type="dxa"/>
            <w:vAlign w:val="bottom"/>
            <w:vMerge w:val="continue"/>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increase (decrease) in net assets resulting from operations </w:t>
            </w:r>
            <w:r>
              <w:rPr>
                <w:rFonts w:ascii="Arial" w:cs="Arial" w:eastAsia="Arial" w:hAnsi="Arial"/>
                <w:sz w:val="12"/>
                <w:szCs w:val="12"/>
                <w:color w:val="auto"/>
              </w:rPr>
              <w:t>(1)</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0.34</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(0.28)</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Repurchase of common stock </w:t>
            </w:r>
            <w:r>
              <w:rPr>
                <w:rFonts w:ascii="Arial" w:cs="Arial" w:eastAsia="Arial" w:hAnsi="Arial"/>
                <w:sz w:val="12"/>
                <w:szCs w:val="12"/>
                <w:color w:val="auto"/>
              </w:rPr>
              <w:t>(1)</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0.04</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080" w:type="dxa"/>
            <w:vAlign w:val="bottom"/>
            <w:gridSpan w:val="2"/>
          </w:tcPr>
          <w:p>
            <w:pPr>
              <w:ind w:left="580"/>
              <w:spacing w:after="0" w:line="155" w:lineRule="exact"/>
              <w:rPr>
                <w:sz w:val="20"/>
                <w:szCs w:val="20"/>
                <w:color w:val="auto"/>
              </w:rPr>
            </w:pPr>
            <w:r>
              <w:rPr>
                <w:rFonts w:ascii="Arial" w:cs="Arial" w:eastAsia="Arial" w:hAnsi="Arial"/>
                <w:sz w:val="14"/>
                <w:szCs w:val="14"/>
                <w:color w:val="auto"/>
              </w:rPr>
              <w:t>Net asset value, end of period</w:t>
            </w:r>
          </w:p>
        </w:tc>
        <w:tc>
          <w:tcPr>
            <w:tcW w:w="76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9.11</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9.02</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0" w:type="dxa"/>
            <w:vAlign w:val="bottom"/>
          </w:tcPr>
          <w:p>
            <w:pPr>
              <w:spacing w:after="0"/>
              <w:rPr>
                <w:sz w:val="12"/>
                <w:szCs w:val="12"/>
                <w:color w:val="auto"/>
              </w:rPr>
            </w:pPr>
          </w:p>
        </w:tc>
        <w:tc>
          <w:tcPr>
            <w:tcW w:w="45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Per share market value, end of period</w:t>
            </w:r>
          </w:p>
        </w:tc>
        <w:tc>
          <w:tcPr>
            <w:tcW w:w="1020" w:type="dxa"/>
            <w:vAlign w:val="bottom"/>
            <w:gridSpan w:val="2"/>
            <w:shd w:val="clear" w:color="auto" w:fill="CCEEFF"/>
          </w:tcPr>
          <w:p>
            <w:pPr>
              <w:jc w:val="right"/>
              <w:ind w:right="149"/>
              <w:spacing w:after="0" w:line="143"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7.66</w:t>
            </w:r>
          </w:p>
        </w:tc>
        <w:tc>
          <w:tcPr>
            <w:tcW w:w="3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9"/>
              <w:spacing w:after="0" w:line="143"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6.18</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ind w:left="580"/>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8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5.51%</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7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71,060,836</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71,745,710</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Ratios**/ Supplemental Data:</w:t>
            </w: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8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 (5)</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6.23%</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 xml:space="preserve">6.13% </w:t>
            </w: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Ratio of interest and expenses on debt to average net assets</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4.15%</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80" w:type="dxa"/>
            <w:vAlign w:val="bottom"/>
            <w:vMerge w:val="continue"/>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10.38%</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9.97%</w:t>
            </w: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9.28%</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10.17%</w:t>
            </w: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assets at end of period</w:t>
            </w:r>
          </w:p>
        </w:tc>
        <w:tc>
          <w:tcPr>
            <w:tcW w:w="1020" w:type="dxa"/>
            <w:vAlign w:val="bottom"/>
            <w:gridSpan w:val="2"/>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647,518,949</w:t>
            </w:r>
          </w:p>
        </w:tc>
        <w:tc>
          <w:tcPr>
            <w:tcW w:w="3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647,309,399</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080" w:type="dxa"/>
            <w:vAlign w:val="bottom"/>
            <w:gridSpan w:val="2"/>
          </w:tcPr>
          <w:p>
            <w:pPr>
              <w:ind w:left="580"/>
              <w:spacing w:after="0" w:line="155"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(7)</w:t>
            </w:r>
          </w:p>
        </w:tc>
        <w:tc>
          <w:tcPr>
            <w:tcW w:w="76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597,533,598</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598,313,633</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 (7)</w:t>
            </w:r>
          </w:p>
        </w:tc>
        <w:tc>
          <w:tcPr>
            <w:tcW w:w="1020" w:type="dxa"/>
            <w:vAlign w:val="bottom"/>
            <w:gridSpan w:val="2"/>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w:t>
            </w:r>
          </w:p>
        </w:tc>
        <w:tc>
          <w:tcPr>
            <w:tcW w:w="3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8.23</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(8)</w:t>
            </w:r>
          </w:p>
        </w:tc>
        <w:tc>
          <w:tcPr>
            <w:tcW w:w="1020" w:type="dxa"/>
            <w:vAlign w:val="bottom"/>
            <w:gridSpan w:val="2"/>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2,412</w:t>
            </w:r>
          </w:p>
        </w:tc>
        <w:tc>
          <w:tcPr>
            <w:tcW w:w="340" w:type="dxa"/>
            <w:vAlign w:val="bottom"/>
          </w:tcPr>
          <w:p>
            <w:pPr>
              <w:spacing w:after="0"/>
              <w:rPr>
                <w:sz w:val="12"/>
                <w:szCs w:val="12"/>
                <w:color w:val="auto"/>
              </w:rPr>
            </w:pPr>
          </w:p>
        </w:tc>
        <w:tc>
          <w:tcPr>
            <w:tcW w:w="500" w:type="dxa"/>
            <w:vAlign w:val="bottom"/>
            <w:gridSpan w:val="2"/>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2,422</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Portfolio turnover ratio</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21.20%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88658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99" w:lineRule="exact"/>
        <w:rPr>
          <w:sz w:val="20"/>
          <w:szCs w:val="20"/>
          <w:color w:val="auto"/>
        </w:rPr>
      </w:pPr>
    </w:p>
    <w:p>
      <w:pPr>
        <w:ind w:right="8440" w:firstLine="8"/>
        <w:spacing w:after="0" w:line="303" w:lineRule="auto"/>
        <w:tabs>
          <w:tab w:leader="none" w:pos="338" w:val="left"/>
        </w:tabs>
        <w:numPr>
          <w:ilvl w:val="0"/>
          <w:numId w:val="99"/>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spacing w:after="0" w:line="1" w:lineRule="exact"/>
        <w:rPr>
          <w:sz w:val="20"/>
          <w:szCs w:val="20"/>
          <w:color w:val="auto"/>
        </w:rPr>
      </w:pPr>
    </w:p>
    <w:p>
      <w:pPr>
        <w:ind w:left="340" w:hanging="332"/>
        <w:spacing w:after="0"/>
        <w:tabs>
          <w:tab w:leader="none" w:pos="340" w:val="left"/>
        </w:tabs>
        <w:numPr>
          <w:ilvl w:val="0"/>
          <w:numId w:val="100"/>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spacing w:after="0" w:line="28" w:lineRule="exact"/>
        <w:rPr>
          <w:rFonts w:ascii="Arial" w:cs="Arial" w:eastAsia="Arial" w:hAnsi="Arial"/>
          <w:sz w:val="12"/>
          <w:szCs w:val="12"/>
          <w:color w:val="auto"/>
        </w:rPr>
      </w:pPr>
    </w:p>
    <w:p>
      <w:pPr>
        <w:ind w:left="340" w:right="20" w:hanging="332"/>
        <w:spacing w:after="0" w:line="251" w:lineRule="auto"/>
        <w:tabs>
          <w:tab w:leader="none" w:pos="340" w:val="left"/>
        </w:tabs>
        <w:numPr>
          <w:ilvl w:val="0"/>
          <w:numId w:val="100"/>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40" w:hanging="332"/>
        <w:spacing w:after="0"/>
        <w:tabs>
          <w:tab w:leader="none" w:pos="340" w:val="left"/>
        </w:tabs>
        <w:numPr>
          <w:ilvl w:val="0"/>
          <w:numId w:val="100"/>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spacing w:after="0" w:line="28" w:lineRule="exact"/>
        <w:rPr>
          <w:rFonts w:ascii="Arial" w:cs="Arial" w:eastAsia="Arial" w:hAnsi="Arial"/>
          <w:sz w:val="12"/>
          <w:szCs w:val="12"/>
          <w:color w:val="auto"/>
        </w:rPr>
      </w:pPr>
    </w:p>
    <w:p>
      <w:pPr>
        <w:ind w:left="340" w:hanging="332"/>
        <w:spacing w:after="0"/>
        <w:tabs>
          <w:tab w:leader="none" w:pos="340" w:val="left"/>
        </w:tabs>
        <w:numPr>
          <w:ilvl w:val="0"/>
          <w:numId w:val="100"/>
        </w:numPr>
        <w:rPr>
          <w:rFonts w:ascii="Arial" w:cs="Arial" w:eastAsia="Arial" w:hAnsi="Arial"/>
          <w:sz w:val="12"/>
          <w:szCs w:val="12"/>
          <w:color w:val="auto"/>
        </w:rPr>
      </w:pPr>
      <w:r>
        <w:rPr>
          <w:rFonts w:ascii="Arial" w:cs="Arial" w:eastAsia="Arial" w:hAnsi="Arial"/>
          <w:sz w:val="14"/>
          <w:szCs w:val="14"/>
          <w:color w:val="auto"/>
        </w:rPr>
        <w:t>Excludes debt related costs.</w:t>
      </w:r>
    </w:p>
    <w:p>
      <w:pPr>
        <w:spacing w:after="0" w:line="28" w:lineRule="exact"/>
        <w:rPr>
          <w:rFonts w:ascii="Arial" w:cs="Arial" w:eastAsia="Arial" w:hAnsi="Arial"/>
          <w:sz w:val="12"/>
          <w:szCs w:val="12"/>
          <w:color w:val="auto"/>
        </w:rPr>
      </w:pPr>
    </w:p>
    <w:p>
      <w:pPr>
        <w:ind w:left="340" w:right="60" w:hanging="332"/>
        <w:spacing w:after="0" w:line="251" w:lineRule="auto"/>
        <w:tabs>
          <w:tab w:leader="none" w:pos="340" w:val="left"/>
        </w:tabs>
        <w:numPr>
          <w:ilvl w:val="0"/>
          <w:numId w:val="100"/>
        </w:numPr>
        <w:rPr>
          <w:rFonts w:ascii="Arial" w:cs="Arial" w:eastAsia="Arial" w:hAnsi="Arial"/>
          <w:sz w:val="12"/>
          <w:szCs w:val="12"/>
          <w:color w:val="auto"/>
        </w:rPr>
      </w:pPr>
      <w:r>
        <w:rPr>
          <w:rFonts w:ascii="Arial" w:cs="Arial" w:eastAsia="Arial" w:hAnsi="Arial"/>
          <w:sz w:val="14"/>
          <w:szCs w:val="14"/>
          <w:color w:val="auto"/>
        </w:rPr>
        <w:t>For the three months ended December 31, 2016 and 2015, the ratio of operating expenses before the waiver of Management Fees to average net assets was 7.18% and 7.07%, respectively, and the ratio of total expenses before the waiver of Management Fees to average net assets was 11.33% and 10.91%, respectively.</w:t>
      </w:r>
    </w:p>
    <w:p>
      <w:pPr>
        <w:ind w:left="340" w:hanging="332"/>
        <w:spacing w:after="0"/>
        <w:tabs>
          <w:tab w:leader="none" w:pos="340" w:val="left"/>
        </w:tabs>
        <w:numPr>
          <w:ilvl w:val="0"/>
          <w:numId w:val="100"/>
        </w:numPr>
        <w:rPr>
          <w:rFonts w:ascii="Arial" w:cs="Arial" w:eastAsia="Arial" w:hAnsi="Arial"/>
          <w:sz w:val="12"/>
          <w:szCs w:val="12"/>
          <w:color w:val="auto"/>
        </w:rPr>
      </w:pPr>
      <w:r>
        <w:rPr>
          <w:rFonts w:ascii="Arial" w:cs="Arial" w:eastAsia="Arial" w:hAnsi="Arial"/>
          <w:sz w:val="14"/>
          <w:szCs w:val="14"/>
          <w:color w:val="auto"/>
        </w:rPr>
        <w:t>Does not annualize provision for taxes.</w:t>
      </w:r>
    </w:p>
    <w:p>
      <w:pPr>
        <w:spacing w:after="0" w:line="28" w:lineRule="exact"/>
        <w:rPr>
          <w:rFonts w:ascii="Arial" w:cs="Arial" w:eastAsia="Arial" w:hAnsi="Arial"/>
          <w:sz w:val="12"/>
          <w:szCs w:val="12"/>
          <w:color w:val="auto"/>
        </w:rPr>
      </w:pPr>
    </w:p>
    <w:p>
      <w:pPr>
        <w:ind w:left="340" w:hanging="332"/>
        <w:spacing w:after="0"/>
        <w:tabs>
          <w:tab w:leader="none" w:pos="340" w:val="left"/>
        </w:tabs>
        <w:numPr>
          <w:ilvl w:val="0"/>
          <w:numId w:val="100"/>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spacing w:after="0" w:line="28" w:lineRule="exact"/>
        <w:rPr>
          <w:rFonts w:ascii="Arial" w:cs="Arial" w:eastAsia="Arial" w:hAnsi="Arial"/>
          <w:sz w:val="12"/>
          <w:szCs w:val="12"/>
          <w:color w:val="auto"/>
        </w:rPr>
      </w:pPr>
    </w:p>
    <w:p>
      <w:pPr>
        <w:ind w:left="340" w:right="220" w:hanging="332"/>
        <w:spacing w:after="0" w:line="238" w:lineRule="auto"/>
        <w:tabs>
          <w:tab w:leader="none" w:pos="340" w:val="left"/>
        </w:tabs>
        <w:numPr>
          <w:ilvl w:val="0"/>
          <w:numId w:val="100"/>
        </w:numPr>
        <w:rPr>
          <w:rFonts w:ascii="Arial" w:cs="Arial" w:eastAsia="Arial" w:hAnsi="Arial"/>
          <w:sz w:val="12"/>
          <w:szCs w:val="12"/>
          <w:color w:val="auto"/>
        </w:rPr>
      </w:pPr>
      <w:r>
        <w:rPr>
          <w:rFonts w:ascii="Arial" w:cs="Arial" w:eastAsia="Arial" w:hAnsi="Arial"/>
          <w:sz w:val="14"/>
          <w:szCs w:val="14"/>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 These amounts exclude SBA debentures from our asset coverage per unit computation pursuant to an exemptive relief letter provided by the SEC in June 2011.</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140" w:lineRule="exact"/>
        <w:rPr>
          <w:sz w:val="20"/>
          <w:szCs w:val="20"/>
          <w:color w:val="auto"/>
        </w:rPr>
      </w:pPr>
    </w:p>
    <w:p>
      <w:pPr>
        <w:jc w:val="both"/>
        <w:ind w:right="280" w:firstLine="685"/>
        <w:spacing w:after="0" w:line="234" w:lineRule="auto"/>
        <w:rPr>
          <w:sz w:val="20"/>
          <w:szCs w:val="20"/>
          <w:color w:val="auto"/>
        </w:rPr>
      </w:pPr>
      <w:r>
        <w:rPr>
          <w:rFonts w:ascii="Arial" w:cs="Arial" w:eastAsia="Arial" w:hAnsi="Arial"/>
          <w:sz w:val="14"/>
          <w:szCs w:val="14"/>
          <w:color w:val="auto"/>
        </w:rPr>
        <w:t>Our annualized weighted average cost of debt for the three months ended December 31, 2016 and 2015, inclusive of the fee on the undrawn commitment on the Credit Facility and amortized upfront fees on SBA debentures but excluding debt issuance costs, was 4.51% and 4.50%, respectively. In accordance with the 1940 Act, with certain limited exceptions, we are only allowed to borrow amounts such that we are in compliance with our asset coverage ratio after such borrowing, excluding SBA debentures, pursuant to exemptive relief from the SEC received in June 2011.</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123" w:lineRule="exact"/>
        <w:rPr>
          <w:sz w:val="20"/>
          <w:szCs w:val="20"/>
          <w:color w:val="auto"/>
        </w:rPr>
      </w:pPr>
    </w:p>
    <w:p>
      <w:pPr>
        <w:ind w:firstLine="685"/>
        <w:spacing w:after="0" w:line="244" w:lineRule="auto"/>
        <w:rPr>
          <w:sz w:val="20"/>
          <w:szCs w:val="20"/>
          <w:color w:val="auto"/>
        </w:rPr>
      </w:pPr>
      <w:r>
        <w:rPr>
          <w:rFonts w:ascii="Arial" w:cs="Arial" w:eastAsia="Arial" w:hAnsi="Arial"/>
          <w:sz w:val="13"/>
          <w:szCs w:val="13"/>
          <w:color w:val="auto"/>
        </w:rPr>
        <w:t>As of December 31, 2016, we had a $545 million multi-currency Credit Facility with certain lenders and SunTrust Bank, acting as administrative agent, and JPMorgan Chase Bank, N.A., acting as syndication agent for the lenders. As of December 31, 2016 and September 30, 2016, there was $148.1 million and $50.3 million, respectively, in outstanding borrowings under the Credit Facility. The Credit Facility had a weighted average interest rate of 2.63% and 2.76%, as of December 31, 2016 and September 30, 2016, respectively, excluding the undrawn commitments fees of</w:t>
      </w:r>
    </w:p>
    <w:p>
      <w:pPr>
        <w:spacing w:after="0" w:line="2" w:lineRule="exact"/>
        <w:rPr>
          <w:sz w:val="20"/>
          <w:szCs w:val="20"/>
          <w:color w:val="auto"/>
        </w:rPr>
      </w:pPr>
    </w:p>
    <w:p>
      <w:pPr>
        <w:ind w:right="100"/>
        <w:spacing w:after="0" w:line="237" w:lineRule="auto"/>
        <w:rPr>
          <w:sz w:val="20"/>
          <w:szCs w:val="20"/>
          <w:color w:val="auto"/>
        </w:rPr>
      </w:pPr>
      <w:r>
        <w:rPr>
          <w:rFonts w:ascii="Arial" w:cs="Arial" w:eastAsia="Arial" w:hAnsi="Arial"/>
          <w:sz w:val="14"/>
          <w:szCs w:val="14"/>
          <w:color w:val="auto"/>
        </w:rPr>
        <w:t>0.375%. The Credit Facility is a five-year revolving facility with a stated maturity date of June 25, 2019, a one-year term-out period following its fourth year and pricing set at 225 basis points over LIBOR. The Credit Facility is secured by substantially all of our assets excluding assets held by our SBIC Funds.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F-21</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8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DECEMBER 31, 2016</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69" w:lineRule="exact"/>
        <w:rPr>
          <w:sz w:val="20"/>
          <w:szCs w:val="20"/>
          <w:color w:val="auto"/>
        </w:rPr>
      </w:pPr>
    </w:p>
    <w:p>
      <w:pPr>
        <w:ind w:firstLine="571"/>
        <w:spacing w:after="0" w:line="229" w:lineRule="auto"/>
        <w:rPr>
          <w:sz w:val="20"/>
          <w:szCs w:val="20"/>
          <w:color w:val="auto"/>
        </w:rPr>
      </w:pPr>
      <w:r>
        <w:rPr>
          <w:rFonts w:ascii="Arial" w:cs="Arial" w:eastAsia="Arial" w:hAnsi="Arial"/>
          <w:sz w:val="14"/>
          <w:szCs w:val="14"/>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SBA debentures outstanding of $150.0 million as of December 31, 2016. We have funded SBIC II with $52.5 million of equity capital, and it had SBA debentures outstanding of $47.5 million and commitments from the SBA for another $27.5 million of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as part of a group of SBICs under common control may borrow a maximum of $350.0 million in the aggregate.</w:t>
      </w:r>
    </w:p>
    <w:p>
      <w:pPr>
        <w:spacing w:after="0" w:line="37" w:lineRule="exact"/>
        <w:rPr>
          <w:sz w:val="20"/>
          <w:szCs w:val="20"/>
          <w:color w:val="auto"/>
        </w:rPr>
      </w:pPr>
    </w:p>
    <w:p>
      <w:pPr>
        <w:ind w:right="20" w:firstLine="685"/>
        <w:spacing w:after="0" w:line="238" w:lineRule="auto"/>
        <w:rPr>
          <w:sz w:val="20"/>
          <w:szCs w:val="20"/>
          <w:color w:val="auto"/>
        </w:rPr>
      </w:pPr>
      <w:r>
        <w:rPr>
          <w:rFonts w:ascii="Arial" w:cs="Arial" w:eastAsia="Arial" w:hAnsi="Arial"/>
          <w:sz w:val="14"/>
          <w:szCs w:val="14"/>
          <w:color w:val="auto"/>
        </w:rPr>
        <w:t>As of December 31, 2016 and September 30, 2016, our SBIC Funds had $225.0 million in debt commitments, of which $197.5 million was drawn, respectively. As of December 31, 2016 and September 30, 2016, the unamortized fees on the SBA debentures was $4.1 million and $4.3 million, respectively. The SBA debentures’ upfront fees of 3.43% consist of a commitment fee of 1.00% and an issuance discount of 2.43%, which are being amortized.</w:t>
      </w:r>
    </w:p>
    <w:p>
      <w:pPr>
        <w:spacing w:after="0" w:line="3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Our fixed-rate SBA debentures as of December 31, 2016 and September 30, 2016 were as follows:</w:t>
      </w:r>
    </w:p>
    <w:p>
      <w:pPr>
        <w:spacing w:after="0" w:line="5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98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Issuance Dates</w:t>
            </w:r>
          </w:p>
        </w:tc>
        <w:tc>
          <w:tcPr>
            <w:tcW w:w="660" w:type="dxa"/>
            <w:vAlign w:val="bottom"/>
            <w:vMerge w:val="restart"/>
          </w:tcPr>
          <w:p>
            <w:pPr>
              <w:spacing w:after="0"/>
              <w:rPr>
                <w:sz w:val="14"/>
                <w:szCs w:val="14"/>
                <w:color w:val="auto"/>
              </w:rPr>
            </w:pPr>
          </w:p>
        </w:tc>
        <w:tc>
          <w:tcPr>
            <w:tcW w:w="176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Maturity</w:t>
            </w:r>
          </w:p>
        </w:tc>
        <w:tc>
          <w:tcPr>
            <w:tcW w:w="680" w:type="dxa"/>
            <w:vAlign w:val="bottom"/>
            <w:vMerge w:val="restart"/>
          </w:tcPr>
          <w:p>
            <w:pPr>
              <w:spacing w:after="0"/>
              <w:rPr>
                <w:sz w:val="14"/>
                <w:szCs w:val="14"/>
                <w:color w:val="auto"/>
              </w:rPr>
            </w:pPr>
          </w:p>
        </w:tc>
        <w:tc>
          <w:tcPr>
            <w:tcW w:w="2220" w:type="dxa"/>
            <w:vAlign w:val="bottom"/>
            <w:gridSpan w:val="2"/>
          </w:tcPr>
          <w:p>
            <w:pPr>
              <w:ind w:left="500"/>
              <w:spacing w:after="0"/>
              <w:rPr>
                <w:sz w:val="20"/>
                <w:szCs w:val="20"/>
                <w:color w:val="auto"/>
              </w:rPr>
            </w:pPr>
            <w:r>
              <w:rPr>
                <w:rFonts w:ascii="Arial" w:cs="Arial" w:eastAsia="Arial" w:hAnsi="Arial"/>
                <w:sz w:val="14"/>
                <w:szCs w:val="14"/>
                <w:b w:val="1"/>
                <w:bCs w:val="1"/>
                <w:color w:val="auto"/>
              </w:rPr>
              <w:t>Fixed All-in</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Principal Balance</w:t>
            </w:r>
          </w:p>
        </w:tc>
        <w:tc>
          <w:tcPr>
            <w:tcW w:w="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8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CCEEFF"/>
            </w:tcBorders>
            <w:vMerge w:val="continue"/>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CCEEFF"/>
            </w:tcBorders>
            <w:vMerge w:val="continue"/>
          </w:tcPr>
          <w:p>
            <w:pPr>
              <w:spacing w:after="0"/>
              <w:rPr>
                <w:sz w:val="14"/>
                <w:szCs w:val="14"/>
                <w:color w:val="auto"/>
              </w:rPr>
            </w:pPr>
          </w:p>
        </w:tc>
        <w:tc>
          <w:tcPr>
            <w:tcW w:w="17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 xml:space="preserve">coupon rate </w:t>
            </w:r>
            <w:r>
              <w:rPr>
                <w:rFonts w:ascii="Arial" w:cs="Arial" w:eastAsia="Arial" w:hAnsi="Arial"/>
                <w:sz w:val="12"/>
                <w:szCs w:val="12"/>
                <w:b w:val="1"/>
                <w:bCs w:val="1"/>
                <w:color w:val="auto"/>
              </w:rPr>
              <w:t>(1)</w:t>
            </w:r>
          </w:p>
        </w:tc>
        <w:tc>
          <w:tcPr>
            <w:tcW w:w="4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September 22, 2010</w:t>
            </w:r>
          </w:p>
        </w:tc>
        <w:tc>
          <w:tcPr>
            <w:tcW w:w="1760" w:type="dxa"/>
            <w:vAlign w:val="bottom"/>
            <w:shd w:val="clear" w:color="auto" w:fill="CCEEFF"/>
          </w:tcPr>
          <w:p>
            <w:pPr>
              <w:spacing w:after="0"/>
              <w:rPr>
                <w:sz w:val="20"/>
                <w:szCs w:val="20"/>
                <w:color w:val="auto"/>
              </w:rPr>
            </w:pPr>
            <w:r>
              <w:rPr>
                <w:rFonts w:ascii="Arial" w:cs="Arial" w:eastAsia="Arial" w:hAnsi="Arial"/>
                <w:sz w:val="14"/>
                <w:szCs w:val="14"/>
                <w:color w:val="auto"/>
              </w:rPr>
              <w:t>September 1, 2020</w:t>
            </w:r>
          </w:p>
        </w:tc>
        <w:tc>
          <w:tcPr>
            <w:tcW w:w="680" w:type="dxa"/>
            <w:vAlign w:val="bottom"/>
            <w:shd w:val="clear" w:color="auto" w:fill="CCEEFF"/>
          </w:tcPr>
          <w:p>
            <w:pPr>
              <w:spacing w:after="0"/>
              <w:rPr>
                <w:sz w:val="15"/>
                <w:szCs w:val="15"/>
                <w:color w:val="auto"/>
              </w:rPr>
            </w:pPr>
          </w:p>
        </w:tc>
        <w:tc>
          <w:tcPr>
            <w:tcW w:w="2220" w:type="dxa"/>
            <w:vAlign w:val="bottom"/>
            <w:gridSpan w:val="2"/>
            <w:vMerge w:val="restart"/>
            <w:shd w:val="clear" w:color="auto" w:fill="CCEEFF"/>
          </w:tcPr>
          <w:p>
            <w:pPr>
              <w:ind w:left="1500"/>
              <w:spacing w:after="0"/>
              <w:rPr>
                <w:sz w:val="20"/>
                <w:szCs w:val="20"/>
                <w:color w:val="auto"/>
              </w:rPr>
            </w:pPr>
            <w:r>
              <w:rPr>
                <w:rFonts w:ascii="Arial" w:cs="Arial" w:eastAsia="Arial" w:hAnsi="Arial"/>
                <w:sz w:val="14"/>
                <w:szCs w:val="14"/>
                <w:color w:val="auto"/>
              </w:rPr>
              <w:t>3.50%</w:t>
            </w:r>
          </w:p>
        </w:tc>
        <w:tc>
          <w:tcPr>
            <w:tcW w:w="560" w:type="dxa"/>
            <w:vAlign w:val="bottom"/>
            <w:gridSpan w:val="2"/>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6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115"/>
        </w:trPr>
        <w:tc>
          <w:tcPr>
            <w:tcW w:w="3640" w:type="dxa"/>
            <w:vAlign w:val="bottom"/>
            <w:gridSpan w:val="2"/>
            <w:vMerge w:val="continue"/>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20" w:type="dxa"/>
            <w:vAlign w:val="bottom"/>
            <w:gridSpan w:val="2"/>
            <w:vMerge w:val="continue"/>
            <w:shd w:val="clear" w:color="auto" w:fill="CCEEFF"/>
          </w:tcPr>
          <w:p>
            <w:pPr>
              <w:spacing w:after="0"/>
              <w:rPr>
                <w:sz w:val="9"/>
                <w:szCs w:val="9"/>
                <w:color w:val="auto"/>
              </w:rPr>
            </w:pPr>
          </w:p>
        </w:tc>
        <w:tc>
          <w:tcPr>
            <w:tcW w:w="560" w:type="dxa"/>
            <w:vAlign w:val="bottom"/>
            <w:gridSpan w:val="2"/>
            <w:vMerge w:val="continue"/>
            <w:shd w:val="clear" w:color="auto" w:fill="CCEEFF"/>
          </w:tcPr>
          <w:p>
            <w:pPr>
              <w:spacing w:after="0"/>
              <w:rPr>
                <w:sz w:val="9"/>
                <w:szCs w:val="9"/>
                <w:color w:val="auto"/>
              </w:rPr>
            </w:pPr>
          </w:p>
        </w:tc>
        <w:tc>
          <w:tcPr>
            <w:tcW w:w="164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March 29, 2011</w:t>
            </w:r>
          </w:p>
        </w:tc>
        <w:tc>
          <w:tcPr>
            <w:tcW w:w="2440" w:type="dxa"/>
            <w:vAlign w:val="bottom"/>
            <w:gridSpan w:val="2"/>
          </w:tcPr>
          <w:p>
            <w:pPr>
              <w:spacing w:after="0" w:line="149" w:lineRule="exact"/>
              <w:rPr>
                <w:sz w:val="20"/>
                <w:szCs w:val="20"/>
                <w:color w:val="auto"/>
              </w:rPr>
            </w:pPr>
            <w:r>
              <w:rPr>
                <w:rFonts w:ascii="Arial" w:cs="Arial" w:eastAsia="Arial" w:hAnsi="Arial"/>
                <w:sz w:val="14"/>
                <w:szCs w:val="14"/>
                <w:color w:val="auto"/>
              </w:rPr>
              <w:t>March 1, 2021</w:t>
            </w:r>
          </w:p>
        </w:tc>
        <w:tc>
          <w:tcPr>
            <w:tcW w:w="2220" w:type="dxa"/>
            <w:vAlign w:val="bottom"/>
            <w:gridSpan w:val="2"/>
          </w:tcPr>
          <w:p>
            <w:pPr>
              <w:ind w:left="1500"/>
              <w:spacing w:after="0" w:line="149" w:lineRule="exact"/>
              <w:rPr>
                <w:sz w:val="20"/>
                <w:szCs w:val="20"/>
                <w:color w:val="auto"/>
              </w:rPr>
            </w:pPr>
            <w:r>
              <w:rPr>
                <w:rFonts w:ascii="Arial" w:cs="Arial" w:eastAsia="Arial" w:hAnsi="Arial"/>
                <w:sz w:val="14"/>
                <w:szCs w:val="14"/>
                <w:color w:val="auto"/>
              </w:rPr>
              <w:t>4.46</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44,500,000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September 21, 2011</w:t>
            </w:r>
          </w:p>
        </w:tc>
        <w:tc>
          <w:tcPr>
            <w:tcW w:w="2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September 1, 2021</w:t>
            </w:r>
          </w:p>
        </w:tc>
        <w:tc>
          <w:tcPr>
            <w:tcW w:w="2220" w:type="dxa"/>
            <w:vAlign w:val="bottom"/>
            <w:gridSpan w:val="2"/>
            <w:shd w:val="clear" w:color="auto" w:fill="CCEEFF"/>
          </w:tcPr>
          <w:p>
            <w:pPr>
              <w:ind w:left="1500"/>
              <w:spacing w:after="0" w:line="149" w:lineRule="exact"/>
              <w:rPr>
                <w:sz w:val="20"/>
                <w:szCs w:val="20"/>
                <w:color w:val="auto"/>
              </w:rPr>
            </w:pPr>
            <w:r>
              <w:rPr>
                <w:rFonts w:ascii="Arial" w:cs="Arial" w:eastAsia="Arial" w:hAnsi="Arial"/>
                <w:sz w:val="14"/>
                <w:szCs w:val="14"/>
                <w:color w:val="auto"/>
              </w:rPr>
              <w:t>3.38</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March 23, 2016</w:t>
            </w:r>
          </w:p>
        </w:tc>
        <w:tc>
          <w:tcPr>
            <w:tcW w:w="2440" w:type="dxa"/>
            <w:vAlign w:val="bottom"/>
            <w:gridSpan w:val="2"/>
          </w:tcPr>
          <w:p>
            <w:pPr>
              <w:spacing w:after="0" w:line="149" w:lineRule="exact"/>
              <w:rPr>
                <w:sz w:val="20"/>
                <w:szCs w:val="20"/>
                <w:color w:val="auto"/>
              </w:rPr>
            </w:pPr>
            <w:r>
              <w:rPr>
                <w:rFonts w:ascii="Arial" w:cs="Arial" w:eastAsia="Arial" w:hAnsi="Arial"/>
                <w:sz w:val="14"/>
                <w:szCs w:val="14"/>
                <w:color w:val="auto"/>
              </w:rPr>
              <w:t>March 1, 2026</w:t>
            </w:r>
          </w:p>
        </w:tc>
        <w:tc>
          <w:tcPr>
            <w:tcW w:w="2220" w:type="dxa"/>
            <w:vAlign w:val="bottom"/>
            <w:gridSpan w:val="2"/>
          </w:tcPr>
          <w:p>
            <w:pPr>
              <w:ind w:left="1500"/>
              <w:spacing w:after="0" w:line="149" w:lineRule="exact"/>
              <w:rPr>
                <w:sz w:val="20"/>
                <w:szCs w:val="20"/>
                <w:color w:val="auto"/>
              </w:rPr>
            </w:pPr>
            <w:r>
              <w:rPr>
                <w:rFonts w:ascii="Arial" w:cs="Arial" w:eastAsia="Arial" w:hAnsi="Arial"/>
                <w:sz w:val="14"/>
                <w:szCs w:val="14"/>
                <w:color w:val="auto"/>
              </w:rPr>
              <w:t>2.86</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September 21, 2016</w:t>
            </w:r>
          </w:p>
        </w:tc>
        <w:tc>
          <w:tcPr>
            <w:tcW w:w="2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September 1, 2026</w:t>
            </w:r>
          </w:p>
        </w:tc>
        <w:tc>
          <w:tcPr>
            <w:tcW w:w="2220" w:type="dxa"/>
            <w:vAlign w:val="bottom"/>
            <w:gridSpan w:val="2"/>
            <w:shd w:val="clear" w:color="auto" w:fill="CCEEFF"/>
          </w:tcPr>
          <w:p>
            <w:pPr>
              <w:ind w:left="1500"/>
              <w:spacing w:after="0" w:line="149" w:lineRule="exact"/>
              <w:rPr>
                <w:sz w:val="20"/>
                <w:szCs w:val="20"/>
                <w:color w:val="auto"/>
              </w:rPr>
            </w:pPr>
            <w:r>
              <w:rPr>
                <w:rFonts w:ascii="Arial" w:cs="Arial" w:eastAsia="Arial" w:hAnsi="Arial"/>
                <w:sz w:val="14"/>
                <w:szCs w:val="14"/>
                <w:color w:val="auto"/>
              </w:rPr>
              <w:t>2.41</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4"/>
                <w:szCs w:val="14"/>
                <w:color w:val="auto"/>
              </w:rPr>
              <w:t>Weighted Average Rate / Total</w:t>
            </w: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40" w:type="dxa"/>
            <w:vAlign w:val="bottom"/>
            <w:gridSpan w:val="2"/>
            <w:vMerge w:val="continue"/>
          </w:tcPr>
          <w:p>
            <w:pPr>
              <w:spacing w:after="0"/>
              <w:rPr>
                <w:sz w:val="13"/>
                <w:szCs w:val="13"/>
                <w:color w:val="auto"/>
              </w:rPr>
            </w:pPr>
          </w:p>
        </w:tc>
        <w:tc>
          <w:tcPr>
            <w:tcW w:w="1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20" w:type="dxa"/>
            <w:vAlign w:val="bottom"/>
            <w:gridSpan w:val="2"/>
          </w:tcPr>
          <w:p>
            <w:pPr>
              <w:ind w:left="1500"/>
              <w:spacing w:after="0" w:line="155" w:lineRule="exact"/>
              <w:rPr>
                <w:sz w:val="20"/>
                <w:szCs w:val="20"/>
                <w:color w:val="auto"/>
              </w:rPr>
            </w:pPr>
            <w:r>
              <w:rPr>
                <w:rFonts w:ascii="Arial" w:cs="Arial" w:eastAsia="Arial" w:hAnsi="Arial"/>
                <w:sz w:val="14"/>
                <w:szCs w:val="14"/>
                <w:color w:val="auto"/>
              </w:rPr>
              <w:t>3.44%</w:t>
            </w:r>
          </w:p>
        </w:tc>
        <w:tc>
          <w:tcPr>
            <w:tcW w:w="340" w:type="dxa"/>
            <w:vAlign w:val="bottom"/>
            <w:vMerge w:val="continue"/>
          </w:tcPr>
          <w:p>
            <w:pPr>
              <w:spacing w:after="0"/>
              <w:rPr>
                <w:sz w:val="13"/>
                <w:szCs w:val="1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600" w:type="dxa"/>
            <w:vAlign w:val="bottom"/>
          </w:tcPr>
          <w:p>
            <w:pPr>
              <w:jc w:val="right"/>
              <w:spacing w:after="0" w:line="155" w:lineRule="exact"/>
              <w:rPr>
                <w:sz w:val="20"/>
                <w:szCs w:val="20"/>
                <w:color w:val="auto"/>
              </w:rPr>
            </w:pPr>
            <w:r>
              <w:rPr>
                <w:rFonts w:ascii="Arial" w:cs="Arial" w:eastAsia="Arial" w:hAnsi="Arial"/>
                <w:sz w:val="14"/>
                <w:szCs w:val="14"/>
                <w:color w:val="auto"/>
              </w:rPr>
              <w:t>197,500,000</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94615</wp:posOffset>
            </wp:positionV>
            <wp:extent cx="187833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64" w:lineRule="exact"/>
        <w:rPr>
          <w:sz w:val="20"/>
          <w:szCs w:val="20"/>
          <w:color w:val="auto"/>
        </w:rPr>
      </w:pPr>
    </w:p>
    <w:p>
      <w:pPr>
        <w:ind w:left="920" w:hanging="345"/>
        <w:spacing w:after="0"/>
        <w:tabs>
          <w:tab w:leader="none" w:pos="920" w:val="left"/>
        </w:tabs>
        <w:numPr>
          <w:ilvl w:val="0"/>
          <w:numId w:val="101"/>
        </w:numPr>
        <w:rPr>
          <w:rFonts w:ascii="Arial" w:cs="Arial" w:eastAsia="Arial" w:hAnsi="Arial"/>
          <w:sz w:val="12"/>
          <w:szCs w:val="12"/>
          <w:color w:val="auto"/>
        </w:rPr>
      </w:pPr>
      <w:r>
        <w:rPr>
          <w:rFonts w:ascii="Arial" w:cs="Arial" w:eastAsia="Arial" w:hAnsi="Arial"/>
          <w:sz w:val="14"/>
          <w:szCs w:val="14"/>
          <w:color w:val="auto"/>
        </w:rPr>
        <w:t>Excludes 3.43% of upfront fees.</w:t>
      </w:r>
    </w:p>
    <w:p>
      <w:pPr>
        <w:spacing w:after="0" w:line="55" w:lineRule="exact"/>
        <w:rPr>
          <w:sz w:val="20"/>
          <w:szCs w:val="20"/>
          <w:color w:val="auto"/>
        </w:rPr>
      </w:pPr>
    </w:p>
    <w:p>
      <w:pPr>
        <w:ind w:firstLine="685"/>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December 31, 2016, our SBIC Funds were in compliance with their regulatory requirements.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Notes</w:t>
      </w:r>
    </w:p>
    <w:p>
      <w:pPr>
        <w:spacing w:after="0" w:line="55" w:lineRule="exact"/>
        <w:rPr>
          <w:sz w:val="20"/>
          <w:szCs w:val="20"/>
          <w:color w:val="auto"/>
        </w:rPr>
      </w:pPr>
    </w:p>
    <w:p>
      <w:pPr>
        <w:jc w:val="both"/>
        <w:ind w:right="60" w:firstLine="685"/>
        <w:spacing w:after="0" w:line="264" w:lineRule="auto"/>
        <w:rPr>
          <w:sz w:val="20"/>
          <w:szCs w:val="20"/>
          <w:color w:val="auto"/>
        </w:rPr>
      </w:pPr>
      <w:r>
        <w:rPr>
          <w:rFonts w:ascii="Arial" w:cs="Arial" w:eastAsia="Arial" w:hAnsi="Arial"/>
          <w:sz w:val="13"/>
          <w:szCs w:val="13"/>
          <w:color w:val="auto"/>
        </w:rPr>
        <w:t>As of December 31, 2016 and September 30, 2016, we had $250.0 million in aggregate principal amount of 2019 Notes outstanding.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Notes</w:t>
      </w:r>
    </w:p>
    <w:p>
      <w:pPr>
        <w:spacing w:after="0" w:line="69" w:lineRule="exact"/>
        <w:rPr>
          <w:sz w:val="20"/>
          <w:szCs w:val="20"/>
          <w:color w:val="auto"/>
        </w:rPr>
      </w:pPr>
    </w:p>
    <w:p>
      <w:pPr>
        <w:ind w:right="40" w:firstLine="685"/>
        <w:spacing w:after="0" w:line="234" w:lineRule="auto"/>
        <w:rPr>
          <w:sz w:val="20"/>
          <w:szCs w:val="20"/>
          <w:color w:val="auto"/>
        </w:rPr>
      </w:pPr>
      <w:r>
        <w:rPr>
          <w:rFonts w:ascii="Arial" w:cs="Arial" w:eastAsia="Arial" w:hAnsi="Arial"/>
          <w:sz w:val="14"/>
          <w:szCs w:val="14"/>
          <w:color w:val="auto"/>
        </w:rPr>
        <w:t>As of December 31, 2016 and September 30, 2016, we had $71.3 million in aggregate principal amount of 2025 Notes outstanding. Interest on the 2025 Notes is paid quarterly on 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59" w:lineRule="exact"/>
        <w:rPr>
          <w:sz w:val="20"/>
          <w:szCs w:val="20"/>
          <w:color w:val="auto"/>
        </w:rPr>
      </w:pPr>
    </w:p>
    <w:p>
      <w:pPr>
        <w:ind w:right="40" w:firstLine="685"/>
        <w:spacing w:after="0" w:line="234"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December 31, 2016 and September 30, 2016, we had $7.6 million and $3.1 million, respectively, in commitments to fund investments.</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UNCONSOLIDATED SIGNIFICANT SUBSIDIARIES</w:t>
      </w:r>
    </w:p>
    <w:p>
      <w:pPr>
        <w:spacing w:after="0" w:line="59" w:lineRule="exact"/>
        <w:rPr>
          <w:sz w:val="20"/>
          <w:szCs w:val="20"/>
          <w:color w:val="auto"/>
        </w:rPr>
      </w:pPr>
    </w:p>
    <w:p>
      <w:pPr>
        <w:ind w:right="20" w:firstLine="685"/>
        <w:spacing w:after="0" w:line="234" w:lineRule="auto"/>
        <w:rPr>
          <w:sz w:val="20"/>
          <w:szCs w:val="20"/>
          <w:color w:val="auto"/>
        </w:rPr>
      </w:pPr>
      <w:r>
        <w:rPr>
          <w:rFonts w:ascii="Arial" w:cs="Arial" w:eastAsia="Arial" w:hAnsi="Arial"/>
          <w:sz w:val="14"/>
          <w:szCs w:val="14"/>
          <w:color w:val="auto"/>
        </w:rPr>
        <w:t>We must determine which, if any, of our unconsolidated controlled portfolio companies is a “significant subsidiary” within the meaning of Regulation S-X. We have determined that, as of December 31, 2016 and September 30, 2016, RAM Energy Holdings LLC triggered at least one of the significance tests. RAM Energy Holdings LLC became a controlled affiliated investment as of September 30, 2015. As a result and in accordance with Rule 4-08(g) of Regulation S-K, presented below is summarized unaudited financial information for RAM Energy Holdings LLC as of December 31, 2016 and September 30, 2016 as well as for the three months ended December 31, 2016 and 2015.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60" w:type="dxa"/>
            <w:vAlign w:val="bottom"/>
          </w:tcPr>
          <w:p>
            <w:pPr>
              <w:spacing w:after="0"/>
              <w:rPr>
                <w:sz w:val="20"/>
                <w:szCs w:val="20"/>
                <w:color w:val="auto"/>
              </w:rPr>
            </w:pPr>
            <w:r>
              <w:rPr>
                <w:rFonts w:ascii="Arial" w:cs="Arial" w:eastAsia="Arial" w:hAnsi="Arial"/>
                <w:sz w:val="14"/>
                <w:szCs w:val="14"/>
                <w:b w:val="1"/>
                <w:bCs w:val="1"/>
                <w:color w:val="auto"/>
              </w:rPr>
              <w:t>Balance Sheet</w:t>
            </w:r>
          </w:p>
        </w:tc>
        <w:tc>
          <w:tcPr>
            <w:tcW w:w="400" w:type="dxa"/>
            <w:vAlign w:val="bottom"/>
          </w:tcPr>
          <w:p>
            <w:pPr>
              <w:spacing w:after="0"/>
              <w:rPr>
                <w:sz w:val="16"/>
                <w:szCs w:val="16"/>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2016</w:t>
            </w:r>
          </w:p>
        </w:tc>
      </w:tr>
      <w:tr>
        <w:trPr>
          <w:trHeight w:val="142"/>
        </w:trPr>
        <w:tc>
          <w:tcPr>
            <w:tcW w:w="24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Current assets</w:t>
            </w:r>
          </w:p>
        </w:tc>
        <w:tc>
          <w:tcPr>
            <w:tcW w:w="4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1,699,593</w:t>
            </w:r>
          </w:p>
        </w:tc>
        <w:tc>
          <w:tcPr>
            <w:tcW w:w="4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1,871,645</w:t>
            </w:r>
          </w:p>
        </w:tc>
        <w:tc>
          <w:tcPr>
            <w:tcW w:w="40" w:type="dxa"/>
            <w:vAlign w:val="bottom"/>
            <w:tcBorders>
              <w:top w:val="single" w:sz="8" w:color="CCEEFF"/>
            </w:tcBorders>
            <w:shd w:val="clear" w:color="auto" w:fill="CCEEFF"/>
          </w:tcPr>
          <w:p>
            <w:pPr>
              <w:spacing w:after="0"/>
              <w:rPr>
                <w:sz w:val="12"/>
                <w:szCs w:val="12"/>
                <w:color w:val="auto"/>
              </w:rPr>
            </w:pP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Noncurrent assets</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29,503,764</w:t>
            </w:r>
          </w:p>
        </w:tc>
        <w:tc>
          <w:tcPr>
            <w:tcW w:w="32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35,306,598</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6,410,604</w:t>
            </w: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4,338,002</w:t>
            </w:r>
          </w:p>
        </w:tc>
      </w:tr>
      <w:tr>
        <w:trPr>
          <w:trHeight w:val="182"/>
        </w:trPr>
        <w:tc>
          <w:tcPr>
            <w:tcW w:w="2460" w:type="dxa"/>
            <w:vAlign w:val="bottom"/>
          </w:tcPr>
          <w:p>
            <w:pPr>
              <w:spacing w:after="0"/>
              <w:rPr>
                <w:sz w:val="20"/>
                <w:szCs w:val="20"/>
                <w:color w:val="auto"/>
              </w:rPr>
            </w:pPr>
            <w:r>
              <w:rPr>
                <w:rFonts w:ascii="Arial" w:cs="Arial" w:eastAsia="Arial" w:hAnsi="Arial"/>
                <w:sz w:val="14"/>
                <w:szCs w:val="14"/>
                <w:color w:val="auto"/>
              </w:rPr>
              <w:t>Noncurrent liabilities</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4"/>
                <w:szCs w:val="14"/>
                <w:color w:val="auto"/>
              </w:rPr>
              <w:t>91,208,666</w:t>
            </w:r>
          </w:p>
        </w:tc>
        <w:tc>
          <w:tcPr>
            <w:tcW w:w="32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90,737,483</w:t>
            </w:r>
          </w:p>
        </w:tc>
      </w:tr>
    </w:tbl>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F-22</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780" w:type="dxa"/>
            <w:vAlign w:val="bottom"/>
            <w:gridSpan w:val="9"/>
          </w:tcPr>
          <w:p>
            <w:pPr>
              <w:jc w:val="center"/>
              <w:ind w:left="1048"/>
              <w:spacing w:after="0"/>
              <w:rPr>
                <w:sz w:val="20"/>
                <w:szCs w:val="20"/>
                <w:color w:val="auto"/>
              </w:rPr>
            </w:pPr>
            <w:r>
              <w:rPr>
                <w:rFonts w:ascii="Arial" w:cs="Arial" w:eastAsia="Arial" w:hAnsi="Arial"/>
                <w:sz w:val="14"/>
                <w:szCs w:val="14"/>
                <w:b w:val="1"/>
                <w:bCs w:val="1"/>
                <w:color w:val="auto"/>
              </w:rPr>
              <w:t>PENNANTPARK INVESTMENT CORPORATION AND SUBSIDIARIES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780" w:type="dxa"/>
            <w:vAlign w:val="bottom"/>
            <w:gridSpan w:val="9"/>
          </w:tcPr>
          <w:p>
            <w:pPr>
              <w:jc w:val="center"/>
              <w:ind w:left="1048"/>
              <w:spacing w:after="0" w:line="149" w:lineRule="exact"/>
              <w:rPr>
                <w:sz w:val="20"/>
                <w:szCs w:val="20"/>
                <w:color w:val="auto"/>
              </w:rPr>
            </w:pPr>
            <w:r>
              <w:rPr>
                <w:rFonts w:ascii="Arial" w:cs="Arial" w:eastAsia="Arial" w:hAnsi="Arial"/>
                <w:sz w:val="14"/>
                <w:szCs w:val="14"/>
                <w:b w:val="1"/>
                <w:bCs w:val="1"/>
                <w:color w:val="auto"/>
              </w:rPr>
              <w:t>NOTES TO CONSOLIDATED FINANCIAL STATEMENTS – (Continued)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00" w:type="dxa"/>
            <w:vAlign w:val="bottom"/>
            <w:gridSpan w:val="5"/>
          </w:tcPr>
          <w:p>
            <w:pPr>
              <w:jc w:val="center"/>
              <w:ind w:right="1560"/>
              <w:spacing w:after="0" w:line="149" w:lineRule="exact"/>
              <w:rPr>
                <w:sz w:val="20"/>
                <w:szCs w:val="20"/>
                <w:color w:val="auto"/>
              </w:rPr>
            </w:pPr>
            <w:r>
              <w:rPr>
                <w:rFonts w:ascii="Arial" w:cs="Arial" w:eastAsia="Arial" w:hAnsi="Arial"/>
                <w:sz w:val="14"/>
                <w:szCs w:val="14"/>
                <w:b w:val="1"/>
                <w:bCs w:val="1"/>
                <w:color w:val="auto"/>
                <w:w w:val="99"/>
              </w:rPr>
              <w:t>DECEMBER 31, 2016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3"/>
          </w:tcPr>
          <w:p>
            <w:pPr>
              <w:jc w:val="center"/>
              <w:ind w:right="190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82"/>
        </w:trPr>
        <w:tc>
          <w:tcPr>
            <w:tcW w:w="2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Income Statement</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60" w:type="dxa"/>
            <w:vAlign w:val="bottom"/>
            <w:gridSpan w:val="7"/>
          </w:tcPr>
          <w:p>
            <w:pPr>
              <w:ind w:left="6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42"/>
        </w:trPr>
        <w:tc>
          <w:tcPr>
            <w:tcW w:w="2260" w:type="dxa"/>
            <w:vAlign w:val="bottom"/>
            <w:gridSpan w:val="2"/>
            <w:vMerge w:val="continue"/>
          </w:tcPr>
          <w:p>
            <w:pPr>
              <w:spacing w:after="0"/>
              <w:rPr>
                <w:sz w:val="12"/>
                <w:szCs w:val="12"/>
                <w:color w:val="auto"/>
              </w:rPr>
            </w:pPr>
          </w:p>
        </w:tc>
        <w:tc>
          <w:tcPr>
            <w:tcW w:w="1620" w:type="dxa"/>
            <w:vAlign w:val="bottom"/>
            <w:gridSpan w:val="2"/>
          </w:tcPr>
          <w:p>
            <w:pPr>
              <w:spacing w:after="0"/>
              <w:rPr>
                <w:sz w:val="12"/>
                <w:szCs w:val="12"/>
                <w:color w:val="auto"/>
              </w:rPr>
            </w:pPr>
          </w:p>
        </w:tc>
        <w:tc>
          <w:tcPr>
            <w:tcW w:w="940" w:type="dxa"/>
            <w:vAlign w:val="bottom"/>
            <w:tcBorders>
              <w:top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Total revenue</w:t>
            </w:r>
          </w:p>
        </w:tc>
        <w:tc>
          <w:tcPr>
            <w:tcW w:w="14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$1,828,378</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2,402,530</w:t>
            </w:r>
          </w:p>
        </w:tc>
        <w:tc>
          <w:tcPr>
            <w:tcW w:w="100" w:type="dxa"/>
            <w:vAlign w:val="bottom"/>
            <w:tcBorders>
              <w:top w:val="single" w:sz="8" w:color="CCEEFF"/>
            </w:tcBorders>
            <w:shd w:val="clear" w:color="auto" w:fill="CCEEFF"/>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Total expenses</w:t>
            </w:r>
          </w:p>
        </w:tc>
        <w:tc>
          <w:tcPr>
            <w:tcW w:w="1620" w:type="dxa"/>
            <w:vAlign w:val="bottom"/>
            <w:gridSpan w:val="2"/>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10,347,049</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28,237,445</w:t>
            </w: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1620" w:type="dxa"/>
            <w:vAlign w:val="bottom"/>
            <w:gridSpan w:val="2"/>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(8,518,671)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(25,834,915)</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1"/>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3"/>
          </w:tcPr>
          <w:p>
            <w:pPr>
              <w:jc w:val="center"/>
              <w:ind w:right="1880"/>
              <w:spacing w:after="0"/>
              <w:rPr>
                <w:sz w:val="20"/>
                <w:szCs w:val="20"/>
                <w:color w:val="auto"/>
              </w:rPr>
            </w:pPr>
            <w:r>
              <w:rPr>
                <w:rFonts w:ascii="Arial" w:cs="Arial" w:eastAsia="Arial" w:hAnsi="Arial"/>
                <w:sz w:val="14"/>
                <w:szCs w:val="14"/>
                <w:color w:val="auto"/>
                <w:w w:val="97"/>
              </w:rPr>
              <w:t>F-23</w:t>
            </w: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208" w:lineRule="exact"/>
        <w:rPr>
          <w:sz w:val="20"/>
          <w:szCs w:val="20"/>
          <w:color w:val="auto"/>
        </w:rPr>
      </w:pPr>
    </w:p>
    <w:p>
      <w:pPr>
        <w:ind w:right="80" w:firstLine="685"/>
        <w:spacing w:after="0" w:line="234" w:lineRule="auto"/>
        <w:rPr>
          <w:sz w:val="20"/>
          <w:szCs w:val="20"/>
          <w:color w:val="auto"/>
        </w:rPr>
      </w:pPr>
      <w:r>
        <w:rPr>
          <w:rFonts w:ascii="Arial" w:cs="Arial" w:eastAsia="Arial" w:hAnsi="Arial"/>
          <w:sz w:val="14"/>
          <w:szCs w:val="14"/>
          <w:color w:val="auto"/>
        </w:rPr>
        <w:t>The management of PennantPark Investment Corporation (except where the context suggests otherwise, the terms “we,” “us,” “our” and “PennantPark Investment” refer to PennantPark Investment Corporation and its Subsidiaries) is responsible for establishing and maintaining adequate internal control over financial reporting, as such term is defined in Exchange Act Rule 13a-15(f), and for performing an assessment of the effectiveness of internal control over financial reporting as of September 30, 2016. Our internal control system is a process designed to provide reasonable assurance to our management and board of directors regarding the preparation and fair presentation of published financial statements.</w:t>
      </w:r>
    </w:p>
    <w:p>
      <w:pPr>
        <w:spacing w:after="0" w:line="115" w:lineRule="exact"/>
        <w:rPr>
          <w:sz w:val="20"/>
          <w:szCs w:val="20"/>
          <w:color w:val="auto"/>
        </w:rPr>
      </w:pPr>
    </w:p>
    <w:p>
      <w:pPr>
        <w:ind w:right="220" w:firstLine="685"/>
        <w:spacing w:after="0" w:line="256" w:lineRule="auto"/>
        <w:rPr>
          <w:sz w:val="20"/>
          <w:szCs w:val="20"/>
          <w:color w:val="auto"/>
        </w:rPr>
      </w:pPr>
      <w:r>
        <w:rPr>
          <w:rFonts w:ascii="Arial" w:cs="Arial" w:eastAsia="Arial" w:hAnsi="Arial"/>
          <w:sz w:val="13"/>
          <w:szCs w:val="13"/>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05" w:lineRule="exact"/>
        <w:rPr>
          <w:sz w:val="20"/>
          <w:szCs w:val="20"/>
          <w:color w:val="auto"/>
        </w:rPr>
      </w:pPr>
    </w:p>
    <w:p>
      <w:pPr>
        <w:ind w:firstLine="685"/>
        <w:spacing w:after="0" w:line="238" w:lineRule="auto"/>
        <w:rPr>
          <w:sz w:val="20"/>
          <w:szCs w:val="20"/>
          <w:color w:val="auto"/>
        </w:rPr>
      </w:pPr>
      <w:r>
        <w:rPr>
          <w:rFonts w:ascii="Arial" w:cs="Arial" w:eastAsia="Arial" w:hAnsi="Arial"/>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2" w:lineRule="exact"/>
        <w:rPr>
          <w:sz w:val="20"/>
          <w:szCs w:val="20"/>
          <w:color w:val="auto"/>
        </w:rPr>
      </w:pPr>
    </w:p>
    <w:p>
      <w:pPr>
        <w:jc w:val="both"/>
        <w:ind w:right="180" w:firstLine="685"/>
        <w:spacing w:after="0" w:line="238" w:lineRule="auto"/>
        <w:rPr>
          <w:sz w:val="20"/>
          <w:szCs w:val="20"/>
          <w:color w:val="auto"/>
        </w:rPr>
      </w:pPr>
      <w:r>
        <w:rPr>
          <w:rFonts w:ascii="Arial" w:cs="Arial" w:eastAsia="Arial" w:hAnsi="Arial"/>
          <w:sz w:val="14"/>
          <w:szCs w:val="14"/>
          <w:color w:val="auto"/>
        </w:rPr>
        <w:t xml:space="preserve">Management assessed the effectiveness of PennantPark Investment’s internal control over financial reporting as of September 30, 2016. In making this assessment, we used the criteria set forth by the Committee of Sponsoring Organizations of the Treadway Commission in 2013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Based on the assessment management believes that, as of September 30, 2016, our internal control over financial reporting is effective based on those criteria.</w:t>
      </w:r>
    </w:p>
    <w:p>
      <w:pPr>
        <w:spacing w:after="0" w:line="115" w:lineRule="exact"/>
        <w:rPr>
          <w:sz w:val="20"/>
          <w:szCs w:val="20"/>
          <w:color w:val="auto"/>
        </w:rPr>
      </w:pPr>
    </w:p>
    <w:p>
      <w:pPr>
        <w:ind w:right="860" w:firstLine="685"/>
        <w:spacing w:after="0" w:line="253" w:lineRule="auto"/>
        <w:rPr>
          <w:sz w:val="20"/>
          <w:szCs w:val="20"/>
          <w:color w:val="auto"/>
        </w:rPr>
      </w:pPr>
      <w:r>
        <w:rPr>
          <w:rFonts w:ascii="Arial" w:cs="Arial" w:eastAsia="Arial" w:hAnsi="Arial"/>
          <w:sz w:val="14"/>
          <w:szCs w:val="14"/>
          <w:color w:val="auto"/>
        </w:rPr>
        <w:t>PennantPark Investment’s independent registered public accounting firm has issued an audit report on the effectiveness of our internal control over financial reporting as of September 30, 2016. This report appears on page 47.</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124" w:lineRule="exact"/>
        <w:rPr>
          <w:sz w:val="20"/>
          <w:szCs w:val="20"/>
          <w:color w:val="auto"/>
        </w:rPr>
      </w:pPr>
    </w:p>
    <w:p>
      <w:pPr>
        <w:ind w:right="20" w:firstLine="685"/>
        <w:spacing w:after="0" w:line="234" w:lineRule="auto"/>
        <w:rPr>
          <w:sz w:val="20"/>
          <w:szCs w:val="20"/>
          <w:color w:val="auto"/>
        </w:rPr>
      </w:pPr>
      <w:r>
        <w:rPr>
          <w:rFonts w:ascii="Arial" w:cs="Arial" w:eastAsia="Arial" w:hAnsi="Arial"/>
          <w:sz w:val="14"/>
          <w:szCs w:val="14"/>
          <w:color w:val="auto"/>
        </w:rPr>
        <w:t>We have audited the accompanying consolidated statements of assets and liabilities of PennantPark Investment Corporation and its Subsidiaries (collectively referred to as the “Company”), including the consolidated schedules of investments as of September 30, 2016 and 2015, and the related consolidated statements of operations, changes in net assets, and cash flows for each of the three years in the period ended September 30, 2016. These consolidated financial statements are the responsibility of the Company’s management. Our responsibility is to express an opinion on these consolidated financial statements based on our audits.</w:t>
      </w:r>
    </w:p>
    <w:p>
      <w:pPr>
        <w:spacing w:after="0" w:line="115" w:lineRule="exact"/>
        <w:rPr>
          <w:sz w:val="20"/>
          <w:szCs w:val="20"/>
          <w:color w:val="auto"/>
        </w:rPr>
      </w:pPr>
    </w:p>
    <w:p>
      <w:pPr>
        <w:ind w:firstLine="685"/>
        <w:spacing w:after="0" w:line="231" w:lineRule="auto"/>
        <w:rPr>
          <w:sz w:val="20"/>
          <w:szCs w:val="20"/>
          <w:color w:val="auto"/>
        </w:rPr>
      </w:pPr>
      <w:r>
        <w:rPr>
          <w:rFonts w:ascii="Arial" w:cs="Arial" w:eastAsia="Arial" w:hAnsi="Arial"/>
          <w:sz w:val="14"/>
          <w:szCs w:val="14"/>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2016, by correspondence with the custodians and/or portfolio companies.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3" w:lineRule="exact"/>
        <w:rPr>
          <w:sz w:val="20"/>
          <w:szCs w:val="20"/>
          <w:color w:val="auto"/>
        </w:rPr>
      </w:pPr>
    </w:p>
    <w:p>
      <w:pPr>
        <w:ind w:right="360" w:firstLine="685"/>
        <w:spacing w:after="0" w:line="238"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PennantPark Investment Corporation and its Subsidiaries as of September 30, 2016 and 2015, and the results of their operations, changes in net assets and their cash flows for each of the three years in the period then ended September 30, 2016, in conformity with U.S. generally accepted accounting principles.</w:t>
      </w:r>
    </w:p>
    <w:p>
      <w:pPr>
        <w:spacing w:after="0" w:line="115" w:lineRule="exact"/>
        <w:rPr>
          <w:sz w:val="20"/>
          <w:szCs w:val="20"/>
          <w:color w:val="auto"/>
        </w:rPr>
      </w:pPr>
    </w:p>
    <w:p>
      <w:pPr>
        <w:ind w:right="60" w:firstLine="685"/>
        <w:spacing w:after="0" w:line="234" w:lineRule="auto"/>
        <w:rPr>
          <w:sz w:val="20"/>
          <w:szCs w:val="20"/>
          <w:color w:val="auto"/>
        </w:rPr>
      </w:pPr>
      <w:r>
        <w:rPr>
          <w:rFonts w:ascii="Arial" w:cs="Arial" w:eastAsia="Arial" w:hAnsi="Arial"/>
          <w:sz w:val="14"/>
          <w:szCs w:val="14"/>
          <w:color w:val="auto"/>
        </w:rPr>
        <w:t xml:space="preserve">We also have audited, in accordance with the standards of the Public Company Accounting Oversight Board (United States), PennantPark Investment Corporation and its Subsidiaries’ internal control over financial reporting as of September 30, 2016,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the Committee of Sponsoring Organizations of the Treadway Commission (COSO) in 2013, and our report dated November 21, 2016 expressed an unqualified opinion on the effectiveness of the Company’s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21, 2016</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F-25</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On Internal Control Over Financial Reporting</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124" w:lineRule="exact"/>
        <w:rPr>
          <w:sz w:val="20"/>
          <w:szCs w:val="20"/>
          <w:color w:val="auto"/>
        </w:rPr>
      </w:pPr>
    </w:p>
    <w:p>
      <w:pPr>
        <w:ind w:firstLine="685"/>
        <w:spacing w:after="0" w:line="231" w:lineRule="auto"/>
        <w:rPr>
          <w:sz w:val="20"/>
          <w:szCs w:val="20"/>
          <w:color w:val="auto"/>
        </w:rPr>
      </w:pPr>
      <w:r>
        <w:rPr>
          <w:rFonts w:ascii="Arial" w:cs="Arial" w:eastAsia="Arial" w:hAnsi="Arial"/>
          <w:sz w:val="14"/>
          <w:szCs w:val="14"/>
          <w:color w:val="auto"/>
        </w:rPr>
        <w:t xml:space="preserve">We have audited PennantPark Investment Corporation and its Subsidiaries’ (collectively referred to as the “Company”) internal control over financial reporting as of September 30, 2016,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the Committee of Sponsoring Organizations of the Treadway Commission (COSO) in 2013.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7" w:lineRule="exact"/>
        <w:rPr>
          <w:sz w:val="20"/>
          <w:szCs w:val="20"/>
          <w:color w:val="auto"/>
        </w:rPr>
      </w:pPr>
    </w:p>
    <w:p>
      <w:pPr>
        <w:ind w:firstLine="685"/>
        <w:spacing w:after="0" w:line="256"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91" w:lineRule="exact"/>
        <w:rPr>
          <w:sz w:val="20"/>
          <w:szCs w:val="20"/>
          <w:color w:val="auto"/>
        </w:rPr>
      </w:pPr>
    </w:p>
    <w:p>
      <w:pPr>
        <w:ind w:right="20" w:firstLine="685"/>
        <w:spacing w:after="0" w:line="248"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jc w:val="both"/>
        <w:ind w:right="100"/>
        <w:spacing w:after="0" w:line="229"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w:t>
      </w:r>
      <w:r>
        <w:rPr>
          <w:rFonts w:ascii="Arial" w:cs="Arial" w:eastAsia="Arial" w:hAnsi="Arial"/>
          <w:sz w:val="14"/>
          <w:szCs w:val="14"/>
          <w:color w:val="auto"/>
        </w:rPr>
        <w:t>) pertain to the maintenance of records that, in reasonable detail, accurately and fairly reflect the transactions and dispositions of the assets of the company; (</w:t>
      </w:r>
      <w:r>
        <w:rPr>
          <w:rFonts w:ascii="Arial" w:cs="Arial" w:eastAsia="Arial" w:hAnsi="Arial"/>
          <w:sz w:val="14"/>
          <w:szCs w:val="14"/>
          <w:i w:val="1"/>
          <w:iCs w:val="1"/>
          <w:color w:val="auto"/>
        </w:rPr>
        <w:t>b</w:t>
      </w:r>
      <w:r>
        <w:rPr>
          <w:rFonts w:ascii="Arial" w:cs="Arial" w:eastAsia="Arial" w:hAnsi="Arial"/>
          <w:sz w:val="14"/>
          <w:szCs w:val="14"/>
          <w:color w:val="auto"/>
        </w:rPr>
        <w:t>)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w:t>
      </w:r>
      <w:r>
        <w:rPr>
          <w:rFonts w:ascii="Arial" w:cs="Arial" w:eastAsia="Arial" w:hAnsi="Arial"/>
          <w:sz w:val="14"/>
          <w:szCs w:val="14"/>
          <w:i w:val="1"/>
          <w:iCs w:val="1"/>
          <w:color w:val="auto"/>
        </w:rPr>
        <w:t>c</w:t>
      </w:r>
      <w:r>
        <w:rPr>
          <w:rFonts w:ascii="Arial" w:cs="Arial" w:eastAsia="Arial" w:hAnsi="Arial"/>
          <w:sz w:val="14"/>
          <w:szCs w:val="14"/>
          <w:color w:val="auto"/>
        </w:rPr>
        <w:t>) provide reasonable assurance regarding prevention or timely detection of unauthorized acquisition, use, or disposition of the company’s assets that could have a material effect on the financial statements.</w:t>
      </w:r>
    </w:p>
    <w:p>
      <w:pPr>
        <w:spacing w:after="0" w:line="116" w:lineRule="exact"/>
        <w:rPr>
          <w:sz w:val="20"/>
          <w:szCs w:val="20"/>
          <w:color w:val="auto"/>
        </w:rPr>
      </w:pPr>
    </w:p>
    <w:p>
      <w:pPr>
        <w:ind w:right="20" w:firstLine="685"/>
        <w:spacing w:after="0" w:line="291"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3" w:lineRule="exact"/>
        <w:rPr>
          <w:sz w:val="20"/>
          <w:szCs w:val="20"/>
          <w:color w:val="auto"/>
        </w:rPr>
      </w:pPr>
    </w:p>
    <w:p>
      <w:pPr>
        <w:ind w:right="60" w:firstLine="685"/>
        <w:spacing w:after="0" w:line="253" w:lineRule="auto"/>
        <w:rPr>
          <w:sz w:val="20"/>
          <w:szCs w:val="20"/>
          <w:color w:val="auto"/>
        </w:rPr>
      </w:pPr>
      <w:r>
        <w:rPr>
          <w:rFonts w:ascii="Arial" w:cs="Arial" w:eastAsia="Arial" w:hAnsi="Arial"/>
          <w:sz w:val="14"/>
          <w:szCs w:val="14"/>
          <w:color w:val="auto"/>
        </w:rPr>
        <w:t xml:space="preserve">In our opinion, PennantPark Investment Corporation and its Subsidiaries maintained, in all material respects, effective internal control over financial reporting as of September 30, 2016,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COSO in 2013.</w:t>
      </w:r>
    </w:p>
    <w:p>
      <w:pPr>
        <w:spacing w:after="0" w:line="93" w:lineRule="exact"/>
        <w:rPr>
          <w:sz w:val="20"/>
          <w:szCs w:val="20"/>
          <w:color w:val="auto"/>
        </w:rPr>
      </w:pPr>
    </w:p>
    <w:p>
      <w:pPr>
        <w:ind w:right="80" w:firstLine="685"/>
        <w:spacing w:after="0" w:line="234"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the consolidated statements of assets and liabilities of PennantPark Investment Corporation and its Subsidiaries, including the schedules of investments as of September 30, 2016 and 2015, and the related consolidated statements of operations, changes in net assets, and cash flows for each of the three years in the period ended September 30, 2016 and our report dated November 21, 2016 expressed an unqualified opinion on those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21, 2016</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F-26</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2016</w:t>
            </w:r>
          </w:p>
        </w:tc>
        <w:tc>
          <w:tcPr>
            <w:tcW w:w="24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7"/>
              </w:rPr>
              <w:t>September 30, 2015</w:t>
            </w:r>
          </w:p>
        </w:tc>
      </w:tr>
      <w:tr>
        <w:trPr>
          <w:trHeight w:val="129"/>
        </w:trPr>
        <w:tc>
          <w:tcPr>
            <w:tcW w:w="20" w:type="dxa"/>
            <w:vAlign w:val="bottom"/>
          </w:tcPr>
          <w:p>
            <w:pPr>
              <w:spacing w:after="0"/>
              <w:rPr>
                <w:sz w:val="11"/>
                <w:szCs w:val="11"/>
                <w:color w:val="auto"/>
              </w:rPr>
            </w:pPr>
          </w:p>
        </w:tc>
        <w:tc>
          <w:tcPr>
            <w:tcW w:w="83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Investments at fair value</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Non-controlled, non-affiliated investments (cost—$805,189,545 and $1,138,155,969, respectively)</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813,467,491</w:t>
            </w:r>
          </w:p>
        </w:tc>
        <w:tc>
          <w:tcPr>
            <w:tcW w:w="4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1,096,719,079</w:t>
            </w:r>
          </w:p>
        </w:tc>
      </w:tr>
      <w:tr>
        <w:trPr>
          <w:trHeight w:val="149"/>
        </w:trPr>
        <w:tc>
          <w:tcPr>
            <w:tcW w:w="20" w:type="dxa"/>
            <w:vAlign w:val="bottom"/>
          </w:tcPr>
          <w:p>
            <w:pPr>
              <w:spacing w:after="0"/>
              <w:rPr>
                <w:sz w:val="12"/>
                <w:szCs w:val="12"/>
                <w:color w:val="auto"/>
              </w:rPr>
            </w:pPr>
          </w:p>
        </w:tc>
        <w:tc>
          <w:tcPr>
            <w:tcW w:w="8380" w:type="dxa"/>
            <w:vAlign w:val="bottom"/>
          </w:tcPr>
          <w:p>
            <w:pPr>
              <w:ind w:left="140"/>
              <w:spacing w:after="0" w:line="149" w:lineRule="exact"/>
              <w:rPr>
                <w:sz w:val="20"/>
                <w:szCs w:val="20"/>
                <w:color w:val="auto"/>
              </w:rPr>
            </w:pPr>
            <w:r>
              <w:rPr>
                <w:rFonts w:ascii="Arial" w:cs="Arial" w:eastAsia="Arial" w:hAnsi="Arial"/>
                <w:sz w:val="14"/>
                <w:szCs w:val="14"/>
                <w:color w:val="auto"/>
              </w:rPr>
              <w:t>Non-controlled, affiliated investments (cost—$262,476,906 and $133,693,295, respectively)</w:t>
            </w:r>
          </w:p>
        </w:tc>
        <w:tc>
          <w:tcPr>
            <w:tcW w:w="22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215,192,547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95,503,104</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Controlled, affiliated investments (cost—$186,290,695 and $152,387,898, respectively)</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125,019,637</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106,825,650</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380" w:type="dxa"/>
            <w:vAlign w:val="bottom"/>
          </w:tcPr>
          <w:p>
            <w:pPr>
              <w:ind w:left="140"/>
              <w:spacing w:after="0" w:line="155" w:lineRule="exact"/>
              <w:rPr>
                <w:sz w:val="20"/>
                <w:szCs w:val="20"/>
                <w:color w:val="auto"/>
              </w:rPr>
            </w:pPr>
            <w:r>
              <w:rPr>
                <w:rFonts w:ascii="Arial" w:cs="Arial" w:eastAsia="Arial" w:hAnsi="Arial"/>
                <w:sz w:val="14"/>
                <w:szCs w:val="14"/>
                <w:color w:val="auto"/>
              </w:rPr>
              <w:t>Total of investments (cost—$1,253,957,146 and $1,424,237,162, respectively)</w:t>
            </w: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1,153,679,675</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1,299,047,833</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(cost—$75,617,133 and $49,637,415, respectively)</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75,608,113</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49,619,256</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Interest receivable</w:t>
            </w:r>
          </w:p>
        </w:tc>
        <w:tc>
          <w:tcPr>
            <w:tcW w:w="22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7,032,858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7,590,197</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Prepaid expenses and other assets</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2,615,232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8,790,944</w:t>
            </w:r>
          </w:p>
        </w:tc>
        <w:tc>
          <w:tcPr>
            <w:tcW w:w="10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8380" w:type="dxa"/>
            <w:vAlign w:val="bottom"/>
          </w:tcPr>
          <w:p>
            <w:pPr>
              <w:ind w:left="560"/>
              <w:spacing w:after="0" w:line="155" w:lineRule="exact"/>
              <w:rPr>
                <w:sz w:val="20"/>
                <w:szCs w:val="20"/>
                <w:color w:val="auto"/>
              </w:rPr>
            </w:pPr>
            <w:r>
              <w:rPr>
                <w:rFonts w:ascii="Arial" w:cs="Arial" w:eastAsia="Arial" w:hAnsi="Arial"/>
                <w:sz w:val="14"/>
                <w:szCs w:val="14"/>
                <w:b w:val="1"/>
                <w:bCs w:val="1"/>
                <w:color w:val="auto"/>
              </w:rPr>
              <w:t>Total assets</w:t>
            </w: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1,238,935,878</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1,365,048,230</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Distributions payable</w:t>
            </w:r>
          </w:p>
        </w:tc>
        <w:tc>
          <w:tcPr>
            <w:tcW w:w="22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19,897,034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20,430,492</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3,591,177</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Credit Facility payable (cost—$50,339,700 and $136,864,300, respectively) (See Notes 5 and 11)</w:t>
            </w:r>
          </w:p>
        </w:tc>
        <w:tc>
          <w:tcPr>
            <w:tcW w:w="22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39,551,187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132,356,860</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 payable (par—$250,000,000) (See Notes 5 and 11)</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254,175,000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253,102,500</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SBA debentures payable (par—$197,500,000 and $150,000,000, respectively) (See Notes 5 and 11)</w:t>
            </w:r>
          </w:p>
        </w:tc>
        <w:tc>
          <w:tcPr>
            <w:tcW w:w="22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193,244,534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146,269,957</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2025 Notes payable (par—$71,250,000) (See Notes 5 and 11)</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72,618,000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71,136,000</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Base management fee payable, net (See Note 3)</w:t>
            </w:r>
          </w:p>
        </w:tc>
        <w:tc>
          <w:tcPr>
            <w:tcW w:w="22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5,074,830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6,602,029</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Performance-based incentive fee payable, net (See Note 3)</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2,865,444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5,007,792</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Interest payable on debt</w:t>
            </w:r>
          </w:p>
        </w:tc>
        <w:tc>
          <w:tcPr>
            <w:tcW w:w="22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7,520,113</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7,638,514</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other expenses</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622,880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2,322,367</w:t>
            </w:r>
          </w:p>
        </w:tc>
        <w:tc>
          <w:tcPr>
            <w:tcW w:w="10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8380" w:type="dxa"/>
            <w:vAlign w:val="bottom"/>
          </w:tcPr>
          <w:p>
            <w:pPr>
              <w:ind w:left="560"/>
              <w:spacing w:after="0" w:line="155" w:lineRule="exact"/>
              <w:rPr>
                <w:sz w:val="20"/>
                <w:szCs w:val="20"/>
                <w:color w:val="auto"/>
              </w:rPr>
            </w:pPr>
            <w:r>
              <w:rPr>
                <w:rFonts w:ascii="Arial" w:cs="Arial" w:eastAsia="Arial" w:hAnsi="Arial"/>
                <w:sz w:val="14"/>
                <w:szCs w:val="14"/>
                <w:b w:val="1"/>
                <w:bCs w:val="1"/>
                <w:color w:val="auto"/>
              </w:rPr>
              <w:t>Total liabilities</w:t>
            </w: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595,569,022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648,457,688</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(See Note 12)</w:t>
            </w: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8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71,060,836 and 72,966,043 shares issued and outstanding, respectively.</w:t>
            </w: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Par value $0.001 per share and 100,000,000 shares authorized.</w:t>
            </w:r>
          </w:p>
        </w:tc>
        <w:tc>
          <w:tcPr>
            <w:tcW w:w="2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71,061</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72,966</w:t>
            </w: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22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819,983,676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834,711,229</w:t>
            </w: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Undistributed (distributions in excess of) net investment income</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3,119,380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(13,424,886)</w:t>
            </w: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Accumulated net realized (loss) gain on investments</w:t>
            </w:r>
          </w:p>
        </w:tc>
        <w:tc>
          <w:tcPr>
            <w:tcW w:w="22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(84,771,820)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18,919,305</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depreciation on investments</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(100,280,954)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(125,207,012)</w:t>
            </w:r>
          </w:p>
        </w:tc>
      </w:tr>
      <w:tr>
        <w:trPr>
          <w:trHeight w:val="156"/>
        </w:trPr>
        <w:tc>
          <w:tcPr>
            <w:tcW w:w="20" w:type="dxa"/>
            <w:vAlign w:val="bottom"/>
          </w:tcPr>
          <w:p>
            <w:pPr>
              <w:spacing w:after="0"/>
              <w:rPr>
                <w:sz w:val="13"/>
                <w:szCs w:val="13"/>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Net unrealized depreciation on debt</w:t>
            </w: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5,245,513</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1,518,940</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b w:val="1"/>
                <w:bCs w:val="1"/>
                <w:color w:val="auto"/>
              </w:rPr>
              <w:t>Total net assets</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643,366,856</w:t>
            </w:r>
          </w:p>
        </w:tc>
        <w:tc>
          <w:tcPr>
            <w:tcW w:w="4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716,590,542</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380" w:type="dxa"/>
            <w:vAlign w:val="bottom"/>
          </w:tcPr>
          <w:p>
            <w:pPr>
              <w:ind w:left="56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1,238,935,878</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1,365,048,230</w:t>
            </w:r>
          </w:p>
        </w:tc>
        <w:tc>
          <w:tcPr>
            <w:tcW w:w="1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3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9.05</w:t>
            </w:r>
          </w:p>
        </w:tc>
        <w:tc>
          <w:tcPr>
            <w:tcW w:w="46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9.82</w:t>
            </w: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Years Ended September 30,</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104,508,016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130,647,588</w:t>
            </w:r>
          </w:p>
        </w:tc>
        <w:tc>
          <w:tcPr>
            <w:tcW w:w="22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124,850,558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80"/>
              <w:spacing w:after="0" w:line="149" w:lineRule="exact"/>
              <w:rPr>
                <w:sz w:val="20"/>
                <w:szCs w:val="20"/>
                <w:color w:val="auto"/>
              </w:rPr>
            </w:pPr>
            <w:r>
              <w:rPr>
                <w:rFonts w:ascii="Arial" w:cs="Arial" w:eastAsia="Arial" w:hAnsi="Arial"/>
                <w:sz w:val="14"/>
                <w:szCs w:val="14"/>
                <w:color w:val="auto"/>
              </w:rPr>
              <w:t>Other income</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10,945,240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339"/>
              <w:spacing w:after="0" w:line="149" w:lineRule="exact"/>
              <w:rPr>
                <w:sz w:val="20"/>
                <w:szCs w:val="20"/>
                <w:color w:val="auto"/>
              </w:rPr>
            </w:pPr>
            <w:r>
              <w:rPr>
                <w:rFonts w:ascii="Arial" w:cs="Arial" w:eastAsia="Arial" w:hAnsi="Arial"/>
                <w:sz w:val="14"/>
                <w:szCs w:val="14"/>
                <w:color w:val="auto"/>
              </w:rPr>
              <w:t>9,644,816</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9,692,254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From non-controlled, affiliated investments:</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80"/>
              <w:spacing w:after="0" w:line="149" w:lineRule="exact"/>
              <w:rPr>
                <w:sz w:val="20"/>
                <w:szCs w:val="20"/>
                <w:color w:val="auto"/>
              </w:rPr>
            </w:pPr>
            <w:r>
              <w:rPr>
                <w:rFonts w:ascii="Arial" w:cs="Arial" w:eastAsia="Arial" w:hAnsi="Arial"/>
                <w:sz w:val="14"/>
                <w:szCs w:val="14"/>
                <w:color w:val="auto"/>
              </w:rPr>
              <w:t>Interest</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13,055,367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339"/>
              <w:spacing w:after="0" w:line="149" w:lineRule="exact"/>
              <w:rPr>
                <w:sz w:val="20"/>
                <w:szCs w:val="20"/>
                <w:color w:val="auto"/>
              </w:rPr>
            </w:pPr>
            <w:r>
              <w:rPr>
                <w:rFonts w:ascii="Arial" w:cs="Arial" w:eastAsia="Arial" w:hAnsi="Arial"/>
                <w:sz w:val="14"/>
                <w:szCs w:val="14"/>
                <w:color w:val="auto"/>
              </w:rPr>
              <w:t>11,694,525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5,656,300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income</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80,521</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175,937</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From controlled, affiliated investments:</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13,481,683</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5,366,425</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7,278,060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80"/>
              <w:spacing w:after="0" w:line="149" w:lineRule="exact"/>
              <w:rPr>
                <w:sz w:val="20"/>
                <w:szCs w:val="20"/>
                <w:color w:val="auto"/>
              </w:rPr>
            </w:pPr>
            <w:r>
              <w:rPr>
                <w:rFonts w:ascii="Arial" w:cs="Arial" w:eastAsia="Arial" w:hAnsi="Arial"/>
                <w:sz w:val="14"/>
                <w:szCs w:val="14"/>
                <w:color w:val="auto"/>
              </w:rPr>
              <w:t>Other income</w:t>
            </w:r>
          </w:p>
        </w:tc>
        <w:tc>
          <w:tcPr>
            <w:tcW w:w="20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339"/>
              <w:spacing w:after="0" w:line="149" w:lineRule="exact"/>
              <w:rPr>
                <w:sz w:val="20"/>
                <w:szCs w:val="20"/>
                <w:color w:val="auto"/>
              </w:rPr>
            </w:pPr>
            <w:r>
              <w:rPr>
                <w:rFonts w:ascii="Arial" w:cs="Arial" w:eastAsia="Arial" w:hAnsi="Arial"/>
                <w:sz w:val="14"/>
                <w:szCs w:val="14"/>
                <w:color w:val="auto"/>
              </w:rPr>
              <w:t>4,100,000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459,166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Total investment income</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142,070,827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161,629,291</w:t>
            </w: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147,936,338</w:t>
            </w:r>
          </w:p>
        </w:tc>
        <w:tc>
          <w:tcPr>
            <w:tcW w:w="0" w:type="dxa"/>
            <w:vAlign w:val="bottom"/>
          </w:tcPr>
          <w:p>
            <w:pPr>
              <w:spacing w:after="0"/>
              <w:rPr>
                <w:sz w:val="1"/>
                <w:szCs w:val="1"/>
                <w:color w:val="auto"/>
              </w:rPr>
            </w:pPr>
          </w:p>
        </w:tc>
      </w:tr>
      <w:tr>
        <w:trPr>
          <w:trHeight w:val="156"/>
        </w:trPr>
        <w:tc>
          <w:tcPr>
            <w:tcW w:w="74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Base management fee (See Note 3)</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24,852,898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26,695,653</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24,291,420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8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16,018,790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339"/>
              <w:spacing w:after="0" w:line="149" w:lineRule="exact"/>
              <w:rPr>
                <w:sz w:val="20"/>
                <w:szCs w:val="20"/>
                <w:color w:val="auto"/>
              </w:rPr>
            </w:pPr>
            <w:r>
              <w:rPr>
                <w:rFonts w:ascii="Arial" w:cs="Arial" w:eastAsia="Arial" w:hAnsi="Arial"/>
                <w:sz w:val="14"/>
                <w:szCs w:val="14"/>
                <w:color w:val="auto"/>
              </w:rPr>
              <w:t>20,564,559</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17,832,129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and expenses on debt (See Note 11)</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27,601,242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26,355,081</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20,260,652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8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3,566,667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339"/>
              <w:spacing w:after="0" w:line="149" w:lineRule="exact"/>
              <w:rPr>
                <w:sz w:val="20"/>
                <w:szCs w:val="20"/>
                <w:color w:val="auto"/>
              </w:rPr>
            </w:pPr>
            <w:r>
              <w:rPr>
                <w:rFonts w:ascii="Arial" w:cs="Arial" w:eastAsia="Arial" w:hAnsi="Arial"/>
                <w:sz w:val="14"/>
                <w:szCs w:val="14"/>
                <w:color w:val="auto"/>
              </w:rPr>
              <w:t>2,686,765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2,953,423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3,605,923</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3,069,144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2,860,094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Expenses before Management Fees waiver, provision for taxes and debt issuance costs</w:t>
            </w: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75,645,520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79,371,202</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68,197,718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Management Fees waiver (See Note 3)</w:t>
            </w:r>
          </w:p>
        </w:tc>
        <w:tc>
          <w:tcPr>
            <w:tcW w:w="2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(6,539,475)</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80"/>
              <w:spacing w:after="0" w:line="149" w:lineRule="exact"/>
              <w:rPr>
                <w:sz w:val="20"/>
                <w:szCs w:val="20"/>
                <w:color w:val="auto"/>
              </w:rPr>
            </w:pPr>
            <w:r>
              <w:rPr>
                <w:rFonts w:ascii="Arial" w:cs="Arial" w:eastAsia="Arial" w:hAnsi="Arial"/>
                <w:sz w:val="14"/>
                <w:szCs w:val="14"/>
                <w:color w:val="auto"/>
              </w:rPr>
              <w:t>Provision for taxes</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2,350,000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33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72,603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Debt issuance costs (See Note 5)</w:t>
            </w:r>
          </w:p>
        </w:tc>
        <w:tc>
          <w:tcPr>
            <w:tcW w:w="2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8,337,500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6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Net expenses</w:t>
            </w: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71,456,045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79,371,202</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76,607,821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Net investment income</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70,614,782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82,258,089</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71,328,517</w:t>
            </w:r>
          </w:p>
        </w:tc>
        <w:tc>
          <w:tcPr>
            <w:tcW w:w="0" w:type="dxa"/>
            <w:vAlign w:val="bottom"/>
          </w:tcPr>
          <w:p>
            <w:pPr>
              <w:spacing w:after="0"/>
              <w:rPr>
                <w:sz w:val="1"/>
                <w:szCs w:val="1"/>
                <w:color w:val="auto"/>
              </w:rPr>
            </w:pPr>
          </w:p>
        </w:tc>
      </w:tr>
      <w:tr>
        <w:trPr>
          <w:trHeight w:val="156"/>
        </w:trPr>
        <w:tc>
          <w:tcPr>
            <w:tcW w:w="74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Realized and unrealized (loss) gain on investments and debt:</w:t>
            </w: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(loss) gain on investments</w:t>
            </w:r>
          </w:p>
        </w:tc>
        <w:tc>
          <w:tcPr>
            <w:tcW w:w="2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(80,530,707)</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30,111,694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30,235,265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Net change in unrealized appreciation (depreciation) on:</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Non-controlled, non-affiliated investments</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48,052,466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99"/>
              <w:spacing w:after="0" w:line="149" w:lineRule="exact"/>
              <w:rPr>
                <w:sz w:val="20"/>
                <w:szCs w:val="20"/>
                <w:color w:val="auto"/>
              </w:rPr>
            </w:pPr>
            <w:r>
              <w:rPr>
                <w:rFonts w:ascii="Arial" w:cs="Arial" w:eastAsia="Arial" w:hAnsi="Arial"/>
                <w:sz w:val="14"/>
                <w:szCs w:val="14"/>
                <w:color w:val="auto"/>
              </w:rPr>
              <w:t>(113,376,060)</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468,076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80"/>
              <w:spacing w:after="0" w:line="149" w:lineRule="exact"/>
              <w:rPr>
                <w:sz w:val="20"/>
                <w:szCs w:val="20"/>
                <w:color w:val="auto"/>
              </w:rPr>
            </w:pPr>
            <w:r>
              <w:rPr>
                <w:rFonts w:ascii="Arial" w:cs="Arial" w:eastAsia="Arial" w:hAnsi="Arial"/>
                <w:sz w:val="14"/>
                <w:szCs w:val="14"/>
                <w:color w:val="auto"/>
              </w:rPr>
              <w:t>Non-controlled and controlled, affiliated investments</w:t>
            </w:r>
          </w:p>
        </w:tc>
        <w:tc>
          <w:tcPr>
            <w:tcW w:w="20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(23,126,408)</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299"/>
              <w:spacing w:after="0" w:line="149" w:lineRule="exact"/>
              <w:rPr>
                <w:sz w:val="20"/>
                <w:szCs w:val="20"/>
                <w:color w:val="auto"/>
              </w:rPr>
            </w:pPr>
            <w:r>
              <w:rPr>
                <w:rFonts w:ascii="Arial" w:cs="Arial" w:eastAsia="Arial" w:hAnsi="Arial"/>
                <w:sz w:val="14"/>
                <w:szCs w:val="14"/>
                <w:color w:val="auto"/>
              </w:rPr>
              <w:t>(10,949,885)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11,993,189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Debt depreciation (appreciation) (See Notes 5 and 11)</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3,726,573</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1,710,510</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(3,041,570)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6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Net change in unrealized appreciation (depreciation) on investments and debt</w:t>
            </w: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28,652,631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(122,615,435)</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9,419,695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realized and unrealized (loss) gain from investments and debt</w:t>
            </w:r>
          </w:p>
        </w:tc>
        <w:tc>
          <w:tcPr>
            <w:tcW w:w="2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(51,878,076)</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99"/>
              <w:spacing w:after="0" w:line="149" w:lineRule="exact"/>
              <w:rPr>
                <w:sz w:val="20"/>
                <w:szCs w:val="20"/>
                <w:color w:val="auto"/>
              </w:rPr>
            </w:pPr>
            <w:r>
              <w:rPr>
                <w:rFonts w:ascii="Arial" w:cs="Arial" w:eastAsia="Arial" w:hAnsi="Arial"/>
                <w:sz w:val="14"/>
                <w:szCs w:val="14"/>
                <w:color w:val="auto"/>
              </w:rPr>
              <w:t>(92,503,741)</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39,654,960</w:t>
            </w:r>
          </w:p>
        </w:tc>
        <w:tc>
          <w:tcPr>
            <w:tcW w:w="0" w:type="dxa"/>
            <w:vAlign w:val="bottom"/>
          </w:tcPr>
          <w:p>
            <w:pPr>
              <w:spacing w:after="0"/>
              <w:rPr>
                <w:sz w:val="1"/>
                <w:szCs w:val="1"/>
                <w:color w:val="auto"/>
              </w:rPr>
            </w:pPr>
          </w:p>
        </w:tc>
      </w:tr>
      <w:tr>
        <w:trPr>
          <w:trHeight w:val="156"/>
        </w:trPr>
        <w:tc>
          <w:tcPr>
            <w:tcW w:w="74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18,736,706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(10,245,652</w:t>
            </w:r>
          </w:p>
        </w:tc>
        <w:tc>
          <w:tcPr>
            <w:tcW w:w="380" w:type="dxa"/>
            <w:vAlign w:val="bottom"/>
          </w:tcPr>
          <w:p>
            <w:pPr>
              <w:jc w:val="right"/>
              <w:ind w:right="299"/>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110,983,477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4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increase (decrease) in net assets resulting from operations per common share</w:t>
            </w:r>
          </w:p>
        </w:tc>
        <w:tc>
          <w:tcPr>
            <w:tcW w:w="200" w:type="dxa"/>
            <w:vAlign w:val="bottom"/>
            <w:shd w:val="clear" w:color="auto" w:fill="CCEE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0.26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99"/>
              <w:spacing w:after="0" w:line="143" w:lineRule="exact"/>
              <w:rPr>
                <w:sz w:val="20"/>
                <w:szCs w:val="20"/>
                <w:color w:val="auto"/>
              </w:rPr>
            </w:pPr>
            <w:r>
              <w:rPr>
                <w:rFonts w:ascii="Arial" w:cs="Arial" w:eastAsia="Arial" w:hAnsi="Arial"/>
                <w:sz w:val="14"/>
                <w:szCs w:val="14"/>
                <w:color w:val="auto"/>
              </w:rPr>
              <w:t>(0.14)</w:t>
            </w:r>
          </w:p>
        </w:tc>
        <w:tc>
          <w:tcPr>
            <w:tcW w:w="220" w:type="dxa"/>
            <w:vAlign w:val="bottom"/>
            <w:gridSpan w:val="2"/>
            <w:shd w:val="clear" w:color="auto" w:fill="CCEEFF"/>
          </w:tcPr>
          <w:p>
            <w:pPr>
              <w:jc w:val="right"/>
              <w:ind w:right="69"/>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80" w:type="dxa"/>
            <w:vAlign w:val="bottom"/>
            <w:gridSpan w:val="2"/>
            <w:vMerge w:val="continue"/>
          </w:tcPr>
          <w:p>
            <w:pPr>
              <w:spacing w:after="0"/>
              <w:rPr>
                <w:sz w:val="12"/>
                <w:szCs w:val="12"/>
                <w:color w:val="auto"/>
              </w:rPr>
            </w:pPr>
          </w:p>
        </w:tc>
        <w:tc>
          <w:tcPr>
            <w:tcW w:w="2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0.99</w:t>
            </w: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1.10</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NET ASSETS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w w:val="98"/>
              </w:rPr>
              <w:t>Years Ended September 30,</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(decrease) in net assets from operations:</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ind w:left="280"/>
              <w:spacing w:after="0" w:line="149" w:lineRule="exact"/>
              <w:rPr>
                <w:sz w:val="20"/>
                <w:szCs w:val="20"/>
                <w:color w:val="auto"/>
              </w:rPr>
            </w:pPr>
            <w:r>
              <w:rPr>
                <w:rFonts w:ascii="Arial" w:cs="Arial" w:eastAsia="Arial" w:hAnsi="Arial"/>
                <w:sz w:val="14"/>
                <w:szCs w:val="14"/>
                <w:color w:val="auto"/>
              </w:rPr>
              <w:t>Net investment income</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70,614,782</w:t>
            </w:r>
          </w:p>
        </w:tc>
        <w:tc>
          <w:tcPr>
            <w:tcW w:w="200" w:type="dxa"/>
            <w:vAlign w:val="bottom"/>
          </w:tcPr>
          <w:p>
            <w:pPr>
              <w:spacing w:after="0"/>
              <w:rPr>
                <w:sz w:val="12"/>
                <w:szCs w:val="12"/>
                <w:color w:val="auto"/>
              </w:rPr>
            </w:pPr>
          </w:p>
        </w:tc>
        <w:tc>
          <w:tcPr>
            <w:tcW w:w="62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82,258,089</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71,328,517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realized (loss) gain on investments</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(80,530,707)</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30,111,694</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30,235,265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ind w:left="280"/>
              <w:spacing w:after="0" w:line="149" w:lineRule="exact"/>
              <w:rPr>
                <w:sz w:val="20"/>
                <w:szCs w:val="20"/>
                <w:color w:val="auto"/>
              </w:rPr>
            </w:pPr>
            <w:r>
              <w:rPr>
                <w:rFonts w:ascii="Arial" w:cs="Arial" w:eastAsia="Arial" w:hAnsi="Arial"/>
                <w:sz w:val="14"/>
                <w:szCs w:val="14"/>
                <w:color w:val="auto"/>
              </w:rPr>
              <w:t>Net change in unrealized appreciation (depreciation) on investments</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24,926,058</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(124,325,945)</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12,461,265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change in debt depreciation (appreciation)</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3,726,573</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1,710,510</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(3,041,570)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58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18,736,706</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(10,245,652)</w:t>
            </w:r>
          </w:p>
        </w:tc>
        <w:tc>
          <w:tcPr>
            <w:tcW w:w="6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110,983,477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ind w:left="280"/>
              <w:spacing w:after="0" w:line="149" w:lineRule="exact"/>
              <w:rPr>
                <w:sz w:val="20"/>
                <w:szCs w:val="20"/>
                <w:color w:val="auto"/>
              </w:rPr>
            </w:pPr>
            <w:r>
              <w:rPr>
                <w:rFonts w:ascii="Arial" w:cs="Arial" w:eastAsia="Arial" w:hAnsi="Arial"/>
                <w:sz w:val="14"/>
                <w:szCs w:val="14"/>
                <w:color w:val="auto"/>
              </w:rPr>
              <w:t>Distribution of net investment income</w:t>
            </w:r>
          </w:p>
        </w:tc>
        <w:tc>
          <w:tcPr>
            <w:tcW w:w="26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(58,068,894)</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(83,275,238)</w:t>
            </w:r>
          </w:p>
        </w:tc>
        <w:tc>
          <w:tcPr>
            <w:tcW w:w="26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(76,937,761)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Distribution of realized gains</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(21,711,007)</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58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Total distributions to stockholders</w:t>
            </w: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(79,779,901)</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(83,275,238)</w:t>
            </w:r>
          </w:p>
        </w:tc>
        <w:tc>
          <w:tcPr>
            <w:tcW w:w="6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(76,937,761)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Capital transactions: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ind w:left="280"/>
              <w:spacing w:after="0" w:line="149" w:lineRule="exact"/>
              <w:rPr>
                <w:sz w:val="20"/>
                <w:szCs w:val="20"/>
                <w:color w:val="auto"/>
              </w:rPr>
            </w:pPr>
            <w:r>
              <w:rPr>
                <w:rFonts w:ascii="Arial" w:cs="Arial" w:eastAsia="Arial" w:hAnsi="Arial"/>
                <w:sz w:val="14"/>
                <w:szCs w:val="14"/>
                <w:color w:val="auto"/>
              </w:rPr>
              <w:t>Public offerings</w:t>
            </w:r>
          </w:p>
        </w:tc>
        <w:tc>
          <w:tcPr>
            <w:tcW w:w="26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98,855,000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Offering costs</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(3,465,650)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ind w:left="280"/>
              <w:spacing w:after="0" w:line="149" w:lineRule="exact"/>
              <w:rPr>
                <w:sz w:val="20"/>
                <w:szCs w:val="20"/>
                <w:color w:val="auto"/>
              </w:rPr>
            </w:pPr>
            <w:r>
              <w:rPr>
                <w:rFonts w:ascii="Arial" w:cs="Arial" w:eastAsia="Arial" w:hAnsi="Arial"/>
                <w:sz w:val="14"/>
                <w:szCs w:val="14"/>
                <w:color w:val="auto"/>
              </w:rPr>
              <w:t>Repurchase of common stock</w:t>
            </w:r>
          </w:p>
        </w:tc>
        <w:tc>
          <w:tcPr>
            <w:tcW w:w="26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(12,180,491)</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(17,898,517)</w:t>
            </w:r>
          </w:p>
        </w:tc>
        <w:tc>
          <w:tcPr>
            <w:tcW w:w="2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Reinvestment of distributions</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1,068,684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58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Net (decrease) increase in net assets resulting from capital transactions</w:t>
            </w: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(12,180,491)</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(17,898,517)</w:t>
            </w:r>
          </w:p>
        </w:tc>
        <w:tc>
          <w:tcPr>
            <w:tcW w:w="6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96,458,034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(decrease) increase in net assets</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(73,223,686)</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(111,419,407)</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130,503,750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Beginning of year</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716,590,542</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828,009,949</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697,506,199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80" w:type="dxa"/>
            <w:vAlign w:val="bottom"/>
          </w:tcPr>
          <w:p>
            <w:pPr>
              <w:ind w:left="280"/>
              <w:spacing w:after="0" w:line="155" w:lineRule="exact"/>
              <w:rPr>
                <w:sz w:val="20"/>
                <w:szCs w:val="20"/>
                <w:color w:val="auto"/>
              </w:rPr>
            </w:pPr>
            <w:r>
              <w:rPr>
                <w:rFonts w:ascii="Arial" w:cs="Arial" w:eastAsia="Arial" w:hAnsi="Arial"/>
                <w:sz w:val="14"/>
                <w:szCs w:val="14"/>
                <w:color w:val="auto"/>
              </w:rPr>
              <w:t>End of year</w:t>
            </w: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643,366,856</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716,590,542</w:t>
            </w:r>
          </w:p>
        </w:tc>
        <w:tc>
          <w:tcPr>
            <w:tcW w:w="64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828,009,949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58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Undistributed (distributions in excess of) net investment income, end of year</w:t>
            </w:r>
          </w:p>
        </w:tc>
        <w:tc>
          <w:tcPr>
            <w:tcW w:w="260" w:type="dxa"/>
            <w:vAlign w:val="bottom"/>
            <w:shd w:val="clear" w:color="auto" w:fill="CCEEFF"/>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3,119,380</w:t>
            </w:r>
          </w:p>
        </w:tc>
        <w:tc>
          <w:tcPr>
            <w:tcW w:w="620" w:type="dxa"/>
            <w:vAlign w:val="bottom"/>
            <w:gridSpan w:val="2"/>
            <w:shd w:val="clear" w:color="auto" w:fill="CCEEFF"/>
          </w:tcPr>
          <w:p>
            <w:pPr>
              <w:jc w:val="right"/>
              <w:ind w:right="109"/>
              <w:spacing w:after="0" w:line="143"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00"/>
              <w:spacing w:after="0" w:line="143" w:lineRule="exact"/>
              <w:rPr>
                <w:sz w:val="20"/>
                <w:szCs w:val="20"/>
                <w:color w:val="auto"/>
              </w:rPr>
            </w:pPr>
            <w:r>
              <w:rPr>
                <w:rFonts w:ascii="Arial" w:cs="Arial" w:eastAsia="Arial" w:hAnsi="Arial"/>
                <w:sz w:val="14"/>
                <w:szCs w:val="14"/>
                <w:color w:val="auto"/>
              </w:rPr>
              <w:t>(13,424,886)</w:t>
            </w:r>
          </w:p>
        </w:tc>
        <w:tc>
          <w:tcPr>
            <w:tcW w:w="260" w:type="dxa"/>
            <w:vAlign w:val="bottom"/>
            <w:shd w:val="clear" w:color="auto" w:fill="CCEEFF"/>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(11,802,580)</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Capital share activity: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Shares of common stock (repurchased) / issued from public offerings</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(1,905,207)</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(2,126,868)</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vMerge w:val="restart"/>
          </w:tcPr>
          <w:p>
            <w:pPr>
              <w:ind w:left="280"/>
              <w:spacing w:after="0"/>
              <w:rPr>
                <w:sz w:val="20"/>
                <w:szCs w:val="20"/>
                <w:color w:val="auto"/>
              </w:rPr>
            </w:pPr>
            <w:r>
              <w:rPr>
                <w:rFonts w:ascii="Arial" w:cs="Arial" w:eastAsia="Arial" w:hAnsi="Arial"/>
                <w:sz w:val="14"/>
                <w:szCs w:val="14"/>
                <w:color w:val="auto"/>
              </w:rPr>
              <w:t>Shares issued from reinvestment of distributions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580" w:type="dxa"/>
            <w:vAlign w:val="bottom"/>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6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93,584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F-29</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September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420"/>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18,736,706</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(10,245,652)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110,983,477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w w:val="98"/>
              </w:rPr>
              <w:t>Adjustments to reconcile net increase (decrease) in net assets resulting from operations to net cash provided by (used in)</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operating activities:</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Net change in unrealized (appreciation) depreciation on investments</w:t>
            </w:r>
          </w:p>
        </w:tc>
        <w:tc>
          <w:tcPr>
            <w:tcW w:w="12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(24,926,058)</w:t>
            </w:r>
          </w:p>
        </w:tc>
        <w:tc>
          <w:tcPr>
            <w:tcW w:w="1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124,325,945</w:t>
            </w:r>
          </w:p>
        </w:tc>
        <w:tc>
          <w:tcPr>
            <w:tcW w:w="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(12,461,265)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change in unrealized (depreciation) appreciation on debt</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(3,726,573)</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(1,710,510)</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3,041,570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Net realized loss (gain) on investments</w:t>
            </w:r>
          </w:p>
        </w:tc>
        <w:tc>
          <w:tcPr>
            <w:tcW w:w="12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80,530,707</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(30,111,694)</w:t>
            </w:r>
          </w:p>
        </w:tc>
        <w:tc>
          <w:tcPr>
            <w:tcW w:w="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(30,235,265)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(5,251,804)</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(6,341,502)</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(8,027,104)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Purchase of investments</w:t>
            </w:r>
          </w:p>
        </w:tc>
        <w:tc>
          <w:tcPr>
            <w:tcW w:w="12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6"/>
              </w:rPr>
              <w:t>(330,552,035)</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(461,293,170)</w:t>
            </w:r>
          </w:p>
        </w:tc>
        <w:tc>
          <w:tcPr>
            <w:tcW w:w="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(795,089,483)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Payment-in-kind income</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(15,123,817)</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(13,869,582)</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(10,961,812)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12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439,738,846</w:t>
            </w:r>
          </w:p>
        </w:tc>
        <w:tc>
          <w:tcPr>
            <w:tcW w:w="1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390,474,733</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625,551,026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Decrease (increase) in interest receivable</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557,339</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6,113,328</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(2,808,632)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Decrease (increase) in prepaid expenses and other assets</w:t>
            </w:r>
          </w:p>
        </w:tc>
        <w:tc>
          <w:tcPr>
            <w:tcW w:w="12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6,175,712</w:t>
            </w:r>
          </w:p>
        </w:tc>
        <w:tc>
          <w:tcPr>
            <w:tcW w:w="1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474,481</w:t>
            </w:r>
          </w:p>
        </w:tc>
        <w:tc>
          <w:tcPr>
            <w:tcW w:w="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(7,498,949)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Decrease in payable for investments purchased</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(3,591,177)</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(841,323)</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(48,112,204)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(Decrease) increase in interest payable on debt</w:t>
            </w:r>
          </w:p>
        </w:tc>
        <w:tc>
          <w:tcPr>
            <w:tcW w:w="12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(118,401)</w:t>
            </w:r>
          </w:p>
        </w:tc>
        <w:tc>
          <w:tcPr>
            <w:tcW w:w="1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5,676,250</w:t>
            </w: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151,798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of deferred financing costs</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626,452</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554,756</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514,542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(Decrease) increase in base management fee payable, net</w:t>
            </w:r>
          </w:p>
        </w:tc>
        <w:tc>
          <w:tcPr>
            <w:tcW w:w="12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(1,527,199)</w:t>
            </w:r>
          </w:p>
        </w:tc>
        <w:tc>
          <w:tcPr>
            <w:tcW w:w="1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216,926</w:t>
            </w: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965,546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(Decrease) increase in performance-based incentive fee payable, net</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(2,142,348)</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385,038</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347,873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(Decrease) increase in accrued other expenses</w:t>
            </w:r>
          </w:p>
        </w:tc>
        <w:tc>
          <w:tcPr>
            <w:tcW w:w="12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(1,699,487)</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(791,316)</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1,103,877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157,706,863</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3,016,708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(172,535,005)</w:t>
            </w:r>
          </w:p>
        </w:tc>
        <w:tc>
          <w:tcPr>
            <w:tcW w:w="0" w:type="dxa"/>
            <w:vAlign w:val="bottom"/>
          </w:tcPr>
          <w:p>
            <w:pPr>
              <w:spacing w:after="0"/>
              <w:rPr>
                <w:sz w:val="1"/>
                <w:szCs w:val="1"/>
                <w:color w:val="auto"/>
              </w:rPr>
            </w:pPr>
          </w:p>
        </w:tc>
      </w:tr>
      <w:tr>
        <w:trPr>
          <w:trHeight w:val="156"/>
        </w:trPr>
        <w:tc>
          <w:tcPr>
            <w:tcW w:w="78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Public offerings</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98,855,000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Offering costs</w:t>
            </w:r>
          </w:p>
        </w:tc>
        <w:tc>
          <w:tcPr>
            <w:tcW w:w="12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(3,465,650)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Repurchase of common stock</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(12,180,491)</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(17,898,517)</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Deferred financing costs</w:t>
            </w:r>
          </w:p>
        </w:tc>
        <w:tc>
          <w:tcPr>
            <w:tcW w:w="12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(1,151,875)</w:t>
            </w:r>
          </w:p>
        </w:tc>
        <w:tc>
          <w:tcPr>
            <w:tcW w:w="1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Distributions paid to stockholders</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(80,313,359)</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(83,870,760)</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(73,462,877)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Borrowings under SBA debentures</w:t>
            </w:r>
          </w:p>
        </w:tc>
        <w:tc>
          <w:tcPr>
            <w:tcW w:w="12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47,500,000</w:t>
            </w:r>
          </w:p>
        </w:tc>
        <w:tc>
          <w:tcPr>
            <w:tcW w:w="1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Proceeds from 2019 and 2025 Notes issuances</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Borrowings under Credit Facility</w:t>
            </w:r>
          </w:p>
        </w:tc>
        <w:tc>
          <w:tcPr>
            <w:tcW w:w="12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413,664,923</w:t>
            </w:r>
          </w:p>
        </w:tc>
        <w:tc>
          <w:tcPr>
            <w:tcW w:w="1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644,000,000</w:t>
            </w: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6"/>
              </w:rPr>
              <w:t>1,186,753,100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Repayments under Credit Facility</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(500,189,523)</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(562,362,000)</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(1,277,026,800)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40" w:type="dxa"/>
            <w:vAlign w:val="bottom"/>
          </w:tcPr>
          <w:p>
            <w:pPr>
              <w:ind w:left="1280"/>
              <w:spacing w:after="0" w:line="155" w:lineRule="exact"/>
              <w:rPr>
                <w:sz w:val="20"/>
                <w:szCs w:val="20"/>
                <w:color w:val="auto"/>
              </w:rPr>
            </w:pPr>
            <w:r>
              <w:rPr>
                <w:rFonts w:ascii="Arial" w:cs="Arial" w:eastAsia="Arial" w:hAnsi="Arial"/>
                <w:sz w:val="14"/>
                <w:szCs w:val="14"/>
                <w:color w:val="auto"/>
              </w:rPr>
              <w:t>Net cash (used in) provided by financing activities</w:t>
            </w: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(132,670,325)</w:t>
            </w:r>
          </w:p>
        </w:tc>
        <w:tc>
          <w:tcPr>
            <w:tcW w:w="3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(20,131,277)</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180,902,773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25,036,538</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(17,114,569)</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8,367,768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12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952,319</w:t>
            </w:r>
          </w:p>
        </w:tc>
        <w:tc>
          <w:tcPr>
            <w:tcW w:w="1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215,143</w:t>
            </w:r>
          </w:p>
        </w:tc>
        <w:tc>
          <w:tcPr>
            <w:tcW w:w="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(289,915)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beginning of year</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49,619,256</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66,518,682</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58,440,829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8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and cash equivalents, end of year</w:t>
            </w: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75,608,113</w:t>
            </w:r>
          </w:p>
        </w:tc>
        <w:tc>
          <w:tcPr>
            <w:tcW w:w="3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49,619,256</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66,518,682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8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200"/>
              <w:spacing w:after="0" w:line="149" w:lineRule="exact"/>
              <w:rPr>
                <w:sz w:val="20"/>
                <w:szCs w:val="20"/>
                <w:color w:val="auto"/>
              </w:rPr>
            </w:pPr>
            <w:r>
              <w:rPr>
                <w:rFonts w:ascii="Arial" w:cs="Arial" w:eastAsia="Arial" w:hAnsi="Arial"/>
                <w:sz w:val="14"/>
                <w:szCs w:val="14"/>
                <w:color w:val="auto"/>
              </w:rPr>
              <w:t>Interest paid</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27,093,191</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20,124,075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19,575,955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840" w:type="dxa"/>
            <w:vAlign w:val="bottom"/>
            <w:shd w:val="clear" w:color="auto" w:fill="CCEEFF"/>
          </w:tcPr>
          <w:p>
            <w:pPr>
              <w:ind w:left="200"/>
              <w:spacing w:after="0" w:line="143" w:lineRule="exact"/>
              <w:rPr>
                <w:sz w:val="20"/>
                <w:szCs w:val="20"/>
                <w:color w:val="auto"/>
              </w:rPr>
            </w:pPr>
            <w:r>
              <w:rPr>
                <w:rFonts w:ascii="Arial" w:cs="Arial" w:eastAsia="Arial" w:hAnsi="Arial"/>
                <w:sz w:val="14"/>
                <w:szCs w:val="14"/>
                <w:color w:val="auto"/>
              </w:rPr>
              <w:t>Taxes paid</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2,549,392</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61,748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8,278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vMerge w:val="restart"/>
          </w:tcPr>
          <w:p>
            <w:pPr>
              <w:ind w:left="200"/>
              <w:spacing w:after="0"/>
              <w:rPr>
                <w:sz w:val="20"/>
                <w:szCs w:val="20"/>
                <w:color w:val="auto"/>
              </w:rPr>
            </w:pPr>
            <w:r>
              <w:rPr>
                <w:rFonts w:ascii="Arial" w:cs="Arial" w:eastAsia="Arial" w:hAnsi="Arial"/>
                <w:sz w:val="14"/>
                <w:szCs w:val="14"/>
                <w:color w:val="auto"/>
              </w:rPr>
              <w:t>Distributions reinvested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840" w:type="dxa"/>
            <w:vAlign w:val="bottom"/>
            <w:vMerge w:val="continue"/>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1,068,682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840" w:type="dxa"/>
            <w:vAlign w:val="bottom"/>
            <w:shd w:val="clear" w:color="auto" w:fill="CCEEFF"/>
          </w:tcPr>
          <w:p>
            <w:pPr>
              <w:ind w:left="200"/>
              <w:spacing w:after="0" w:line="143" w:lineRule="exact"/>
              <w:rPr>
                <w:sz w:val="20"/>
                <w:szCs w:val="20"/>
                <w:color w:val="auto"/>
              </w:rPr>
            </w:pPr>
            <w:r>
              <w:rPr>
                <w:rFonts w:ascii="Arial" w:cs="Arial" w:eastAsia="Arial" w:hAnsi="Arial"/>
                <w:sz w:val="14"/>
                <w:szCs w:val="14"/>
                <w:color w:val="auto"/>
              </w:rPr>
              <w:t>Non-cash exchanges and conversions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320"/>
              <w:spacing w:after="0" w:line="143" w:lineRule="exact"/>
              <w:rPr>
                <w:sz w:val="20"/>
                <w:szCs w:val="20"/>
                <w:color w:val="auto"/>
              </w:rPr>
            </w:pPr>
            <w:r>
              <w:rPr>
                <w:rFonts w:ascii="Arial" w:cs="Arial" w:eastAsia="Arial" w:hAnsi="Arial"/>
                <w:sz w:val="14"/>
                <w:szCs w:val="14"/>
                <w:color w:val="auto"/>
              </w:rPr>
              <w:t>62,949,729</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39,765,183</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59,126,053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F-30</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tcPr>
          <w:p>
            <w:pPr>
              <w:jc w:val="center"/>
              <w:ind w:right="77"/>
              <w:spacing w:after="0"/>
              <w:rPr>
                <w:sz w:val="20"/>
                <w:szCs w:val="20"/>
                <w:color w:val="auto"/>
              </w:rPr>
            </w:pPr>
            <w:r>
              <w:rPr>
                <w:rFonts w:ascii="Arial" w:cs="Arial" w:eastAsia="Arial" w:hAnsi="Arial"/>
                <w:sz w:val="13"/>
                <w:szCs w:val="13"/>
                <w:b w:val="1"/>
                <w:bCs w:val="1"/>
                <w:color w:val="auto"/>
                <w:w w:val="84"/>
              </w:rPr>
              <w:t>Basis Point</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6"/>
              </w:rPr>
              <w:t>Spread</w:t>
            </w: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380" w:type="dxa"/>
            <w:vAlign w:val="bottom"/>
          </w:tcPr>
          <w:p>
            <w:pPr>
              <w:ind w:left="700"/>
              <w:spacing w:after="0" w:line="135" w:lineRule="exact"/>
              <w:rPr>
                <w:sz w:val="20"/>
                <w:szCs w:val="20"/>
                <w:color w:val="auto"/>
              </w:rPr>
            </w:pPr>
            <w:r>
              <w:rPr>
                <w:rFonts w:ascii="Arial" w:cs="Arial" w:eastAsia="Arial" w:hAnsi="Arial"/>
                <w:sz w:val="13"/>
                <w:szCs w:val="13"/>
                <w:b w:val="1"/>
                <w:bCs w:val="1"/>
                <w:color w:val="auto"/>
              </w:rPr>
              <w:t>Maturity /</w:t>
            </w:r>
          </w:p>
        </w:tc>
        <w:tc>
          <w:tcPr>
            <w:tcW w:w="1900" w:type="dxa"/>
            <w:vAlign w:val="bottom"/>
          </w:tcPr>
          <w:p>
            <w:pPr>
              <w:spacing w:after="0"/>
              <w:rPr>
                <w:sz w:val="11"/>
                <w:szCs w:val="11"/>
                <w:color w:val="auto"/>
              </w:rPr>
            </w:pPr>
          </w:p>
        </w:tc>
        <w:tc>
          <w:tcPr>
            <w:tcW w:w="960" w:type="dxa"/>
            <w:vAlign w:val="bottom"/>
          </w:tcPr>
          <w:p>
            <w:pPr>
              <w:jc w:val="right"/>
              <w:ind w:right="297"/>
              <w:spacing w:after="0" w:line="135" w:lineRule="exact"/>
              <w:rPr>
                <w:sz w:val="20"/>
                <w:szCs w:val="20"/>
                <w:color w:val="auto"/>
              </w:rPr>
            </w:pPr>
            <w:r>
              <w:rPr>
                <w:rFonts w:ascii="Arial" w:cs="Arial" w:eastAsia="Arial" w:hAnsi="Arial"/>
                <w:sz w:val="13"/>
                <w:szCs w:val="13"/>
                <w:b w:val="1"/>
                <w:bCs w:val="1"/>
                <w:color w:val="auto"/>
              </w:rPr>
              <w:t>Current</w:t>
            </w:r>
          </w:p>
        </w:tc>
        <w:tc>
          <w:tcPr>
            <w:tcW w:w="9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5"/>
              </w:rPr>
              <w:t>Above</w:t>
            </w:r>
          </w:p>
        </w:tc>
        <w:tc>
          <w:tcPr>
            <w:tcW w:w="880" w:type="dxa"/>
            <w:vAlign w:val="bottom"/>
          </w:tcPr>
          <w:p>
            <w:pPr>
              <w:jc w:val="right"/>
              <w:ind w:right="277"/>
              <w:spacing w:after="0" w:line="135" w:lineRule="exact"/>
              <w:rPr>
                <w:sz w:val="20"/>
                <w:szCs w:val="20"/>
                <w:color w:val="auto"/>
              </w:rPr>
            </w:pPr>
            <w:r>
              <w:rPr>
                <w:rFonts w:ascii="Arial" w:cs="Arial" w:eastAsia="Arial" w:hAnsi="Arial"/>
                <w:sz w:val="13"/>
                <w:szCs w:val="13"/>
                <w:b w:val="1"/>
                <w:bCs w:val="1"/>
                <w:color w:val="auto"/>
              </w:rPr>
              <w:t>Par /</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gridSpan w:val="2"/>
            <w:vMerge w:val="continue"/>
          </w:tcPr>
          <w:p>
            <w:pPr>
              <w:spacing w:after="0"/>
              <w:rPr>
                <w:sz w:val="13"/>
                <w:szCs w:val="13"/>
                <w:color w:val="auto"/>
              </w:rPr>
            </w:pPr>
          </w:p>
        </w:tc>
        <w:tc>
          <w:tcPr>
            <w:tcW w:w="1380" w:type="dxa"/>
            <w:vAlign w:val="bottom"/>
          </w:tcPr>
          <w:p>
            <w:pPr>
              <w:ind w:left="680"/>
              <w:spacing w:after="0"/>
              <w:rPr>
                <w:sz w:val="20"/>
                <w:szCs w:val="20"/>
                <w:color w:val="auto"/>
              </w:rPr>
            </w:pPr>
            <w:r>
              <w:rPr>
                <w:rFonts w:ascii="Arial" w:cs="Arial" w:eastAsia="Arial" w:hAnsi="Arial"/>
                <w:sz w:val="13"/>
                <w:szCs w:val="13"/>
                <w:b w:val="1"/>
                <w:bCs w:val="1"/>
                <w:color w:val="auto"/>
              </w:rPr>
              <w:t>Expiration</w:t>
            </w:r>
          </w:p>
        </w:tc>
        <w:tc>
          <w:tcPr>
            <w:tcW w:w="1900" w:type="dxa"/>
            <w:vAlign w:val="bottom"/>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960" w:type="dxa"/>
            <w:vAlign w:val="bottom"/>
          </w:tcPr>
          <w:p>
            <w:pPr>
              <w:jc w:val="right"/>
              <w:ind w:right="297"/>
              <w:spacing w:after="0"/>
              <w:rPr>
                <w:sz w:val="20"/>
                <w:szCs w:val="20"/>
                <w:color w:val="auto"/>
              </w:rPr>
            </w:pPr>
            <w:r>
              <w:rPr>
                <w:rFonts w:ascii="Arial" w:cs="Arial" w:eastAsia="Arial" w:hAnsi="Arial"/>
                <w:sz w:val="13"/>
                <w:szCs w:val="13"/>
                <w:b w:val="1"/>
                <w:bCs w:val="1"/>
                <w:color w:val="auto"/>
              </w:rPr>
              <w:t>Coupon</w:t>
            </w:r>
          </w:p>
        </w:tc>
        <w:tc>
          <w:tcPr>
            <w:tcW w:w="980" w:type="dxa"/>
            <w:vAlign w:val="bottom"/>
          </w:tcPr>
          <w:p>
            <w:pPr>
              <w:jc w:val="center"/>
              <w:ind w:right="9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880" w:type="dxa"/>
            <w:vAlign w:val="bottom"/>
          </w:tcPr>
          <w:p>
            <w:pPr>
              <w:jc w:val="right"/>
              <w:ind w:right="237"/>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3"/>
                <w:szCs w:val="13"/>
                <w:color w:val="auto"/>
              </w:rPr>
            </w:pPr>
          </w:p>
        </w:tc>
        <w:tc>
          <w:tcPr>
            <w:tcW w:w="820" w:type="dxa"/>
            <w:vAlign w:val="bottom"/>
            <w:gridSpan w:val="2"/>
          </w:tcPr>
          <w:p>
            <w:pPr>
              <w:ind w:left="220"/>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9"/>
              </w:rPr>
              <w:t xml:space="preserve">Fair Value </w:t>
            </w:r>
            <w:r>
              <w:rPr>
                <w:rFonts w:ascii="Arial" w:cs="Arial" w:eastAsia="Arial" w:hAnsi="Arial"/>
                <w:sz w:val="10"/>
                <w:szCs w:val="10"/>
                <w:b w:val="1"/>
                <w:bCs w:val="1"/>
                <w:color w:val="auto"/>
                <w:w w:val="89"/>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0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3"/>
              </w:rPr>
              <w:t xml:space="preserve">Investments in Non-Controlled, Non-Affiliated Portfolio Companies—126.4% </w:t>
            </w:r>
            <w:r>
              <w:rPr>
                <w:rFonts w:ascii="Arial" w:cs="Arial" w:eastAsia="Arial" w:hAnsi="Arial"/>
                <w:sz w:val="10"/>
                <w:szCs w:val="10"/>
                <w:b w:val="1"/>
                <w:bCs w:val="1"/>
                <w:color w:val="auto"/>
                <w:w w:val="93"/>
              </w:rPr>
              <w:t>(1), (2)</w:t>
            </w:r>
          </w:p>
        </w:tc>
        <w:tc>
          <w:tcPr>
            <w:tcW w:w="19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Debt—38.7%</w:t>
            </w:r>
          </w:p>
        </w:tc>
        <w:tc>
          <w:tcPr>
            <w:tcW w:w="13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AP Gaming I, LLC</w:t>
            </w:r>
          </w:p>
        </w:tc>
        <w:tc>
          <w:tcPr>
            <w:tcW w:w="138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9"/>
              </w:rPr>
              <w:t>12/21/2020</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9.25%</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L+825</w:t>
            </w: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23,333,361</w:t>
            </w:r>
          </w:p>
        </w:tc>
        <w:tc>
          <w:tcPr>
            <w:tcW w:w="10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$ 23,071,460</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  22,210,559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color w:val="auto"/>
              </w:rPr>
              <w:t>Broder Bros., Co., Tranche A</w:t>
            </w:r>
          </w:p>
        </w:tc>
        <w:tc>
          <w:tcPr>
            <w:tcW w:w="138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9"/>
              </w:rPr>
              <w:t>06/03/2021</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7.00%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L+575</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9,150,000</w:t>
            </w:r>
          </w:p>
        </w:tc>
        <w:tc>
          <w:tcPr>
            <w:tcW w:w="10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8,989,610</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9,085,577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Broder Bros., Co., Tranche B</w:t>
            </w:r>
          </w:p>
        </w:tc>
        <w:tc>
          <w:tcPr>
            <w:tcW w:w="138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9"/>
              </w:rPr>
              <w:t>06/03/2021</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13.50%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L+1,225</w:t>
            </w: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9,225,000</w:t>
            </w:r>
          </w:p>
        </w:tc>
        <w:tc>
          <w:tcPr>
            <w:tcW w:w="10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9,058,699</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9,160,048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38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9"/>
              </w:rPr>
              <w:t>10/21/2020</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9.00%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L+800</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4,372,074</w:t>
            </w:r>
          </w:p>
        </w:tc>
        <w:tc>
          <w:tcPr>
            <w:tcW w:w="10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4,323,938</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4,284,632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Interior Specialists, Inc.</w:t>
            </w:r>
          </w:p>
        </w:tc>
        <w:tc>
          <w:tcPr>
            <w:tcW w:w="138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9"/>
              </w:rPr>
              <w:t>06/30/2020</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Building Materials</w:t>
            </w:r>
          </w:p>
        </w:tc>
        <w:tc>
          <w:tcPr>
            <w:tcW w:w="9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9.00%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L+800</w:t>
            </w: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24,985,195</w:t>
            </w:r>
          </w:p>
        </w:tc>
        <w:tc>
          <w:tcPr>
            <w:tcW w:w="10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24,786,989</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24,985,195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color w:val="auto"/>
              </w:rPr>
              <w:t>K2 Pure Solutions NoCal, L.P.</w:t>
            </w:r>
          </w:p>
        </w:tc>
        <w:tc>
          <w:tcPr>
            <w:tcW w:w="138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9"/>
              </w:rPr>
              <w:t>02/19/2021</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10.00%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L+900</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14,522,529</w:t>
            </w:r>
          </w:p>
        </w:tc>
        <w:tc>
          <w:tcPr>
            <w:tcW w:w="10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14,273,869</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14,244,486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LSF9 Atlantis Holdings, LLC</w:t>
            </w:r>
          </w:p>
        </w:tc>
        <w:tc>
          <w:tcPr>
            <w:tcW w:w="138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9"/>
              </w:rPr>
              <w:t>01/15/2021</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10.00%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L+900</w:t>
            </w: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38,391,045</w:t>
            </w:r>
          </w:p>
        </w:tc>
        <w:tc>
          <w:tcPr>
            <w:tcW w:w="10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37,888,445</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38,391,045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20" w:type="dxa"/>
            <w:vAlign w:val="bottom"/>
          </w:tcPr>
          <w:p>
            <w:pPr>
              <w:spacing w:after="0" w:line="121" w:lineRule="exact"/>
              <w:rPr>
                <w:sz w:val="20"/>
                <w:szCs w:val="20"/>
                <w:color w:val="auto"/>
              </w:rPr>
            </w:pPr>
            <w:r>
              <w:rPr>
                <w:rFonts w:ascii="Arial" w:cs="Arial" w:eastAsia="Arial" w:hAnsi="Arial"/>
                <w:sz w:val="13"/>
                <w:szCs w:val="13"/>
                <w:color w:val="auto"/>
              </w:rPr>
              <w:t xml:space="preserve">Prince Mineral Holding Corp. </w:t>
            </w:r>
            <w:r>
              <w:rPr>
                <w:rFonts w:ascii="Arial" w:cs="Arial" w:eastAsia="Arial" w:hAnsi="Arial"/>
                <w:sz w:val="10"/>
                <w:szCs w:val="10"/>
                <w:color w:val="auto"/>
              </w:rPr>
              <w:t>(5)</w:t>
            </w:r>
          </w:p>
        </w:tc>
        <w:tc>
          <w:tcPr>
            <w:tcW w:w="1380" w:type="dxa"/>
            <w:vAlign w:val="bottom"/>
          </w:tcPr>
          <w:p>
            <w:pPr>
              <w:jc w:val="center"/>
              <w:ind w:left="497"/>
              <w:spacing w:after="0" w:line="121" w:lineRule="exact"/>
              <w:rPr>
                <w:sz w:val="20"/>
                <w:szCs w:val="20"/>
                <w:color w:val="auto"/>
              </w:rPr>
            </w:pPr>
            <w:r>
              <w:rPr>
                <w:rFonts w:ascii="Arial" w:cs="Arial" w:eastAsia="Arial" w:hAnsi="Arial"/>
                <w:sz w:val="13"/>
                <w:szCs w:val="13"/>
                <w:color w:val="auto"/>
                <w:w w:val="89"/>
              </w:rPr>
              <w:t>12/16/2019</w:t>
            </w:r>
          </w:p>
        </w:tc>
        <w:tc>
          <w:tcPr>
            <w:tcW w:w="1900" w:type="dxa"/>
            <w:vAlign w:val="bottom"/>
          </w:tcPr>
          <w:p>
            <w:pPr>
              <w:jc w:val="center"/>
              <w:spacing w:after="0" w:line="121" w:lineRule="exact"/>
              <w:rPr>
                <w:sz w:val="20"/>
                <w:szCs w:val="20"/>
                <w:color w:val="auto"/>
              </w:rPr>
            </w:pPr>
            <w:r>
              <w:rPr>
                <w:rFonts w:ascii="Arial" w:cs="Arial" w:eastAsia="Arial" w:hAnsi="Arial"/>
                <w:sz w:val="13"/>
                <w:szCs w:val="13"/>
                <w:color w:val="auto"/>
                <w:w w:val="90"/>
              </w:rPr>
              <w:t>Mining, Steel, Iron and Non-</w:t>
            </w:r>
          </w:p>
        </w:tc>
        <w:tc>
          <w:tcPr>
            <w:tcW w:w="96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11.50%</w:t>
            </w:r>
          </w:p>
        </w:tc>
        <w:tc>
          <w:tcPr>
            <w:tcW w:w="98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line="121" w:lineRule="exact"/>
              <w:rPr>
                <w:sz w:val="20"/>
                <w:szCs w:val="20"/>
                <w:color w:val="auto"/>
              </w:rPr>
            </w:pPr>
            <w:r>
              <w:rPr>
                <w:rFonts w:ascii="Arial" w:cs="Arial" w:eastAsia="Arial" w:hAnsi="Arial"/>
                <w:sz w:val="13"/>
                <w:szCs w:val="13"/>
                <w:color w:val="auto"/>
              </w:rPr>
              <w:t>14,250,000</w:t>
            </w:r>
          </w:p>
        </w:tc>
        <w:tc>
          <w:tcPr>
            <w:tcW w:w="1000" w:type="dxa"/>
            <w:vAlign w:val="bottom"/>
            <w:gridSpan w:val="3"/>
          </w:tcPr>
          <w:p>
            <w:pPr>
              <w:jc w:val="right"/>
              <w:ind w:right="120"/>
              <w:spacing w:after="0" w:line="121" w:lineRule="exact"/>
              <w:rPr>
                <w:sz w:val="20"/>
                <w:szCs w:val="20"/>
                <w:color w:val="auto"/>
              </w:rPr>
            </w:pPr>
            <w:r>
              <w:rPr>
                <w:rFonts w:ascii="Arial" w:cs="Arial" w:eastAsia="Arial" w:hAnsi="Arial"/>
                <w:sz w:val="13"/>
                <w:szCs w:val="13"/>
                <w:color w:val="auto"/>
              </w:rPr>
              <w:t>14,156,176</w:t>
            </w:r>
          </w:p>
        </w:tc>
        <w:tc>
          <w:tcPr>
            <w:tcW w:w="98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13,359,375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w w:val="88"/>
              </w:rPr>
              <w:t>Precious Metals</w:t>
            </w: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Robertshaw US Holding Corp.</w:t>
            </w:r>
          </w:p>
        </w:tc>
        <w:tc>
          <w:tcPr>
            <w:tcW w:w="138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9"/>
              </w:rPr>
              <w:t>06/18/2019</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Electronics</w:t>
            </w:r>
          </w:p>
        </w:tc>
        <w:tc>
          <w:tcPr>
            <w:tcW w:w="9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8.50%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L+700</w:t>
            </w: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15,948,113</w:t>
            </w:r>
          </w:p>
        </w:tc>
        <w:tc>
          <w:tcPr>
            <w:tcW w:w="10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15,875,684</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15,970,121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138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9"/>
              </w:rPr>
              <w:t>04/21/2017</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9.00%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L+750</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18,306,549</w:t>
            </w:r>
          </w:p>
        </w:tc>
        <w:tc>
          <w:tcPr>
            <w:tcW w:w="10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18,075,370</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18,215,016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Triad Manufacturing, Inc.</w:t>
            </w:r>
          </w:p>
        </w:tc>
        <w:tc>
          <w:tcPr>
            <w:tcW w:w="138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9"/>
              </w:rPr>
              <w:t>12/28/2020</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9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11.27%</w:t>
            </w:r>
          </w:p>
        </w:tc>
        <w:tc>
          <w:tcPr>
            <w:tcW w:w="9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L+1,075</w:t>
            </w:r>
            <w:r>
              <w:rPr>
                <w:rFonts w:ascii="Arial" w:cs="Arial" w:eastAsia="Arial" w:hAnsi="Arial"/>
                <w:sz w:val="10"/>
                <w:szCs w:val="10"/>
                <w:color w:val="auto"/>
              </w:rPr>
              <w:t>(7)</w:t>
            </w: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28,859,421</w:t>
            </w:r>
          </w:p>
        </w:tc>
        <w:tc>
          <w:tcPr>
            <w:tcW w:w="10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28,349,720</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28,859,421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color w:val="auto"/>
              </w:rPr>
              <w:t xml:space="preserve">Trust Inns Limited </w:t>
            </w:r>
            <w:r>
              <w:rPr>
                <w:rFonts w:ascii="Arial" w:cs="Arial" w:eastAsia="Arial" w:hAnsi="Arial"/>
                <w:sz w:val="10"/>
                <w:szCs w:val="10"/>
                <w:color w:val="auto"/>
              </w:rPr>
              <w:t>(9), (11), (12)</w:t>
            </w:r>
          </w:p>
        </w:tc>
        <w:tc>
          <w:tcPr>
            <w:tcW w:w="138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9"/>
              </w:rPr>
              <w:t>02/12/2020</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7"/>
              </w:rPr>
              <w:t>Buildings and Real Estate</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10.88%</w:t>
            </w:r>
          </w:p>
        </w:tc>
        <w:tc>
          <w:tcPr>
            <w:tcW w:w="9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(7)</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22,512,751</w:t>
            </w:r>
          </w:p>
        </w:tc>
        <w:tc>
          <w:tcPr>
            <w:tcW w:w="10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35,990,065</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28,703,752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US Med Acquisition, Inc.</w:t>
            </w:r>
          </w:p>
        </w:tc>
        <w:tc>
          <w:tcPr>
            <w:tcW w:w="1380" w:type="dxa"/>
            <w:vAlign w:val="bottom"/>
            <w:shd w:val="clear" w:color="auto" w:fill="CCEEFF"/>
          </w:tcPr>
          <w:p>
            <w:pPr>
              <w:jc w:val="center"/>
              <w:ind w:left="497"/>
              <w:spacing w:after="0" w:line="121" w:lineRule="exact"/>
              <w:rPr>
                <w:sz w:val="20"/>
                <w:szCs w:val="20"/>
                <w:color w:val="auto"/>
              </w:rPr>
            </w:pPr>
            <w:r>
              <w:rPr>
                <w:rFonts w:ascii="Arial" w:cs="Arial" w:eastAsia="Arial" w:hAnsi="Arial"/>
                <w:sz w:val="13"/>
                <w:szCs w:val="13"/>
                <w:color w:val="auto"/>
                <w:w w:val="89"/>
              </w:rPr>
              <w:t>08/13/2021</w:t>
            </w:r>
          </w:p>
        </w:tc>
        <w:tc>
          <w:tcPr>
            <w:tcW w:w="19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Healthcare, Education and</w:t>
            </w:r>
          </w:p>
        </w:tc>
        <w:tc>
          <w:tcPr>
            <w:tcW w:w="96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10.00%</w:t>
            </w:r>
          </w:p>
        </w:tc>
        <w:tc>
          <w:tcPr>
            <w:tcW w:w="98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L+900</w:t>
            </w:r>
          </w:p>
        </w:tc>
        <w:tc>
          <w:tcPr>
            <w:tcW w:w="88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8,651,563</w:t>
            </w:r>
          </w:p>
        </w:tc>
        <w:tc>
          <w:tcPr>
            <w:tcW w:w="1000" w:type="dxa"/>
            <w:vAlign w:val="bottom"/>
            <w:gridSpan w:val="3"/>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8,651,563</w:t>
            </w:r>
          </w:p>
        </w:tc>
        <w:tc>
          <w:tcPr>
            <w:tcW w:w="980" w:type="dxa"/>
            <w:vAlign w:val="bottom"/>
            <w:gridSpan w:val="3"/>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8,651,563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Childcare</w:t>
            </w:r>
          </w:p>
        </w:tc>
        <w:tc>
          <w:tcPr>
            <w:tcW w:w="9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20" w:type="dxa"/>
            <w:vAlign w:val="bottom"/>
          </w:tcPr>
          <w:p>
            <w:pPr>
              <w:spacing w:after="0" w:line="121" w:lineRule="exact"/>
              <w:rPr>
                <w:sz w:val="20"/>
                <w:szCs w:val="20"/>
                <w:color w:val="auto"/>
              </w:rPr>
            </w:pPr>
            <w:r>
              <w:rPr>
                <w:rFonts w:ascii="Arial" w:cs="Arial" w:eastAsia="Arial" w:hAnsi="Arial"/>
                <w:sz w:val="13"/>
                <w:szCs w:val="13"/>
                <w:color w:val="auto"/>
              </w:rPr>
              <w:t>U.S. Well Services, LLC</w:t>
            </w:r>
          </w:p>
        </w:tc>
        <w:tc>
          <w:tcPr>
            <w:tcW w:w="1380" w:type="dxa"/>
            <w:vAlign w:val="bottom"/>
          </w:tcPr>
          <w:p>
            <w:pPr>
              <w:jc w:val="center"/>
              <w:ind w:left="497"/>
              <w:spacing w:after="0" w:line="121" w:lineRule="exact"/>
              <w:rPr>
                <w:sz w:val="20"/>
                <w:szCs w:val="20"/>
                <w:color w:val="auto"/>
              </w:rPr>
            </w:pPr>
            <w:r>
              <w:rPr>
                <w:rFonts w:ascii="Arial" w:cs="Arial" w:eastAsia="Arial" w:hAnsi="Arial"/>
                <w:sz w:val="13"/>
                <w:szCs w:val="13"/>
                <w:color w:val="auto"/>
                <w:w w:val="89"/>
              </w:rPr>
              <w:t>05/02/2019</w:t>
            </w:r>
          </w:p>
        </w:tc>
        <w:tc>
          <w:tcPr>
            <w:tcW w:w="1900" w:type="dxa"/>
            <w:vAlign w:val="bottom"/>
          </w:tcPr>
          <w:p>
            <w:pPr>
              <w:jc w:val="center"/>
              <w:spacing w:after="0" w:line="121" w:lineRule="exact"/>
              <w:rPr>
                <w:sz w:val="20"/>
                <w:szCs w:val="20"/>
                <w:color w:val="auto"/>
              </w:rPr>
            </w:pPr>
            <w:r>
              <w:rPr>
                <w:rFonts w:ascii="Arial" w:cs="Arial" w:eastAsia="Arial" w:hAnsi="Arial"/>
                <w:sz w:val="13"/>
                <w:szCs w:val="13"/>
                <w:color w:val="auto"/>
                <w:w w:val="87"/>
              </w:rPr>
              <w:t>Oil and Gas</w:t>
            </w:r>
          </w:p>
        </w:tc>
        <w:tc>
          <w:tcPr>
            <w:tcW w:w="96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14.02%</w:t>
            </w:r>
          </w:p>
        </w:tc>
        <w:tc>
          <w:tcPr>
            <w:tcW w:w="980" w:type="dxa"/>
            <w:vAlign w:val="bottom"/>
          </w:tcPr>
          <w:p>
            <w:pPr>
              <w:jc w:val="right"/>
              <w:ind w:right="77"/>
              <w:spacing w:after="0" w:line="121" w:lineRule="exact"/>
              <w:rPr>
                <w:sz w:val="20"/>
                <w:szCs w:val="20"/>
                <w:color w:val="auto"/>
              </w:rPr>
            </w:pPr>
            <w:r>
              <w:rPr>
                <w:rFonts w:ascii="Arial" w:cs="Arial" w:eastAsia="Arial" w:hAnsi="Arial"/>
                <w:sz w:val="13"/>
                <w:szCs w:val="13"/>
                <w:color w:val="auto"/>
              </w:rPr>
              <w:t>L+1,350</w:t>
            </w:r>
            <w:r>
              <w:rPr>
                <w:rFonts w:ascii="Arial" w:cs="Arial" w:eastAsia="Arial" w:hAnsi="Arial"/>
                <w:sz w:val="10"/>
                <w:szCs w:val="10"/>
                <w:color w:val="auto"/>
              </w:rPr>
              <w:t>(7)</w:t>
            </w:r>
          </w:p>
        </w:tc>
        <w:tc>
          <w:tcPr>
            <w:tcW w:w="880" w:type="dxa"/>
            <w:vAlign w:val="bottom"/>
          </w:tcPr>
          <w:p>
            <w:pPr>
              <w:jc w:val="right"/>
              <w:ind w:right="97"/>
              <w:spacing w:after="0" w:line="121" w:lineRule="exact"/>
              <w:rPr>
                <w:sz w:val="20"/>
                <w:szCs w:val="20"/>
                <w:color w:val="auto"/>
              </w:rPr>
            </w:pPr>
            <w:r>
              <w:rPr>
                <w:rFonts w:ascii="Arial" w:cs="Arial" w:eastAsia="Arial" w:hAnsi="Arial"/>
                <w:sz w:val="13"/>
                <w:szCs w:val="13"/>
                <w:color w:val="auto"/>
              </w:rPr>
              <w:t>14,988,321</w:t>
            </w:r>
          </w:p>
        </w:tc>
        <w:tc>
          <w:tcPr>
            <w:tcW w:w="1000" w:type="dxa"/>
            <w:vAlign w:val="bottom"/>
            <w:gridSpan w:val="3"/>
          </w:tcPr>
          <w:p>
            <w:pPr>
              <w:jc w:val="right"/>
              <w:ind w:right="120"/>
              <w:spacing w:after="0" w:line="121" w:lineRule="exact"/>
              <w:rPr>
                <w:sz w:val="20"/>
                <w:szCs w:val="20"/>
                <w:color w:val="auto"/>
              </w:rPr>
            </w:pPr>
            <w:r>
              <w:rPr>
                <w:rFonts w:ascii="Arial" w:cs="Arial" w:eastAsia="Arial" w:hAnsi="Arial"/>
                <w:sz w:val="13"/>
                <w:szCs w:val="13"/>
                <w:color w:val="auto"/>
              </w:rPr>
              <w:t>14,796,715</w:t>
            </w:r>
          </w:p>
        </w:tc>
        <w:tc>
          <w:tcPr>
            <w:tcW w:w="98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12,912,527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(PIK 14.02%)</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13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258,288,303</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249,033,317</w:t>
            </w:r>
          </w:p>
        </w:tc>
        <w:tc>
          <w:tcPr>
            <w:tcW w:w="0" w:type="dxa"/>
            <w:vAlign w:val="bottom"/>
          </w:tcPr>
          <w:p>
            <w:pPr>
              <w:spacing w:after="0"/>
              <w:rPr>
                <w:sz w:val="1"/>
                <w:szCs w:val="1"/>
                <w:color w:val="auto"/>
              </w:rPr>
            </w:pPr>
          </w:p>
        </w:tc>
      </w:tr>
      <w:tr>
        <w:trPr>
          <w:trHeight w:val="142"/>
        </w:trPr>
        <w:tc>
          <w:tcPr>
            <w:tcW w:w="334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Second Lien Secured Debt—61.0%</w:t>
            </w:r>
          </w:p>
        </w:tc>
        <w:tc>
          <w:tcPr>
            <w:tcW w:w="13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w:t>
            </w:r>
          </w:p>
        </w:tc>
        <w:tc>
          <w:tcPr>
            <w:tcW w:w="1380" w:type="dxa"/>
            <w:vAlign w:val="bottom"/>
            <w:shd w:val="clear" w:color="auto" w:fill="CCEEFF"/>
          </w:tcPr>
          <w:p>
            <w:pPr>
              <w:jc w:val="center"/>
              <w:ind w:left="497"/>
              <w:spacing w:after="0" w:line="121" w:lineRule="exact"/>
              <w:rPr>
                <w:sz w:val="20"/>
                <w:szCs w:val="20"/>
                <w:color w:val="auto"/>
              </w:rPr>
            </w:pPr>
            <w:r>
              <w:rPr>
                <w:rFonts w:ascii="Arial" w:cs="Arial" w:eastAsia="Arial" w:hAnsi="Arial"/>
                <w:sz w:val="13"/>
                <w:szCs w:val="13"/>
                <w:color w:val="auto"/>
                <w:w w:val="89"/>
              </w:rPr>
              <w:t>09/01/2017</w:t>
            </w:r>
          </w:p>
        </w:tc>
        <w:tc>
          <w:tcPr>
            <w:tcW w:w="19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Diversified Natural Resources,</w:t>
            </w:r>
          </w:p>
        </w:tc>
        <w:tc>
          <w:tcPr>
            <w:tcW w:w="96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8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25,400,000</w:t>
            </w:r>
          </w:p>
        </w:tc>
        <w:tc>
          <w:tcPr>
            <w:tcW w:w="1000" w:type="dxa"/>
            <w:vAlign w:val="bottom"/>
            <w:gridSpan w:val="3"/>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25,400,000</w:t>
            </w:r>
          </w:p>
        </w:tc>
        <w:tc>
          <w:tcPr>
            <w:tcW w:w="980" w:type="dxa"/>
            <w:vAlign w:val="bottom"/>
            <w:gridSpan w:val="3"/>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17,780,000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Precious Metals and Minerals</w:t>
            </w:r>
          </w:p>
        </w:tc>
        <w:tc>
          <w:tcPr>
            <w:tcW w:w="9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color w:val="auto"/>
              </w:rPr>
              <w:t xml:space="preserve">Balboa Capital Corporation </w:t>
            </w:r>
            <w:r>
              <w:rPr>
                <w:rFonts w:ascii="Arial" w:cs="Arial" w:eastAsia="Arial" w:hAnsi="Arial"/>
                <w:sz w:val="10"/>
                <w:szCs w:val="10"/>
                <w:color w:val="auto"/>
              </w:rPr>
              <w:t>(12)</w:t>
            </w:r>
          </w:p>
        </w:tc>
        <w:tc>
          <w:tcPr>
            <w:tcW w:w="138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9"/>
              </w:rPr>
              <w:t>03/04/2022</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13.75%</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28,500,000</w:t>
            </w:r>
          </w:p>
        </w:tc>
        <w:tc>
          <w:tcPr>
            <w:tcW w:w="10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28,253,554</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28,500,000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Bennu Oil &amp; Gas, LLC</w:t>
            </w:r>
          </w:p>
        </w:tc>
        <w:tc>
          <w:tcPr>
            <w:tcW w:w="1380" w:type="dxa"/>
            <w:vAlign w:val="bottom"/>
            <w:shd w:val="clear" w:color="auto" w:fill="CCEEFF"/>
          </w:tcPr>
          <w:p>
            <w:pPr>
              <w:jc w:val="center"/>
              <w:ind w:left="517"/>
              <w:spacing w:after="0" w:line="135" w:lineRule="exact"/>
              <w:rPr>
                <w:sz w:val="20"/>
                <w:szCs w:val="20"/>
                <w:color w:val="auto"/>
              </w:rPr>
            </w:pPr>
            <w:r>
              <w:rPr>
                <w:rFonts w:ascii="Arial" w:cs="Arial" w:eastAsia="Arial" w:hAnsi="Arial"/>
                <w:sz w:val="13"/>
                <w:szCs w:val="13"/>
                <w:color w:val="auto"/>
                <w:w w:val="86"/>
              </w:rPr>
              <w:t>11/01/2018</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26,979,281</w:t>
            </w:r>
          </w:p>
        </w:tc>
        <w:tc>
          <w:tcPr>
            <w:tcW w:w="10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25,422,260</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8,633,370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color w:val="auto"/>
              </w:rPr>
              <w:t>Howard Berger Co. LLC</w:t>
            </w:r>
          </w:p>
        </w:tc>
        <w:tc>
          <w:tcPr>
            <w:tcW w:w="138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9"/>
              </w:rPr>
              <w:t>09/30/2020</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95"/>
              </w:rPr>
              <w:t>Distribution</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11.00%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L+1,000</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41,250,000</w:t>
            </w:r>
          </w:p>
        </w:tc>
        <w:tc>
          <w:tcPr>
            <w:tcW w:w="10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39,419,316</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37,125,000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Intermediate Transportation 100, LLC </w:t>
            </w:r>
            <w:r>
              <w:rPr>
                <w:rFonts w:ascii="Arial" w:cs="Arial" w:eastAsia="Arial" w:hAnsi="Arial"/>
                <w:sz w:val="10"/>
                <w:szCs w:val="10"/>
                <w:color w:val="auto"/>
              </w:rPr>
              <w:t>(5)</w:t>
            </w:r>
          </w:p>
        </w:tc>
        <w:tc>
          <w:tcPr>
            <w:tcW w:w="138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9"/>
              </w:rPr>
              <w:t>03/01/2017</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Cargo Transport</w:t>
            </w:r>
          </w:p>
        </w:tc>
        <w:tc>
          <w:tcPr>
            <w:tcW w:w="9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4,887,760</w:t>
            </w:r>
          </w:p>
        </w:tc>
        <w:tc>
          <w:tcPr>
            <w:tcW w:w="10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3,739,797</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2,932,656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color w:val="auto"/>
              </w:rPr>
              <w:t>Jacobs Entertainment, Inc.</w:t>
            </w:r>
          </w:p>
        </w:tc>
        <w:tc>
          <w:tcPr>
            <w:tcW w:w="138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9"/>
              </w:rPr>
              <w:t>10/29/2019</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13.00%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L+1,175</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51,775,000</w:t>
            </w:r>
          </w:p>
        </w:tc>
        <w:tc>
          <w:tcPr>
            <w:tcW w:w="10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51,362,786</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51,775,000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MailSouth, Inc.</w:t>
            </w:r>
          </w:p>
        </w:tc>
        <w:tc>
          <w:tcPr>
            <w:tcW w:w="138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9"/>
              </w:rPr>
              <w:t>10/22/2021</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Printing and Publishing</w:t>
            </w:r>
          </w:p>
        </w:tc>
        <w:tc>
          <w:tcPr>
            <w:tcW w:w="9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11.50%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L+1,050</w:t>
            </w: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26,425,000</w:t>
            </w:r>
          </w:p>
        </w:tc>
        <w:tc>
          <w:tcPr>
            <w:tcW w:w="10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25,926,258</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26,425,000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color w:val="auto"/>
              </w:rPr>
              <w:t>Novitex Acquisition, LLC</w:t>
            </w:r>
          </w:p>
        </w:tc>
        <w:tc>
          <w:tcPr>
            <w:tcW w:w="138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9"/>
              </w:rPr>
              <w:t>07/07/2021</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12.25%</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L+1,100</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41,250,000</w:t>
            </w:r>
          </w:p>
        </w:tc>
        <w:tc>
          <w:tcPr>
            <w:tcW w:w="10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40,929,816</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41,250,000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Parq Holdings Limited Partnership </w:t>
            </w:r>
            <w:r>
              <w:rPr>
                <w:rFonts w:ascii="Arial" w:cs="Arial" w:eastAsia="Arial" w:hAnsi="Arial"/>
                <w:sz w:val="10"/>
                <w:szCs w:val="10"/>
                <w:color w:val="auto"/>
              </w:rPr>
              <w:t>(9), (12)</w:t>
            </w:r>
          </w:p>
        </w:tc>
        <w:tc>
          <w:tcPr>
            <w:tcW w:w="138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9"/>
              </w:rPr>
              <w:t>12/17/2021</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13.00%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L+1,200</w:t>
            </w: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75,000,000</w:t>
            </w:r>
          </w:p>
        </w:tc>
        <w:tc>
          <w:tcPr>
            <w:tcW w:w="10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75,000,000</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76,229,058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color w:val="auto"/>
              </w:rPr>
              <w:t>Penton Media, Inc.</w:t>
            </w:r>
          </w:p>
        </w:tc>
        <w:tc>
          <w:tcPr>
            <w:tcW w:w="138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9"/>
              </w:rPr>
              <w:t>10/02/2020</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90"/>
              </w:rPr>
              <w:t>Media</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9.00%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L+775</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18,270,159</w:t>
            </w:r>
          </w:p>
        </w:tc>
        <w:tc>
          <w:tcPr>
            <w:tcW w:w="10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18,101,798</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18,201,646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Pre-Paid Legal Services, Inc.</w:t>
            </w:r>
          </w:p>
        </w:tc>
        <w:tc>
          <w:tcPr>
            <w:tcW w:w="1380" w:type="dxa"/>
            <w:vAlign w:val="bottom"/>
            <w:shd w:val="clear" w:color="auto" w:fill="CCEEFF"/>
          </w:tcPr>
          <w:p>
            <w:pPr>
              <w:jc w:val="center"/>
              <w:ind w:left="497"/>
              <w:spacing w:after="0" w:line="121" w:lineRule="exact"/>
              <w:rPr>
                <w:sz w:val="20"/>
                <w:szCs w:val="20"/>
                <w:color w:val="auto"/>
              </w:rPr>
            </w:pPr>
            <w:r>
              <w:rPr>
                <w:rFonts w:ascii="Arial" w:cs="Arial" w:eastAsia="Arial" w:hAnsi="Arial"/>
                <w:sz w:val="13"/>
                <w:szCs w:val="13"/>
                <w:color w:val="auto"/>
                <w:w w:val="89"/>
              </w:rPr>
              <w:t>07/01/2020</w:t>
            </w:r>
          </w:p>
        </w:tc>
        <w:tc>
          <w:tcPr>
            <w:tcW w:w="19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Personal, Food and</w:t>
            </w:r>
          </w:p>
        </w:tc>
        <w:tc>
          <w:tcPr>
            <w:tcW w:w="96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10.25%</w:t>
            </w:r>
          </w:p>
        </w:tc>
        <w:tc>
          <w:tcPr>
            <w:tcW w:w="98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L+900</w:t>
            </w:r>
          </w:p>
        </w:tc>
        <w:tc>
          <w:tcPr>
            <w:tcW w:w="88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56,750,000</w:t>
            </w:r>
          </w:p>
        </w:tc>
        <w:tc>
          <w:tcPr>
            <w:tcW w:w="1000" w:type="dxa"/>
            <w:vAlign w:val="bottom"/>
            <w:gridSpan w:val="3"/>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56,202,295</w:t>
            </w:r>
          </w:p>
        </w:tc>
        <w:tc>
          <w:tcPr>
            <w:tcW w:w="980" w:type="dxa"/>
            <w:vAlign w:val="bottom"/>
            <w:gridSpan w:val="3"/>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56,087,727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Miscellaneous Services</w:t>
            </w:r>
          </w:p>
        </w:tc>
        <w:tc>
          <w:tcPr>
            <w:tcW w:w="9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20" w:type="dxa"/>
            <w:vAlign w:val="bottom"/>
          </w:tcPr>
          <w:p>
            <w:pPr>
              <w:spacing w:after="0" w:line="121" w:lineRule="exact"/>
              <w:rPr>
                <w:sz w:val="20"/>
                <w:szCs w:val="20"/>
                <w:color w:val="auto"/>
              </w:rPr>
            </w:pPr>
            <w:r>
              <w:rPr>
                <w:rFonts w:ascii="Arial" w:cs="Arial" w:eastAsia="Arial" w:hAnsi="Arial"/>
                <w:sz w:val="13"/>
                <w:szCs w:val="13"/>
                <w:color w:val="auto"/>
              </w:rPr>
              <w:t>Prime Security Services Borrower, LLC</w:t>
            </w:r>
          </w:p>
        </w:tc>
        <w:tc>
          <w:tcPr>
            <w:tcW w:w="1380" w:type="dxa"/>
            <w:vAlign w:val="bottom"/>
          </w:tcPr>
          <w:p>
            <w:pPr>
              <w:jc w:val="center"/>
              <w:ind w:left="497"/>
              <w:spacing w:after="0" w:line="121" w:lineRule="exact"/>
              <w:rPr>
                <w:sz w:val="20"/>
                <w:szCs w:val="20"/>
                <w:color w:val="auto"/>
              </w:rPr>
            </w:pPr>
            <w:r>
              <w:rPr>
                <w:rFonts w:ascii="Arial" w:cs="Arial" w:eastAsia="Arial" w:hAnsi="Arial"/>
                <w:sz w:val="13"/>
                <w:szCs w:val="13"/>
                <w:color w:val="auto"/>
                <w:w w:val="89"/>
              </w:rPr>
              <w:t>07/01/2022</w:t>
            </w:r>
          </w:p>
        </w:tc>
        <w:tc>
          <w:tcPr>
            <w:tcW w:w="1900" w:type="dxa"/>
            <w:vAlign w:val="bottom"/>
          </w:tcPr>
          <w:p>
            <w:pPr>
              <w:jc w:val="center"/>
              <w:spacing w:after="0" w:line="121" w:lineRule="exact"/>
              <w:rPr>
                <w:sz w:val="20"/>
                <w:szCs w:val="20"/>
                <w:color w:val="auto"/>
              </w:rPr>
            </w:pPr>
            <w:r>
              <w:rPr>
                <w:rFonts w:ascii="Arial" w:cs="Arial" w:eastAsia="Arial" w:hAnsi="Arial"/>
                <w:sz w:val="13"/>
                <w:szCs w:val="13"/>
                <w:color w:val="auto"/>
                <w:w w:val="86"/>
              </w:rPr>
              <w:t>Personal, Food and</w:t>
            </w:r>
          </w:p>
        </w:tc>
        <w:tc>
          <w:tcPr>
            <w:tcW w:w="96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9.75%</w:t>
            </w:r>
          </w:p>
        </w:tc>
        <w:tc>
          <w:tcPr>
            <w:tcW w:w="98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L+875</w:t>
            </w:r>
          </w:p>
        </w:tc>
        <w:tc>
          <w:tcPr>
            <w:tcW w:w="880" w:type="dxa"/>
            <w:vAlign w:val="bottom"/>
          </w:tcPr>
          <w:p>
            <w:pPr>
              <w:jc w:val="right"/>
              <w:ind w:right="97"/>
              <w:spacing w:after="0" w:line="121" w:lineRule="exact"/>
              <w:rPr>
                <w:sz w:val="20"/>
                <w:szCs w:val="20"/>
                <w:color w:val="auto"/>
              </w:rPr>
            </w:pPr>
            <w:r>
              <w:rPr>
                <w:rFonts w:ascii="Arial" w:cs="Arial" w:eastAsia="Arial" w:hAnsi="Arial"/>
                <w:sz w:val="13"/>
                <w:szCs w:val="13"/>
                <w:color w:val="auto"/>
              </w:rPr>
              <w:t>14,798,077</w:t>
            </w:r>
          </w:p>
        </w:tc>
        <w:tc>
          <w:tcPr>
            <w:tcW w:w="1000" w:type="dxa"/>
            <w:vAlign w:val="bottom"/>
            <w:gridSpan w:val="3"/>
          </w:tcPr>
          <w:p>
            <w:pPr>
              <w:jc w:val="right"/>
              <w:ind w:right="120"/>
              <w:spacing w:after="0" w:line="121" w:lineRule="exact"/>
              <w:rPr>
                <w:sz w:val="20"/>
                <w:szCs w:val="20"/>
                <w:color w:val="auto"/>
              </w:rPr>
            </w:pPr>
            <w:r>
              <w:rPr>
                <w:rFonts w:ascii="Arial" w:cs="Arial" w:eastAsia="Arial" w:hAnsi="Arial"/>
                <w:sz w:val="13"/>
                <w:szCs w:val="13"/>
                <w:color w:val="auto"/>
              </w:rPr>
              <w:t>14,613,655</w:t>
            </w:r>
          </w:p>
        </w:tc>
        <w:tc>
          <w:tcPr>
            <w:tcW w:w="98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15,029,371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w w:val="86"/>
              </w:rPr>
              <w:t>Miscellaneous Services</w:t>
            </w: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VT Buyer Acquisition Corp.</w:t>
            </w:r>
          </w:p>
        </w:tc>
        <w:tc>
          <w:tcPr>
            <w:tcW w:w="138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9"/>
              </w:rPr>
              <w:t>01/30/2023</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10.75%</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L+975</w:t>
            </w: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12,862,500</w:t>
            </w:r>
          </w:p>
        </w:tc>
        <w:tc>
          <w:tcPr>
            <w:tcW w:w="10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12,441,130</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12,862,500</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Second Lien Secured Debt</w:t>
            </w:r>
          </w:p>
        </w:tc>
        <w:tc>
          <w:tcPr>
            <w:tcW w:w="13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4"/>
              </w:rPr>
              <w:t>416,812,665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6"/>
              </w:rPr>
              <w:t>392,831,328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Subordinated Debt/Corporate Notes—15.9%</w:t>
            </w:r>
          </w:p>
        </w:tc>
        <w:tc>
          <w:tcPr>
            <w:tcW w:w="13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color w:val="auto"/>
              </w:rPr>
              <w:t>Alegeus Technologies, LLC</w:t>
            </w:r>
          </w:p>
        </w:tc>
        <w:tc>
          <w:tcPr>
            <w:tcW w:w="138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9"/>
              </w:rPr>
              <w:t>02/15/2019</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13.00%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L+1,200</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8,930,000</w:t>
            </w:r>
          </w:p>
        </w:tc>
        <w:tc>
          <w:tcPr>
            <w:tcW w:w="10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8,844,669</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8,831,201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Cascade Environmental LLC</w:t>
            </w:r>
          </w:p>
        </w:tc>
        <w:tc>
          <w:tcPr>
            <w:tcW w:w="138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9"/>
              </w:rPr>
              <w:t>08/20/2021</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Environmental Services</w:t>
            </w:r>
          </w:p>
        </w:tc>
        <w:tc>
          <w:tcPr>
            <w:tcW w:w="9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12.00%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32,675,553</w:t>
            </w:r>
          </w:p>
        </w:tc>
        <w:tc>
          <w:tcPr>
            <w:tcW w:w="10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32,055,101</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32,675,553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20" w:type="dxa"/>
            <w:vAlign w:val="bottom"/>
          </w:tcPr>
          <w:p>
            <w:pPr>
              <w:spacing w:after="0" w:line="121" w:lineRule="exact"/>
              <w:rPr>
                <w:sz w:val="20"/>
                <w:szCs w:val="20"/>
                <w:color w:val="auto"/>
              </w:rPr>
            </w:pPr>
            <w:r>
              <w:rPr>
                <w:rFonts w:ascii="Arial" w:cs="Arial" w:eastAsia="Arial" w:hAnsi="Arial"/>
                <w:sz w:val="13"/>
                <w:szCs w:val="13"/>
                <w:color w:val="auto"/>
              </w:rPr>
              <w:t>Credit Infonet, Inc.</w:t>
            </w:r>
          </w:p>
        </w:tc>
        <w:tc>
          <w:tcPr>
            <w:tcW w:w="1380" w:type="dxa"/>
            <w:vAlign w:val="bottom"/>
          </w:tcPr>
          <w:p>
            <w:pPr>
              <w:jc w:val="center"/>
              <w:ind w:left="497"/>
              <w:spacing w:after="0" w:line="121" w:lineRule="exact"/>
              <w:rPr>
                <w:sz w:val="20"/>
                <w:szCs w:val="20"/>
                <w:color w:val="auto"/>
              </w:rPr>
            </w:pPr>
            <w:r>
              <w:rPr>
                <w:rFonts w:ascii="Arial" w:cs="Arial" w:eastAsia="Arial" w:hAnsi="Arial"/>
                <w:sz w:val="13"/>
                <w:szCs w:val="13"/>
                <w:color w:val="auto"/>
                <w:w w:val="89"/>
              </w:rPr>
              <w:t>10/26/2018</w:t>
            </w:r>
          </w:p>
        </w:tc>
        <w:tc>
          <w:tcPr>
            <w:tcW w:w="1900" w:type="dxa"/>
            <w:vAlign w:val="bottom"/>
          </w:tcPr>
          <w:p>
            <w:pPr>
              <w:jc w:val="center"/>
              <w:spacing w:after="0" w:line="121" w:lineRule="exact"/>
              <w:rPr>
                <w:sz w:val="20"/>
                <w:szCs w:val="20"/>
                <w:color w:val="auto"/>
              </w:rPr>
            </w:pPr>
            <w:r>
              <w:rPr>
                <w:rFonts w:ascii="Arial" w:cs="Arial" w:eastAsia="Arial" w:hAnsi="Arial"/>
                <w:sz w:val="13"/>
                <w:szCs w:val="13"/>
                <w:color w:val="auto"/>
                <w:w w:val="86"/>
              </w:rPr>
              <w:t>Personal, Food and</w:t>
            </w:r>
          </w:p>
        </w:tc>
        <w:tc>
          <w:tcPr>
            <w:tcW w:w="96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13.00%</w:t>
            </w:r>
          </w:p>
        </w:tc>
        <w:tc>
          <w:tcPr>
            <w:tcW w:w="98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line="121" w:lineRule="exact"/>
              <w:rPr>
                <w:sz w:val="20"/>
                <w:szCs w:val="20"/>
                <w:color w:val="auto"/>
              </w:rPr>
            </w:pPr>
            <w:r>
              <w:rPr>
                <w:rFonts w:ascii="Arial" w:cs="Arial" w:eastAsia="Arial" w:hAnsi="Arial"/>
                <w:sz w:val="13"/>
                <w:szCs w:val="13"/>
                <w:color w:val="auto"/>
              </w:rPr>
              <w:t>11,035,083</w:t>
            </w:r>
          </w:p>
        </w:tc>
        <w:tc>
          <w:tcPr>
            <w:tcW w:w="1000" w:type="dxa"/>
            <w:vAlign w:val="bottom"/>
            <w:gridSpan w:val="3"/>
          </w:tcPr>
          <w:p>
            <w:pPr>
              <w:jc w:val="right"/>
              <w:ind w:right="120"/>
              <w:spacing w:after="0" w:line="121" w:lineRule="exact"/>
              <w:rPr>
                <w:sz w:val="20"/>
                <w:szCs w:val="20"/>
                <w:color w:val="auto"/>
              </w:rPr>
            </w:pPr>
            <w:r>
              <w:rPr>
                <w:rFonts w:ascii="Arial" w:cs="Arial" w:eastAsia="Arial" w:hAnsi="Arial"/>
                <w:sz w:val="13"/>
                <w:szCs w:val="13"/>
                <w:color w:val="auto"/>
              </w:rPr>
              <w:t>10,937,329</w:t>
            </w:r>
          </w:p>
        </w:tc>
        <w:tc>
          <w:tcPr>
            <w:tcW w:w="98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10,538,501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w w:val="86"/>
              </w:rPr>
              <w:t>Miscellaneous Services</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(PIK 1.75%)</w:t>
            </w: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20" w:type="dxa"/>
            <w:vAlign w:val="bottom"/>
            <w:shd w:val="clear" w:color="auto" w:fill="CCEEFF"/>
          </w:tcPr>
          <w:p>
            <w:pPr>
              <w:spacing w:after="0" w:line="124" w:lineRule="exact"/>
              <w:rPr>
                <w:sz w:val="20"/>
                <w:szCs w:val="20"/>
                <w:color w:val="auto"/>
              </w:rPr>
            </w:pPr>
            <w:r>
              <w:rPr>
                <w:rFonts w:ascii="Arial" w:cs="Arial" w:eastAsia="Arial" w:hAnsi="Arial"/>
                <w:sz w:val="13"/>
                <w:szCs w:val="13"/>
                <w:color w:val="auto"/>
              </w:rPr>
              <w:t xml:space="preserve">Goldsun Trading Limited </w:t>
            </w:r>
            <w:r>
              <w:rPr>
                <w:rFonts w:ascii="Arial" w:cs="Arial" w:eastAsia="Arial" w:hAnsi="Arial"/>
                <w:sz w:val="10"/>
                <w:szCs w:val="10"/>
                <w:color w:val="auto"/>
              </w:rPr>
              <w:t>(9), (11), (12)</w:t>
            </w:r>
          </w:p>
        </w:tc>
        <w:tc>
          <w:tcPr>
            <w:tcW w:w="1380" w:type="dxa"/>
            <w:vAlign w:val="bottom"/>
            <w:shd w:val="clear" w:color="auto" w:fill="CCEEFF"/>
          </w:tcPr>
          <w:p>
            <w:pPr>
              <w:jc w:val="center"/>
              <w:ind w:left="497"/>
              <w:spacing w:after="0" w:line="124" w:lineRule="exact"/>
              <w:rPr>
                <w:sz w:val="20"/>
                <w:szCs w:val="20"/>
                <w:color w:val="auto"/>
              </w:rPr>
            </w:pPr>
            <w:r>
              <w:rPr>
                <w:rFonts w:ascii="Arial" w:cs="Arial" w:eastAsia="Arial" w:hAnsi="Arial"/>
                <w:sz w:val="13"/>
                <w:szCs w:val="13"/>
                <w:color w:val="auto"/>
                <w:w w:val="89"/>
              </w:rPr>
              <w:t>02/19/2018</w:t>
            </w:r>
          </w:p>
        </w:tc>
        <w:tc>
          <w:tcPr>
            <w:tcW w:w="1900" w:type="dxa"/>
            <w:vAlign w:val="bottom"/>
            <w:shd w:val="clear" w:color="auto" w:fill="CCEEFF"/>
          </w:tcPr>
          <w:p>
            <w:pPr>
              <w:jc w:val="center"/>
              <w:spacing w:after="0" w:line="124" w:lineRule="exact"/>
              <w:rPr>
                <w:sz w:val="20"/>
                <w:szCs w:val="20"/>
                <w:color w:val="auto"/>
              </w:rPr>
            </w:pPr>
            <w:r>
              <w:rPr>
                <w:rFonts w:ascii="Arial" w:cs="Arial" w:eastAsia="Arial" w:hAnsi="Arial"/>
                <w:sz w:val="13"/>
                <w:szCs w:val="13"/>
                <w:color w:val="auto"/>
                <w:w w:val="87"/>
              </w:rPr>
              <w:t>Healthcare, Education and</w:t>
            </w:r>
          </w:p>
        </w:tc>
        <w:tc>
          <w:tcPr>
            <w:tcW w:w="960" w:type="dxa"/>
            <w:vAlign w:val="bottom"/>
            <w:shd w:val="clear" w:color="auto" w:fill="CCEEFF"/>
          </w:tcPr>
          <w:p>
            <w:pPr>
              <w:jc w:val="right"/>
              <w:ind w:right="117"/>
              <w:spacing w:after="0" w:line="124" w:lineRule="exact"/>
              <w:rPr>
                <w:sz w:val="20"/>
                <w:szCs w:val="20"/>
                <w:color w:val="auto"/>
              </w:rPr>
            </w:pPr>
            <w:r>
              <w:rPr>
                <w:rFonts w:ascii="Arial" w:cs="Arial" w:eastAsia="Arial" w:hAnsi="Arial"/>
                <w:sz w:val="13"/>
                <w:szCs w:val="13"/>
                <w:color w:val="auto"/>
              </w:rPr>
              <w:t>14.50%</w:t>
            </w:r>
          </w:p>
        </w:tc>
        <w:tc>
          <w:tcPr>
            <w:tcW w:w="980" w:type="dxa"/>
            <w:vAlign w:val="bottom"/>
            <w:shd w:val="clear" w:color="auto" w:fill="CCEEFF"/>
          </w:tcPr>
          <w:p>
            <w:pPr>
              <w:jc w:val="right"/>
              <w:ind w:right="197"/>
              <w:spacing w:after="0" w:line="124" w:lineRule="exact"/>
              <w:rPr>
                <w:sz w:val="20"/>
                <w:szCs w:val="20"/>
                <w:color w:val="auto"/>
              </w:rPr>
            </w:pPr>
            <w:r>
              <w:rPr>
                <w:rFonts w:ascii="Arial" w:cs="Arial" w:eastAsia="Arial" w:hAnsi="Arial"/>
                <w:sz w:val="13"/>
                <w:szCs w:val="13"/>
                <w:color w:val="auto"/>
              </w:rPr>
              <w:t>L+1,000</w:t>
            </w:r>
          </w:p>
        </w:tc>
        <w:tc>
          <w:tcPr>
            <w:tcW w:w="880" w:type="dxa"/>
            <w:vAlign w:val="bottom"/>
            <w:shd w:val="clear" w:color="auto" w:fill="CCEEFF"/>
          </w:tcPr>
          <w:p>
            <w:pPr>
              <w:jc w:val="right"/>
              <w:ind w:right="97"/>
              <w:spacing w:after="0" w:line="124" w:lineRule="exact"/>
              <w:rPr>
                <w:sz w:val="20"/>
                <w:szCs w:val="20"/>
                <w:color w:val="auto"/>
              </w:rPr>
            </w:pPr>
            <w:r>
              <w:rPr>
                <w:rFonts w:ascii="Arial" w:cs="Arial" w:eastAsia="Arial" w:hAnsi="Arial"/>
                <w:sz w:val="13"/>
                <w:szCs w:val="13"/>
                <w:color w:val="auto"/>
              </w:rPr>
              <w:t>8,375,600</w:t>
            </w:r>
          </w:p>
        </w:tc>
        <w:tc>
          <w:tcPr>
            <w:tcW w:w="1000" w:type="dxa"/>
            <w:vAlign w:val="bottom"/>
            <w:gridSpan w:val="3"/>
            <w:shd w:val="clear" w:color="auto" w:fill="CCEEFF"/>
          </w:tcPr>
          <w:p>
            <w:pPr>
              <w:jc w:val="right"/>
              <w:ind w:right="120"/>
              <w:spacing w:after="0" w:line="124" w:lineRule="exact"/>
              <w:rPr>
                <w:sz w:val="20"/>
                <w:szCs w:val="20"/>
                <w:color w:val="auto"/>
              </w:rPr>
            </w:pPr>
            <w:r>
              <w:rPr>
                <w:rFonts w:ascii="Arial" w:cs="Arial" w:eastAsia="Arial" w:hAnsi="Arial"/>
                <w:sz w:val="13"/>
                <w:szCs w:val="13"/>
                <w:color w:val="auto"/>
              </w:rPr>
              <w:t>12,306,414</w:t>
            </w:r>
          </w:p>
        </w:tc>
        <w:tc>
          <w:tcPr>
            <w:tcW w:w="980" w:type="dxa"/>
            <w:vAlign w:val="bottom"/>
            <w:gridSpan w:val="3"/>
            <w:shd w:val="clear" w:color="auto" w:fill="CCEEFF"/>
          </w:tcPr>
          <w:p>
            <w:pPr>
              <w:jc w:val="right"/>
              <w:ind w:right="140"/>
              <w:spacing w:after="0" w:line="124" w:lineRule="exact"/>
              <w:rPr>
                <w:sz w:val="20"/>
                <w:szCs w:val="20"/>
                <w:color w:val="auto"/>
              </w:rPr>
            </w:pPr>
            <w:r>
              <w:rPr>
                <w:rFonts w:ascii="Arial" w:cs="Arial" w:eastAsia="Arial" w:hAnsi="Arial"/>
                <w:sz w:val="13"/>
                <w:szCs w:val="13"/>
                <w:color w:val="auto"/>
              </w:rPr>
              <w:t>10,855,976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Childcare</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(PIK 6.00%)</w:t>
            </w:r>
          </w:p>
        </w:tc>
        <w:tc>
          <w:tcPr>
            <w:tcW w:w="9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color w:val="auto"/>
              </w:rPr>
              <w:t>Randall-Reilly, LLC</w:t>
            </w:r>
          </w:p>
        </w:tc>
        <w:tc>
          <w:tcPr>
            <w:tcW w:w="138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9"/>
              </w:rPr>
              <w:t>04/15/2020</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12.00%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26,500,000</w:t>
            </w:r>
          </w:p>
        </w:tc>
        <w:tc>
          <w:tcPr>
            <w:tcW w:w="10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26,617,239</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26,309,750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Roto Holdings, Inc.</w:t>
            </w:r>
          </w:p>
        </w:tc>
        <w:tc>
          <w:tcPr>
            <w:tcW w:w="138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9"/>
              </w:rPr>
              <w:t>05/13/2021</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9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11.00%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13,300,000</w:t>
            </w:r>
          </w:p>
        </w:tc>
        <w:tc>
          <w:tcPr>
            <w:tcW w:w="10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13,090,281</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13,300,000</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Subordinated Debt/Corporate Notes</w:t>
            </w:r>
          </w:p>
        </w:tc>
        <w:tc>
          <w:tcPr>
            <w:tcW w:w="13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4"/>
              </w:rPr>
              <w:t>103,851,033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6"/>
              </w:rPr>
              <w:t>102,510,981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Preferred Equity/Partnership Interests—0.8% </w:t>
            </w:r>
            <w:r>
              <w:rPr>
                <w:rFonts w:ascii="Arial" w:cs="Arial" w:eastAsia="Arial" w:hAnsi="Arial"/>
                <w:sz w:val="10"/>
                <w:szCs w:val="10"/>
                <w:b w:val="1"/>
                <w:bCs w:val="1"/>
                <w:color w:val="auto"/>
              </w:rPr>
              <w:t>(6)</w:t>
            </w:r>
          </w:p>
        </w:tc>
        <w:tc>
          <w:tcPr>
            <w:tcW w:w="13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20" w:type="dxa"/>
            <w:vAlign w:val="bottom"/>
          </w:tcPr>
          <w:p>
            <w:pPr>
              <w:spacing w:after="0" w:line="121" w:lineRule="exact"/>
              <w:rPr>
                <w:sz w:val="20"/>
                <w:szCs w:val="20"/>
                <w:color w:val="auto"/>
              </w:rPr>
            </w:pPr>
            <w:r>
              <w:rPr>
                <w:rFonts w:ascii="Arial" w:cs="Arial" w:eastAsia="Arial" w:hAnsi="Arial"/>
                <w:sz w:val="13"/>
                <w:szCs w:val="13"/>
                <w:color w:val="auto"/>
              </w:rPr>
              <w:t>AH Holdings, Inc.</w:t>
            </w:r>
          </w:p>
        </w:tc>
        <w:tc>
          <w:tcPr>
            <w:tcW w:w="1380" w:type="dxa"/>
            <w:vAlign w:val="bottom"/>
          </w:tcPr>
          <w:p>
            <w:pPr>
              <w:jc w:val="center"/>
              <w:ind w:left="517"/>
              <w:spacing w:after="0" w:line="121" w:lineRule="exact"/>
              <w:rPr>
                <w:sz w:val="20"/>
                <w:szCs w:val="20"/>
                <w:color w:val="auto"/>
              </w:rPr>
            </w:pPr>
            <w:r>
              <w:rPr>
                <w:rFonts w:ascii="Arial" w:cs="Arial" w:eastAsia="Arial" w:hAnsi="Arial"/>
                <w:sz w:val="13"/>
                <w:szCs w:val="13"/>
                <w:color w:val="auto"/>
                <w:w w:val="91"/>
              </w:rPr>
              <w:t>—</w:t>
            </w:r>
          </w:p>
        </w:tc>
        <w:tc>
          <w:tcPr>
            <w:tcW w:w="1900" w:type="dxa"/>
            <w:vAlign w:val="bottom"/>
          </w:tcPr>
          <w:p>
            <w:pPr>
              <w:jc w:val="center"/>
              <w:spacing w:after="0" w:line="121" w:lineRule="exact"/>
              <w:rPr>
                <w:sz w:val="20"/>
                <w:szCs w:val="20"/>
                <w:color w:val="auto"/>
              </w:rPr>
            </w:pPr>
            <w:r>
              <w:rPr>
                <w:rFonts w:ascii="Arial" w:cs="Arial" w:eastAsia="Arial" w:hAnsi="Arial"/>
                <w:sz w:val="13"/>
                <w:szCs w:val="13"/>
                <w:color w:val="auto"/>
                <w:w w:val="87"/>
              </w:rPr>
              <w:t>Healthcare, Education and</w:t>
            </w:r>
          </w:p>
        </w:tc>
        <w:tc>
          <w:tcPr>
            <w:tcW w:w="96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6.00%</w:t>
            </w:r>
          </w:p>
        </w:tc>
        <w:tc>
          <w:tcPr>
            <w:tcW w:w="98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line="121" w:lineRule="exact"/>
              <w:rPr>
                <w:sz w:val="20"/>
                <w:szCs w:val="20"/>
                <w:color w:val="auto"/>
              </w:rPr>
            </w:pPr>
            <w:r>
              <w:rPr>
                <w:rFonts w:ascii="Arial" w:cs="Arial" w:eastAsia="Arial" w:hAnsi="Arial"/>
                <w:sz w:val="13"/>
                <w:szCs w:val="13"/>
                <w:color w:val="auto"/>
              </w:rPr>
              <w:t>211</w:t>
            </w:r>
          </w:p>
        </w:tc>
        <w:tc>
          <w:tcPr>
            <w:tcW w:w="1000" w:type="dxa"/>
            <w:vAlign w:val="bottom"/>
            <w:gridSpan w:val="3"/>
          </w:tcPr>
          <w:p>
            <w:pPr>
              <w:jc w:val="right"/>
              <w:ind w:right="120"/>
              <w:spacing w:after="0" w:line="121" w:lineRule="exact"/>
              <w:rPr>
                <w:sz w:val="20"/>
                <w:szCs w:val="20"/>
                <w:color w:val="auto"/>
              </w:rPr>
            </w:pPr>
            <w:r>
              <w:rPr>
                <w:rFonts w:ascii="Arial" w:cs="Arial" w:eastAsia="Arial" w:hAnsi="Arial"/>
                <w:sz w:val="13"/>
                <w:szCs w:val="13"/>
                <w:color w:val="auto"/>
              </w:rPr>
              <w:t>500,000</w:t>
            </w:r>
          </w:p>
        </w:tc>
        <w:tc>
          <w:tcPr>
            <w:tcW w:w="98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128,457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w w:val="90"/>
              </w:rPr>
              <w:t>Childcare</w:t>
            </w: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1380" w:type="dxa"/>
            <w:vAlign w:val="bottom"/>
            <w:shd w:val="clear" w:color="auto" w:fill="CCEEFF"/>
          </w:tcPr>
          <w:p>
            <w:pPr>
              <w:jc w:val="center"/>
              <w:ind w:left="517"/>
              <w:spacing w:after="0" w:line="135" w:lineRule="exact"/>
              <w:rPr>
                <w:sz w:val="20"/>
                <w:szCs w:val="20"/>
                <w:color w:val="auto"/>
              </w:rPr>
            </w:pPr>
            <w:r>
              <w:rPr>
                <w:rFonts w:ascii="Arial" w:cs="Arial" w:eastAsia="Arial" w:hAnsi="Arial"/>
                <w:sz w:val="13"/>
                <w:szCs w:val="13"/>
                <w:color w:val="auto"/>
                <w:w w:val="91"/>
              </w:rPr>
              <w:t>—</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6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949</w:t>
            </w:r>
          </w:p>
        </w:tc>
        <w:tc>
          <w:tcPr>
            <w:tcW w:w="10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949,050</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1,081,633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1380" w:type="dxa"/>
            <w:vAlign w:val="bottom"/>
          </w:tcPr>
          <w:p>
            <w:pPr>
              <w:jc w:val="center"/>
              <w:ind w:left="517"/>
              <w:spacing w:after="0" w:line="135" w:lineRule="exact"/>
              <w:rPr>
                <w:sz w:val="20"/>
                <w:szCs w:val="20"/>
                <w:color w:val="auto"/>
              </w:rPr>
            </w:pPr>
            <w:r>
              <w:rPr>
                <w:rFonts w:ascii="Arial" w:cs="Arial" w:eastAsia="Arial" w:hAnsi="Arial"/>
                <w:sz w:val="13"/>
                <w:szCs w:val="13"/>
                <w:color w:val="auto"/>
                <w:w w:val="91"/>
              </w:rPr>
              <w:t>—</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91"/>
              </w:rPr>
              <w:t>Electronics</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8.00%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2,375</w:t>
            </w:r>
          </w:p>
        </w:tc>
        <w:tc>
          <w:tcPr>
            <w:tcW w:w="10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2,088,121</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2,396,892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HW Holdco, LLC</w:t>
            </w:r>
          </w:p>
        </w:tc>
        <w:tc>
          <w:tcPr>
            <w:tcW w:w="1380" w:type="dxa"/>
            <w:vAlign w:val="bottom"/>
            <w:shd w:val="clear" w:color="auto" w:fill="CCEEFF"/>
          </w:tcPr>
          <w:p>
            <w:pPr>
              <w:jc w:val="center"/>
              <w:ind w:left="517"/>
              <w:spacing w:after="0" w:line="135" w:lineRule="exact"/>
              <w:rPr>
                <w:sz w:val="20"/>
                <w:szCs w:val="20"/>
                <w:color w:val="auto"/>
              </w:rPr>
            </w:pPr>
            <w:r>
              <w:rPr>
                <w:rFonts w:ascii="Arial" w:cs="Arial" w:eastAsia="Arial" w:hAnsi="Arial"/>
                <w:sz w:val="13"/>
                <w:szCs w:val="13"/>
                <w:color w:val="auto"/>
                <w:w w:val="91"/>
              </w:rPr>
              <w:t>—</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8.00%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3,591</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32,476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1380" w:type="dxa"/>
            <w:vAlign w:val="bottom"/>
          </w:tcPr>
          <w:p>
            <w:pPr>
              <w:jc w:val="center"/>
              <w:ind w:left="517"/>
              <w:spacing w:after="0" w:line="135" w:lineRule="exact"/>
              <w:rPr>
                <w:sz w:val="20"/>
                <w:szCs w:val="20"/>
                <w:color w:val="auto"/>
              </w:rPr>
            </w:pPr>
            <w:r>
              <w:rPr>
                <w:rFonts w:ascii="Arial" w:cs="Arial" w:eastAsia="Arial" w:hAnsi="Arial"/>
                <w:sz w:val="13"/>
                <w:szCs w:val="13"/>
                <w:color w:val="auto"/>
                <w:w w:val="91"/>
              </w:rPr>
              <w:t>—</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96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1,197</w:t>
            </w: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1,197,000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1,404,944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Preferred Equity/Partnership Interests</w:t>
            </w:r>
          </w:p>
        </w:tc>
        <w:tc>
          <w:tcPr>
            <w:tcW w:w="13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4,734,171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5,044,402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Basis Point</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Spread</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64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Maturity /</w:t>
            </w:r>
          </w:p>
        </w:tc>
        <w:tc>
          <w:tcPr>
            <w:tcW w:w="2020" w:type="dxa"/>
            <w:vAlign w:val="bottom"/>
          </w:tcPr>
          <w:p>
            <w:pPr>
              <w:spacing w:after="0"/>
              <w:rPr>
                <w:sz w:val="11"/>
                <w:szCs w:val="11"/>
                <w:color w:val="auto"/>
              </w:rPr>
            </w:pPr>
          </w:p>
        </w:tc>
        <w:tc>
          <w:tcPr>
            <w:tcW w:w="940" w:type="dxa"/>
            <w:vAlign w:val="bottom"/>
          </w:tcPr>
          <w:p>
            <w:pPr>
              <w:jc w:val="right"/>
              <w:ind w:right="317"/>
              <w:spacing w:after="0" w:line="135" w:lineRule="exact"/>
              <w:rPr>
                <w:sz w:val="20"/>
                <w:szCs w:val="20"/>
                <w:color w:val="auto"/>
              </w:rPr>
            </w:pPr>
            <w:r>
              <w:rPr>
                <w:rFonts w:ascii="Arial" w:cs="Arial" w:eastAsia="Arial" w:hAnsi="Arial"/>
                <w:sz w:val="13"/>
                <w:szCs w:val="13"/>
                <w:b w:val="1"/>
                <w:bCs w:val="1"/>
                <w:color w:val="auto"/>
              </w:rPr>
              <w:t>Current</w:t>
            </w: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Above</w:t>
            </w:r>
          </w:p>
        </w:tc>
        <w:tc>
          <w:tcPr>
            <w:tcW w:w="6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2"/>
              </w:rPr>
              <w:t>Par /</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20" w:type="dxa"/>
            <w:vAlign w:val="bottom"/>
            <w:gridSpan w:val="2"/>
            <w:vMerge w:val="continue"/>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b w:val="1"/>
                <w:bCs w:val="1"/>
                <w:color w:val="auto"/>
                <w:w w:val="97"/>
              </w:rPr>
              <w:t>Expiration</w:t>
            </w:r>
          </w:p>
        </w:tc>
        <w:tc>
          <w:tcPr>
            <w:tcW w:w="2020" w:type="dxa"/>
            <w:vAlign w:val="bottom"/>
          </w:tcPr>
          <w:p>
            <w:pPr>
              <w:jc w:val="center"/>
              <w:spacing w:after="0"/>
              <w:rPr>
                <w:sz w:val="20"/>
                <w:szCs w:val="20"/>
                <w:color w:val="auto"/>
              </w:rPr>
            </w:pPr>
            <w:r>
              <w:rPr>
                <w:rFonts w:ascii="Arial" w:cs="Arial" w:eastAsia="Arial" w:hAnsi="Arial"/>
                <w:sz w:val="13"/>
                <w:szCs w:val="13"/>
                <w:b w:val="1"/>
                <w:bCs w:val="1"/>
                <w:color w:val="auto"/>
                <w:w w:val="93"/>
              </w:rPr>
              <w:t>Industry</w:t>
            </w:r>
          </w:p>
        </w:tc>
        <w:tc>
          <w:tcPr>
            <w:tcW w:w="940" w:type="dxa"/>
            <w:vAlign w:val="bottom"/>
          </w:tcPr>
          <w:p>
            <w:pPr>
              <w:jc w:val="right"/>
              <w:ind w:right="337"/>
              <w:spacing w:after="0"/>
              <w:rPr>
                <w:sz w:val="20"/>
                <w:szCs w:val="20"/>
                <w:color w:val="auto"/>
              </w:rPr>
            </w:pPr>
            <w:r>
              <w:rPr>
                <w:rFonts w:ascii="Arial" w:cs="Arial" w:eastAsia="Arial" w:hAnsi="Arial"/>
                <w:sz w:val="13"/>
                <w:szCs w:val="13"/>
                <w:b w:val="1"/>
                <w:bCs w:val="1"/>
                <w:color w:val="auto"/>
              </w:rPr>
              <w:t>Coupon</w:t>
            </w: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2"/>
              </w:rPr>
              <w:t>Shares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4"/>
          </w:tcPr>
          <w:p>
            <w:pPr>
              <w:ind w:left="160"/>
              <w:spacing w:after="0"/>
              <w:rPr>
                <w:sz w:val="20"/>
                <w:szCs w:val="20"/>
                <w:color w:val="auto"/>
              </w:rPr>
            </w:pPr>
            <w:r>
              <w:rPr>
                <w:rFonts w:ascii="Arial" w:cs="Arial" w:eastAsia="Arial" w:hAnsi="Arial"/>
                <w:sz w:val="13"/>
                <w:szCs w:val="13"/>
                <w:b w:val="1"/>
                <w:bCs w:val="1"/>
                <w:color w:val="auto"/>
              </w:rPr>
              <w:t>Cost</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 xml:space="preserve">Common Equity/Partnership Interests/Warrants—10.0% </w:t>
            </w:r>
            <w:r>
              <w:rPr>
                <w:rFonts w:ascii="Arial" w:cs="Arial" w:eastAsia="Arial" w:hAnsi="Arial"/>
                <w:sz w:val="10"/>
                <w:szCs w:val="10"/>
                <w:b w:val="1"/>
                <w:bCs w:val="1"/>
                <w:color w:val="auto"/>
              </w:rPr>
              <w:t>(6)</w:t>
            </w: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2020" w:type="dxa"/>
            <w:vAlign w:val="bottom"/>
            <w:tcBorders>
              <w:top w:val="single" w:sz="8" w:color="auto"/>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AH Holdings, Inc. (Warrants)</w:t>
            </w:r>
          </w:p>
        </w:tc>
        <w:tc>
          <w:tcPr>
            <w:tcW w:w="2660" w:type="dxa"/>
            <w:vAlign w:val="bottom"/>
            <w:gridSpan w:val="2"/>
          </w:tcPr>
          <w:p>
            <w:pPr>
              <w:ind w:left="20"/>
              <w:spacing w:after="0" w:line="135" w:lineRule="exact"/>
              <w:rPr>
                <w:sz w:val="20"/>
                <w:szCs w:val="20"/>
                <w:color w:val="auto"/>
              </w:rPr>
            </w:pPr>
            <w:r>
              <w:rPr>
                <w:rFonts w:ascii="Arial" w:cs="Arial" w:eastAsia="Arial" w:hAnsi="Arial"/>
                <w:sz w:val="13"/>
                <w:szCs w:val="13"/>
                <w:color w:val="auto"/>
                <w:w w:val="92"/>
              </w:rPr>
              <w:t>03/23/2021  Healthcare, Education and Childcare</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753</w:t>
            </w:r>
          </w:p>
        </w:tc>
        <w:tc>
          <w:tcPr>
            <w:tcW w:w="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4"/>
          </w:tcPr>
          <w:p>
            <w:pPr>
              <w:ind w:left="520"/>
              <w:spacing w:after="0" w:line="135" w:lineRule="exact"/>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950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1,083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ASP LCG Holdings, Inc. (Warrants)</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6"/>
              </w:rPr>
              <w:t>05/05/2026</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9"/>
              </w:rPr>
              <w:t>Education</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933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586,975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1,192,535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Autumn Games, LLC</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Broadcasting and Entertainment</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1,333,330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3,000,000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 xml:space="preserve">Cardinal Logistics Holdings LLC </w:t>
            </w:r>
            <w:r>
              <w:rPr>
                <w:rFonts w:ascii="Arial" w:cs="Arial" w:eastAsia="Arial" w:hAnsi="Arial"/>
                <w:sz w:val="10"/>
                <w:szCs w:val="10"/>
                <w:color w:val="auto"/>
              </w:rPr>
              <w:t>(10)</w:t>
            </w:r>
          </w:p>
        </w:tc>
        <w:tc>
          <w:tcPr>
            <w:tcW w:w="64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21" w:lineRule="exact"/>
              <w:rPr>
                <w:sz w:val="20"/>
                <w:szCs w:val="20"/>
                <w:color w:val="auto"/>
              </w:rPr>
            </w:pPr>
            <w:r>
              <w:rPr>
                <w:rFonts w:ascii="Arial" w:cs="Arial" w:eastAsia="Arial" w:hAnsi="Arial"/>
                <w:sz w:val="13"/>
                <w:szCs w:val="13"/>
                <w:color w:val="auto"/>
                <w:w w:val="86"/>
              </w:rPr>
              <w:t>Cargo Transport</w:t>
            </w:r>
          </w:p>
        </w:tc>
        <w:tc>
          <w:tcPr>
            <w:tcW w:w="94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137,923</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2,111,588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120"/>
              <w:spacing w:after="0"/>
              <w:rPr>
                <w:sz w:val="20"/>
                <w:szCs w:val="20"/>
                <w:color w:val="auto"/>
              </w:rPr>
            </w:pPr>
            <w:r>
              <w:rPr>
                <w:rFonts w:ascii="Arial" w:cs="Arial" w:eastAsia="Arial" w:hAnsi="Arial"/>
                <w:sz w:val="13"/>
                <w:szCs w:val="13"/>
                <w:color w:val="auto"/>
              </w:rPr>
              <w:t>(Intermediate Transportation 100, LLC)</w:t>
            </w: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Cascade Environmental LLC </w:t>
            </w:r>
            <w:r>
              <w:rPr>
                <w:rFonts w:ascii="Arial" w:cs="Arial" w:eastAsia="Arial" w:hAnsi="Arial"/>
                <w:sz w:val="10"/>
                <w:szCs w:val="10"/>
                <w:color w:val="auto"/>
              </w:rPr>
              <w:t>(10)</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23,600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2,360,000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5,194,738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 xml:space="preserve">CI (Galls) Prime Investment Holdings, LLC </w:t>
            </w:r>
            <w:r>
              <w:rPr>
                <w:rFonts w:ascii="Arial" w:cs="Arial" w:eastAsia="Arial" w:hAnsi="Arial"/>
                <w:sz w:val="10"/>
                <w:szCs w:val="10"/>
                <w:color w:val="auto"/>
              </w:rPr>
              <w:t>(10)</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1,745,639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1,745,639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3,637,907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2,375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4"/>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2,671,422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e.l.f. Beauty, Inc.</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938,399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2,513,193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25,141,220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Faraday Holdings, LLC (Interior Specialists, Inc.)</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Building Materials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4,277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217,635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354,555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HW Holdco, LLC</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388,378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4"/>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3,512,420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Kadmon Holdings, Inc.</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252,014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2,265,639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1,849,783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 xml:space="preserve">LaMi Acquisition, LLC </w:t>
            </w:r>
            <w:r>
              <w:rPr>
                <w:rFonts w:ascii="Arial" w:cs="Arial" w:eastAsia="Arial" w:hAnsi="Arial"/>
                <w:sz w:val="10"/>
                <w:szCs w:val="10"/>
                <w:color w:val="auto"/>
              </w:rPr>
              <w:t>(10)</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493,280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526,382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Lariat ecoserv Co-Invest Holdings, LLC </w:t>
            </w:r>
            <w:r>
              <w:rPr>
                <w:rFonts w:ascii="Arial" w:cs="Arial" w:eastAsia="Arial" w:hAnsi="Arial"/>
                <w:sz w:val="10"/>
                <w:szCs w:val="10"/>
                <w:color w:val="auto"/>
              </w:rPr>
              <w:t>(10)</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1,000,000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1,000,000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MidOcean PPL Holdings, Corp. (Pre-Paid Legal Services, Inc.)</w:t>
            </w:r>
          </w:p>
        </w:tc>
        <w:tc>
          <w:tcPr>
            <w:tcW w:w="64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21" w:lineRule="exact"/>
              <w:rPr>
                <w:sz w:val="20"/>
                <w:szCs w:val="20"/>
                <w:color w:val="auto"/>
              </w:rPr>
            </w:pPr>
            <w:r>
              <w:rPr>
                <w:rFonts w:ascii="Arial" w:cs="Arial" w:eastAsia="Arial" w:hAnsi="Arial"/>
                <w:sz w:val="13"/>
                <w:szCs w:val="13"/>
                <w:color w:val="auto"/>
                <w:w w:val="86"/>
              </w:rPr>
              <w:t>Personal, Food and Miscellaneous</w:t>
            </w:r>
          </w:p>
        </w:tc>
        <w:tc>
          <w:tcPr>
            <w:tcW w:w="94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3,000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3,000,000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line="121" w:lineRule="exact"/>
              <w:rPr>
                <w:sz w:val="20"/>
                <w:szCs w:val="20"/>
                <w:color w:val="auto"/>
              </w:rPr>
            </w:pPr>
            <w:r>
              <w:rPr>
                <w:rFonts w:ascii="Arial" w:cs="Arial" w:eastAsia="Arial" w:hAnsi="Arial"/>
                <w:sz w:val="13"/>
                <w:szCs w:val="13"/>
                <w:color w:val="auto"/>
              </w:rPr>
              <w:t>5,959,292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4"/>
              </w:rPr>
              <w:t>Services</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Patriot National, Inc.</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Insurance</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100,885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238,038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908,974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 xml:space="preserve">Power Products Holdings, LLC, Class A Units </w:t>
            </w:r>
            <w:r>
              <w:rPr>
                <w:rFonts w:ascii="Arial" w:cs="Arial" w:eastAsia="Arial" w:hAnsi="Arial"/>
                <w:sz w:val="10"/>
                <w:szCs w:val="10"/>
                <w:color w:val="auto"/>
              </w:rPr>
              <w:t>(10)</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1,350,000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901,263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1,223,409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Power Products Holdings, LLC, Class B Units </w:t>
            </w:r>
            <w:r>
              <w:rPr>
                <w:rFonts w:ascii="Arial" w:cs="Arial" w:eastAsia="Arial" w:hAnsi="Arial"/>
                <w:sz w:val="10"/>
                <w:szCs w:val="10"/>
                <w:color w:val="auto"/>
              </w:rPr>
              <w:t>(10)</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150,000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142,300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2,800,010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1,330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133,000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1,022,594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Vestcom Parent Holdings, Inc.</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Printing and Publishing</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211,797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793,873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8,051,139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21,503,373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64,047,463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3"/>
              </w:rPr>
              <w:t>Total Investments in Non-Controlled, Non-Affiliated Portfolio Companies</w:t>
            </w:r>
          </w:p>
        </w:tc>
        <w:tc>
          <w:tcPr>
            <w:tcW w:w="64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85"/>
              </w:rPr>
              <w:t>805,189,545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813,467,491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w w:val="90"/>
              </w:rPr>
              <w:t xml:space="preserve">Investments in Non-Controlled, Affiliated Portfolio Companies—33.5% </w:t>
            </w:r>
            <w:r>
              <w:rPr>
                <w:rFonts w:ascii="Arial" w:cs="Arial" w:eastAsia="Arial" w:hAnsi="Arial"/>
                <w:sz w:val="10"/>
                <w:szCs w:val="10"/>
                <w:b w:val="1"/>
                <w:bCs w:val="1"/>
                <w:color w:val="auto"/>
                <w:w w:val="90"/>
              </w:rPr>
              <w:t>(1), (2)</w:t>
            </w: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First Lien Secured Debt—8.3%</w:t>
            </w:r>
          </w:p>
        </w:tc>
        <w:tc>
          <w:tcPr>
            <w:tcW w:w="64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Corfin Industries LLC</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6"/>
              </w:rPr>
              <w:t>11/25/2020</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10.75%</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L+975</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2"/>
              </w:rPr>
              <w:t>23,522,250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23,114,058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23,522,250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Corfin Industries LLC (Revolver) </w:t>
            </w:r>
            <w:r>
              <w:rPr>
                <w:rFonts w:ascii="Arial" w:cs="Arial" w:eastAsia="Arial" w:hAnsi="Arial"/>
                <w:sz w:val="10"/>
                <w:szCs w:val="10"/>
                <w:color w:val="auto"/>
              </w:rPr>
              <w:t>(8)</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11/25/2020</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1,942,623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4"/>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PAS Technologies, Inc.</w:t>
            </w:r>
          </w:p>
        </w:tc>
        <w:tc>
          <w:tcPr>
            <w:tcW w:w="640" w:type="dxa"/>
            <w:vAlign w:val="bottom"/>
          </w:tcPr>
          <w:p>
            <w:pPr>
              <w:jc w:val="center"/>
              <w:spacing w:after="0" w:line="121" w:lineRule="exact"/>
              <w:rPr>
                <w:sz w:val="20"/>
                <w:szCs w:val="20"/>
                <w:color w:val="auto"/>
              </w:rPr>
            </w:pPr>
            <w:r>
              <w:rPr>
                <w:rFonts w:ascii="Arial" w:cs="Arial" w:eastAsia="Arial" w:hAnsi="Arial"/>
                <w:sz w:val="13"/>
                <w:szCs w:val="13"/>
                <w:color w:val="auto"/>
                <w:w w:val="86"/>
              </w:rPr>
              <w:t>03/21/2017</w:t>
            </w:r>
          </w:p>
        </w:tc>
        <w:tc>
          <w:tcPr>
            <w:tcW w:w="2020" w:type="dxa"/>
            <w:vAlign w:val="bottom"/>
          </w:tcPr>
          <w:p>
            <w:pPr>
              <w:jc w:val="center"/>
              <w:spacing w:after="0" w:line="121" w:lineRule="exact"/>
              <w:rPr>
                <w:sz w:val="20"/>
                <w:szCs w:val="20"/>
                <w:color w:val="auto"/>
              </w:rPr>
            </w:pPr>
            <w:r>
              <w:rPr>
                <w:rFonts w:ascii="Arial" w:cs="Arial" w:eastAsia="Arial" w:hAnsi="Arial"/>
                <w:sz w:val="13"/>
                <w:szCs w:val="13"/>
                <w:color w:val="auto"/>
                <w:w w:val="86"/>
              </w:rPr>
              <w:t>Aerospace and Defense</w:t>
            </w:r>
          </w:p>
        </w:tc>
        <w:tc>
          <w:tcPr>
            <w:tcW w:w="940" w:type="dxa"/>
            <w:vAlign w:val="bottom"/>
          </w:tcPr>
          <w:p>
            <w:pPr>
              <w:jc w:val="right"/>
              <w:ind w:right="97"/>
              <w:spacing w:after="0" w:line="121" w:lineRule="exact"/>
              <w:rPr>
                <w:sz w:val="20"/>
                <w:szCs w:val="20"/>
                <w:color w:val="auto"/>
              </w:rPr>
            </w:pPr>
            <w:r>
              <w:rPr>
                <w:rFonts w:ascii="Arial" w:cs="Arial" w:eastAsia="Arial" w:hAnsi="Arial"/>
                <w:sz w:val="13"/>
                <w:szCs w:val="13"/>
                <w:color w:val="auto"/>
              </w:rPr>
              <w:t>6.01%</w:t>
            </w:r>
          </w:p>
        </w:tc>
        <w:tc>
          <w:tcPr>
            <w:tcW w:w="108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L+500</w:t>
            </w:r>
          </w:p>
        </w:tc>
        <w:tc>
          <w:tcPr>
            <w:tcW w:w="68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4,434,295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3,357,949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line="121" w:lineRule="exact"/>
              <w:rPr>
                <w:sz w:val="20"/>
                <w:szCs w:val="20"/>
                <w:color w:val="auto"/>
              </w:rPr>
            </w:pPr>
            <w:r>
              <w:rPr>
                <w:rFonts w:ascii="Arial" w:cs="Arial" w:eastAsia="Arial" w:hAnsi="Arial"/>
                <w:sz w:val="13"/>
                <w:szCs w:val="13"/>
                <w:color w:val="auto"/>
              </w:rPr>
              <w:t>3,946,523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(PIK 1.00%)</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TRAK Acquisition Corp.</w:t>
            </w: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6"/>
              </w:rPr>
              <w:t>04/30/2018</w:t>
            </w:r>
          </w:p>
        </w:tc>
        <w:tc>
          <w:tcPr>
            <w:tcW w:w="20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4"/>
              </w:rPr>
              <w:t>Business Services</w:t>
            </w:r>
          </w:p>
        </w:tc>
        <w:tc>
          <w:tcPr>
            <w:tcW w:w="940" w:type="dxa"/>
            <w:vAlign w:val="bottom"/>
            <w:shd w:val="clear" w:color="auto" w:fill="CCEEFF"/>
          </w:tcPr>
          <w:p>
            <w:pPr>
              <w:jc w:val="right"/>
              <w:ind w:right="97"/>
              <w:spacing w:after="0" w:line="138" w:lineRule="exact"/>
              <w:rPr>
                <w:sz w:val="20"/>
                <w:szCs w:val="20"/>
                <w:color w:val="auto"/>
              </w:rPr>
            </w:pPr>
            <w:r>
              <w:rPr>
                <w:rFonts w:ascii="Arial" w:cs="Arial" w:eastAsia="Arial" w:hAnsi="Arial"/>
                <w:sz w:val="13"/>
                <w:szCs w:val="13"/>
                <w:color w:val="auto"/>
              </w:rPr>
              <w:t>12.00%</w:t>
            </w:r>
          </w:p>
        </w:tc>
        <w:tc>
          <w:tcPr>
            <w:tcW w:w="10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L+1,050</w:t>
            </w:r>
          </w:p>
        </w:tc>
        <w:tc>
          <w:tcPr>
            <w:tcW w:w="6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w w:val="92"/>
              </w:rPr>
              <w:t>22,764,911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w w:val="95"/>
              </w:rPr>
              <w:t>22,613,930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22,764,911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TRAK Acquisition Corp. (Revolver)</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6"/>
              </w:rPr>
              <w:t>11/22/2016</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12.00%</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L+1,050</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3,000,000</w:t>
            </w: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3,000,000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3,000,000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64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52,085,937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53,233,684</w:t>
            </w:r>
          </w:p>
        </w:tc>
        <w:tc>
          <w:tcPr>
            <w:tcW w:w="0" w:type="dxa"/>
            <w:vAlign w:val="bottom"/>
          </w:tcPr>
          <w:p>
            <w:pPr>
              <w:spacing w:after="0"/>
              <w:rPr>
                <w:sz w:val="1"/>
                <w:szCs w:val="1"/>
                <w:color w:val="auto"/>
              </w:rPr>
            </w:pPr>
          </w:p>
        </w:tc>
      </w:tr>
      <w:tr>
        <w:trPr>
          <w:trHeight w:val="142"/>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Second Lien Secured Debt—3.9%</w:t>
            </w: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Inc.</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10/31/2018</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8.50%</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L+700</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2"/>
              </w:rPr>
              <w:t>18,000,000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16,960,967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15,825,060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EnviroSolutions Real Property Holdings, Inc.</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6"/>
              </w:rPr>
              <w:t>12/26/2017</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9.00%</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L+800</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9,409,740</w:t>
            </w: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9,307,548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9,409,740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64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26,268,515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25,234,800</w:t>
            </w:r>
          </w:p>
        </w:tc>
        <w:tc>
          <w:tcPr>
            <w:tcW w:w="0" w:type="dxa"/>
            <w:vAlign w:val="bottom"/>
          </w:tcPr>
          <w:p>
            <w:pPr>
              <w:spacing w:after="0"/>
              <w:rPr>
                <w:sz w:val="1"/>
                <w:szCs w:val="1"/>
                <w:color w:val="auto"/>
              </w:rPr>
            </w:pPr>
          </w:p>
        </w:tc>
      </w:tr>
      <w:tr>
        <w:trPr>
          <w:trHeight w:val="142"/>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Subordinated Debt/Corporate Notes—11.7%</w:t>
            </w: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Affinion International Holdings Limited </w:t>
            </w:r>
            <w:r>
              <w:rPr>
                <w:rFonts w:ascii="Arial" w:cs="Arial" w:eastAsia="Arial" w:hAnsi="Arial"/>
                <w:sz w:val="10"/>
                <w:szCs w:val="10"/>
                <w:color w:val="auto"/>
              </w:rPr>
              <w:t>(5), (9), (12)</w:t>
            </w:r>
          </w:p>
        </w:tc>
        <w:tc>
          <w:tcPr>
            <w:tcW w:w="6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07/30/2018</w:t>
            </w:r>
          </w:p>
        </w:tc>
        <w:tc>
          <w:tcPr>
            <w:tcW w:w="20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Consumer Products</w:t>
            </w:r>
          </w:p>
        </w:tc>
        <w:tc>
          <w:tcPr>
            <w:tcW w:w="94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7.50%</w:t>
            </w:r>
          </w:p>
        </w:tc>
        <w:tc>
          <w:tcPr>
            <w:tcW w:w="108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9,858,025</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8,946,674</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8,995,448</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(PIK 4.00%)</w:t>
            </w: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DirectBuy Holdings, Inc.</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6"/>
              </w:rPr>
              <w:t>11/05/2019</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2"/>
              </w:rPr>
              <w:t>14,735,238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12,340,534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2,799,695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ETX Energy, LLC (f/k/a New Gulf Resources, LLC), Convertible Note </w:t>
            </w:r>
            <w:r>
              <w:rPr>
                <w:rFonts w:ascii="Arial" w:cs="Arial" w:eastAsia="Arial" w:hAnsi="Arial"/>
                <w:sz w:val="10"/>
                <w:szCs w:val="10"/>
                <w:color w:val="auto"/>
              </w:rPr>
              <w:t>(5)</w:t>
            </w:r>
          </w:p>
        </w:tc>
        <w:tc>
          <w:tcPr>
            <w:tcW w:w="6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05/03/2021</w:t>
            </w:r>
          </w:p>
        </w:tc>
        <w:tc>
          <w:tcPr>
            <w:tcW w:w="20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Oil and Gas</w:t>
            </w:r>
          </w:p>
        </w:tc>
        <w:tc>
          <w:tcPr>
            <w:tcW w:w="94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12.50%</w:t>
            </w:r>
          </w:p>
        </w:tc>
        <w:tc>
          <w:tcPr>
            <w:tcW w:w="108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w w:val="92"/>
              </w:rPr>
              <w:t>25,297,664</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w w:val="95"/>
              </w:rPr>
              <w:t>36,473,119</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40"/>
              <w:spacing w:after="0" w:line="121" w:lineRule="exact"/>
              <w:rPr>
                <w:sz w:val="20"/>
                <w:szCs w:val="20"/>
                <w:color w:val="auto"/>
              </w:rPr>
            </w:pPr>
            <w:r>
              <w:rPr>
                <w:rFonts w:ascii="Arial" w:cs="Arial" w:eastAsia="Arial" w:hAnsi="Arial"/>
                <w:sz w:val="13"/>
                <w:szCs w:val="13"/>
                <w:color w:val="auto"/>
              </w:rPr>
              <w:t>35,416,730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(PIK 12.50%)</w:t>
            </w: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Service Champ, Inc.</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6"/>
              </w:rPr>
              <w:t>10/02/2017</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8"/>
              </w:rPr>
              <w:t>Auto Sector</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12.50%</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2"/>
              </w:rPr>
              <w:t>28,000,000</w:t>
            </w: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5"/>
              </w:rPr>
              <w:t>27,841,741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27,908,663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64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85,602,068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75,120,536</w:t>
            </w:r>
          </w:p>
        </w:tc>
        <w:tc>
          <w:tcPr>
            <w:tcW w:w="0" w:type="dxa"/>
            <w:vAlign w:val="bottom"/>
          </w:tcPr>
          <w:p>
            <w:pPr>
              <w:spacing w:after="0"/>
              <w:rPr>
                <w:sz w:val="1"/>
                <w:szCs w:val="1"/>
                <w:color w:val="auto"/>
              </w:rPr>
            </w:pPr>
          </w:p>
        </w:tc>
      </w:tr>
      <w:tr>
        <w:trPr>
          <w:trHeight w:val="142"/>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 xml:space="preserve">Preferred Equity—0.7% </w:t>
            </w:r>
            <w:r>
              <w:rPr>
                <w:rFonts w:ascii="Arial" w:cs="Arial" w:eastAsia="Arial" w:hAnsi="Arial"/>
                <w:sz w:val="10"/>
                <w:szCs w:val="10"/>
                <w:b w:val="1"/>
                <w:bCs w:val="1"/>
                <w:color w:val="auto"/>
              </w:rPr>
              <w:t>(6)</w:t>
            </w: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53,071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20,059,340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4,287,107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 xml:space="preserve">Common Equity/Partnership Interests/Warrants—8.9% </w:t>
            </w:r>
            <w:r>
              <w:rPr>
                <w:rFonts w:ascii="Arial" w:cs="Arial" w:eastAsia="Arial" w:hAnsi="Arial"/>
                <w:sz w:val="10"/>
                <w:szCs w:val="10"/>
                <w:b w:val="1"/>
                <w:bCs w:val="1"/>
                <w:color w:val="auto"/>
              </w:rPr>
              <w:t>(6)</w:t>
            </w: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859,496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30,503,493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32,115,042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Affinion Group Holdings, Inc., Series C and Series D</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37,181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10,265,972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173,844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Corfin InvestCo, L.P.</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11,250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1,125,000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2,330,813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 xml:space="preserve">Corfin InvestCo, L.P. </w:t>
            </w:r>
            <w:r>
              <w:rPr>
                <w:rFonts w:ascii="Arial" w:cs="Arial" w:eastAsia="Arial" w:hAnsi="Arial"/>
                <w:sz w:val="10"/>
                <w:szCs w:val="10"/>
                <w:color w:val="auto"/>
              </w:rPr>
              <w:t>(8)</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11,250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4"/>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DirectBuy Holdings, Inc.</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104,719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21,492,822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DirectBuy Holdings, Inc. (Warrants)</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6"/>
              </w:rPr>
              <w:t>11/05/2022</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15,486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4"/>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EnviroSolutions Holdings, Inc.</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143,668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11,960,702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13,112,260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 xml:space="preserve">ETX Energy, LLC (f/k/a New Gulf Resources, LLC) </w:t>
            </w:r>
            <w:r>
              <w:rPr>
                <w:rFonts w:ascii="Arial" w:cs="Arial" w:eastAsia="Arial" w:hAnsi="Arial"/>
                <w:sz w:val="10"/>
                <w:szCs w:val="10"/>
                <w:color w:val="auto"/>
              </w:rPr>
              <w:t>(10)</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113,610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4"/>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4"/>
              </w:rPr>
              <w:t>ETX Energy Management Company, LLC (f/k/a NGR Management Company</w:t>
            </w:r>
          </w:p>
        </w:tc>
        <w:tc>
          <w:tcPr>
            <w:tcW w:w="6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Oil and Gas</w:t>
            </w:r>
          </w:p>
        </w:tc>
        <w:tc>
          <w:tcPr>
            <w:tcW w:w="94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119,603</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4"/>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 xml:space="preserve">LLC) </w:t>
            </w:r>
            <w:r>
              <w:rPr>
                <w:rFonts w:ascii="Arial" w:cs="Arial" w:eastAsia="Arial" w:hAnsi="Arial"/>
                <w:sz w:val="10"/>
                <w:szCs w:val="10"/>
                <w:color w:val="auto"/>
              </w:rPr>
              <w:t>(10)</w:t>
            </w:r>
          </w:p>
        </w:tc>
        <w:tc>
          <w:tcPr>
            <w:tcW w:w="64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New Service Champ Holdings, Inc.</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8"/>
              </w:rPr>
              <w:t>Auto Sector</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16,800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2,721,600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6,989,362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53,071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202,620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TRAK Acquisition Corp.</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202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491,755</w:t>
            </w: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188,837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2,595,099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64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78,461,046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57,316,420</w:t>
            </w:r>
          </w:p>
        </w:tc>
        <w:tc>
          <w:tcPr>
            <w:tcW w:w="0" w:type="dxa"/>
            <w:vAlign w:val="bottom"/>
          </w:tcPr>
          <w:p>
            <w:pPr>
              <w:spacing w:after="0"/>
              <w:rPr>
                <w:sz w:val="1"/>
                <w:szCs w:val="1"/>
                <w:color w:val="auto"/>
              </w:rPr>
            </w:pPr>
          </w:p>
        </w:tc>
      </w:tr>
      <w:tr>
        <w:trPr>
          <w:trHeight w:val="142"/>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Investments in Non-Controlled, Affiliated Portfolio Companies</w:t>
            </w: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262,476,906</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215,192,547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F-32</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1"/>
              </w:rPr>
              <w:t>Basis Point</w:t>
            </w: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6"/>
              </w:rPr>
              <w:t>Spread</w:t>
            </w: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96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Maturity /</w:t>
            </w:r>
          </w:p>
        </w:tc>
        <w:tc>
          <w:tcPr>
            <w:tcW w:w="1560" w:type="dxa"/>
            <w:vAlign w:val="bottom"/>
          </w:tcPr>
          <w:p>
            <w:pPr>
              <w:ind w:left="540"/>
              <w:spacing w:after="0" w:line="135" w:lineRule="exact"/>
              <w:rPr>
                <w:sz w:val="20"/>
                <w:szCs w:val="20"/>
                <w:color w:val="auto"/>
              </w:rPr>
            </w:pPr>
            <w:r>
              <w:rPr>
                <w:rFonts w:ascii="Arial" w:cs="Arial" w:eastAsia="Arial" w:hAnsi="Arial"/>
                <w:sz w:val="13"/>
                <w:szCs w:val="13"/>
                <w:b w:val="1"/>
                <w:bCs w:val="1"/>
                <w:color w:val="auto"/>
              </w:rPr>
              <w:t>Industry</w:t>
            </w:r>
          </w:p>
        </w:tc>
        <w:tc>
          <w:tcPr>
            <w:tcW w:w="1240" w:type="dxa"/>
            <w:vAlign w:val="bottom"/>
          </w:tcPr>
          <w:p>
            <w:pPr>
              <w:ind w:left="300"/>
              <w:spacing w:after="0" w:line="135" w:lineRule="exact"/>
              <w:rPr>
                <w:sz w:val="20"/>
                <w:szCs w:val="20"/>
                <w:color w:val="auto"/>
              </w:rPr>
            </w:pPr>
            <w:r>
              <w:rPr>
                <w:rFonts w:ascii="Arial" w:cs="Arial" w:eastAsia="Arial" w:hAnsi="Arial"/>
                <w:sz w:val="13"/>
                <w:szCs w:val="13"/>
                <w:b w:val="1"/>
                <w:bCs w:val="1"/>
                <w:color w:val="auto"/>
              </w:rPr>
              <w:t>Current</w:t>
            </w:r>
          </w:p>
        </w:tc>
        <w:tc>
          <w:tcPr>
            <w:tcW w:w="1380" w:type="dxa"/>
            <w:vAlign w:val="bottom"/>
            <w:gridSpan w:val="2"/>
          </w:tcPr>
          <w:p>
            <w:pPr>
              <w:ind w:left="340"/>
              <w:spacing w:after="0" w:line="135" w:lineRule="exact"/>
              <w:rPr>
                <w:sz w:val="20"/>
                <w:szCs w:val="20"/>
                <w:color w:val="auto"/>
              </w:rPr>
            </w:pPr>
            <w:r>
              <w:rPr>
                <w:rFonts w:ascii="Arial" w:cs="Arial" w:eastAsia="Arial" w:hAnsi="Arial"/>
                <w:sz w:val="13"/>
                <w:szCs w:val="13"/>
                <w:b w:val="1"/>
                <w:bCs w:val="1"/>
                <w:color w:val="auto"/>
              </w:rPr>
              <w:t>Above</w:t>
            </w:r>
          </w:p>
        </w:tc>
        <w:tc>
          <w:tcPr>
            <w:tcW w:w="960" w:type="dxa"/>
            <w:vAlign w:val="bottom"/>
            <w:gridSpan w:val="2"/>
          </w:tcPr>
          <w:p>
            <w:pPr>
              <w:jc w:val="right"/>
              <w:ind w:right="520"/>
              <w:spacing w:after="0" w:line="135" w:lineRule="exact"/>
              <w:rPr>
                <w:sz w:val="20"/>
                <w:szCs w:val="20"/>
                <w:color w:val="auto"/>
              </w:rPr>
            </w:pPr>
            <w:r>
              <w:rPr>
                <w:rFonts w:ascii="Arial" w:cs="Arial" w:eastAsia="Arial" w:hAnsi="Arial"/>
                <w:sz w:val="13"/>
                <w:szCs w:val="13"/>
                <w:b w:val="1"/>
                <w:bCs w:val="1"/>
                <w:color w:val="auto"/>
              </w:rPr>
              <w:t>Par /</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80" w:type="dxa"/>
            <w:vAlign w:val="bottom"/>
            <w:gridSpan w:val="2"/>
            <w:vMerge w:val="continue"/>
          </w:tcPr>
          <w:p>
            <w:pPr>
              <w:spacing w:after="0"/>
              <w:rPr>
                <w:sz w:val="13"/>
                <w:szCs w:val="13"/>
                <w:color w:val="auto"/>
              </w:rPr>
            </w:pPr>
          </w:p>
        </w:tc>
        <w:tc>
          <w:tcPr>
            <w:tcW w:w="960" w:type="dxa"/>
            <w:vAlign w:val="bottom"/>
          </w:tcPr>
          <w:p>
            <w:pPr>
              <w:ind w:left="120"/>
              <w:spacing w:after="0"/>
              <w:rPr>
                <w:sz w:val="20"/>
                <w:szCs w:val="20"/>
                <w:color w:val="auto"/>
              </w:rPr>
            </w:pPr>
            <w:r>
              <w:rPr>
                <w:rFonts w:ascii="Arial" w:cs="Arial" w:eastAsia="Arial" w:hAnsi="Arial"/>
                <w:sz w:val="13"/>
                <w:szCs w:val="13"/>
                <w:b w:val="1"/>
                <w:bCs w:val="1"/>
                <w:color w:val="auto"/>
              </w:rPr>
              <w:t>Expiration</w:t>
            </w:r>
          </w:p>
        </w:tc>
        <w:tc>
          <w:tcPr>
            <w:tcW w:w="1560" w:type="dxa"/>
            <w:vAlign w:val="bottom"/>
          </w:tcPr>
          <w:p>
            <w:pPr>
              <w:spacing w:after="0"/>
              <w:rPr>
                <w:sz w:val="13"/>
                <w:szCs w:val="13"/>
                <w:color w:val="auto"/>
              </w:rPr>
            </w:pPr>
          </w:p>
        </w:tc>
        <w:tc>
          <w:tcPr>
            <w:tcW w:w="1240" w:type="dxa"/>
            <w:vAlign w:val="bottom"/>
          </w:tcPr>
          <w:p>
            <w:pPr>
              <w:ind w:left="320"/>
              <w:spacing w:after="0"/>
              <w:rPr>
                <w:sz w:val="20"/>
                <w:szCs w:val="20"/>
                <w:color w:val="auto"/>
              </w:rPr>
            </w:pPr>
            <w:r>
              <w:rPr>
                <w:rFonts w:ascii="Arial" w:cs="Arial" w:eastAsia="Arial" w:hAnsi="Arial"/>
                <w:sz w:val="13"/>
                <w:szCs w:val="13"/>
                <w:b w:val="1"/>
                <w:bCs w:val="1"/>
                <w:color w:val="auto"/>
              </w:rPr>
              <w:t>Coupon</w:t>
            </w:r>
          </w:p>
        </w:tc>
        <w:tc>
          <w:tcPr>
            <w:tcW w:w="13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96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2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3"/>
              </w:rPr>
              <w:t xml:space="preserve">Investments in Controlled, Affiliated Portfolio Companies—19.4% </w:t>
            </w:r>
            <w:r>
              <w:rPr>
                <w:rFonts w:ascii="Arial" w:cs="Arial" w:eastAsia="Arial" w:hAnsi="Arial"/>
                <w:sz w:val="10"/>
                <w:szCs w:val="10"/>
                <w:b w:val="1"/>
                <w:bCs w:val="1"/>
                <w:color w:val="auto"/>
                <w:w w:val="93"/>
              </w:rPr>
              <w:t>(1), (2)</w:t>
            </w:r>
          </w:p>
        </w:tc>
        <w:tc>
          <w:tcPr>
            <w:tcW w:w="156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Debt—14.7%</w:t>
            </w:r>
          </w:p>
        </w:tc>
        <w:tc>
          <w:tcPr>
            <w:tcW w:w="9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RAM Energy LLC</w:t>
            </w:r>
          </w:p>
        </w:tc>
        <w:tc>
          <w:tcPr>
            <w:tcW w:w="960" w:type="dxa"/>
            <w:vAlign w:val="bottom"/>
            <w:shd w:val="clear" w:color="auto" w:fill="CCEEFF"/>
          </w:tcPr>
          <w:p>
            <w:pPr>
              <w:jc w:val="center"/>
              <w:ind w:right="37"/>
              <w:spacing w:after="0" w:line="121" w:lineRule="exact"/>
              <w:rPr>
                <w:sz w:val="20"/>
                <w:szCs w:val="20"/>
                <w:color w:val="auto"/>
              </w:rPr>
            </w:pPr>
            <w:r>
              <w:rPr>
                <w:rFonts w:ascii="Arial" w:cs="Arial" w:eastAsia="Arial" w:hAnsi="Arial"/>
                <w:sz w:val="13"/>
                <w:szCs w:val="13"/>
                <w:color w:val="auto"/>
                <w:w w:val="89"/>
              </w:rPr>
              <w:t>07/18/2019</w:t>
            </w:r>
          </w:p>
        </w:tc>
        <w:tc>
          <w:tcPr>
            <w:tcW w:w="1560" w:type="dxa"/>
            <w:vAlign w:val="bottom"/>
            <w:shd w:val="clear" w:color="auto" w:fill="CCEEFF"/>
          </w:tcPr>
          <w:p>
            <w:pPr>
              <w:jc w:val="center"/>
              <w:ind w:right="37"/>
              <w:spacing w:after="0" w:line="121" w:lineRule="exact"/>
              <w:rPr>
                <w:sz w:val="20"/>
                <w:szCs w:val="20"/>
                <w:color w:val="auto"/>
              </w:rPr>
            </w:pPr>
            <w:r>
              <w:rPr>
                <w:rFonts w:ascii="Arial" w:cs="Arial" w:eastAsia="Arial" w:hAnsi="Arial"/>
                <w:sz w:val="13"/>
                <w:szCs w:val="13"/>
                <w:color w:val="auto"/>
                <w:w w:val="91"/>
              </w:rPr>
              <w:t>Energy and Utilities</w:t>
            </w:r>
          </w:p>
        </w:tc>
        <w:tc>
          <w:tcPr>
            <w:tcW w:w="124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10.00%</w:t>
            </w:r>
          </w:p>
        </w:tc>
        <w:tc>
          <w:tcPr>
            <w:tcW w:w="1380" w:type="dxa"/>
            <w:vAlign w:val="bottom"/>
            <w:gridSpan w:val="2"/>
            <w:shd w:val="clear" w:color="auto" w:fill="CCEEFF"/>
          </w:tcPr>
          <w:p>
            <w:pPr>
              <w:jc w:val="right"/>
              <w:ind w:right="420"/>
              <w:spacing w:after="0" w:line="121" w:lineRule="exact"/>
              <w:rPr>
                <w:sz w:val="20"/>
                <w:szCs w:val="20"/>
                <w:color w:val="auto"/>
              </w:rPr>
            </w:pPr>
            <w:r>
              <w:rPr>
                <w:rFonts w:ascii="Arial" w:cs="Arial" w:eastAsia="Arial" w:hAnsi="Arial"/>
                <w:sz w:val="13"/>
                <w:szCs w:val="13"/>
                <w:color w:val="auto"/>
              </w:rPr>
              <w:t>L+800</w:t>
            </w:r>
          </w:p>
        </w:tc>
        <w:tc>
          <w:tcPr>
            <w:tcW w:w="960" w:type="dxa"/>
            <w:vAlign w:val="bottom"/>
            <w:gridSpan w:val="2"/>
            <w:shd w:val="clear" w:color="auto" w:fill="CCEEFF"/>
          </w:tcPr>
          <w:p>
            <w:pPr>
              <w:jc w:val="right"/>
              <w:ind w:right="340"/>
              <w:spacing w:after="0" w:line="121" w:lineRule="exact"/>
              <w:rPr>
                <w:sz w:val="20"/>
                <w:szCs w:val="20"/>
                <w:color w:val="auto"/>
              </w:rPr>
            </w:pPr>
            <w:r>
              <w:rPr>
                <w:rFonts w:ascii="Arial" w:cs="Arial" w:eastAsia="Arial" w:hAnsi="Arial"/>
                <w:sz w:val="13"/>
                <w:szCs w:val="13"/>
                <w:color w:val="auto"/>
                <w:w w:val="92"/>
              </w:rPr>
              <w:t>84,606,067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60" w:type="dxa"/>
            <w:vAlign w:val="bottom"/>
            <w:gridSpan w:val="2"/>
            <w:shd w:val="clear" w:color="auto" w:fill="CCEEFF"/>
          </w:tcPr>
          <w:p>
            <w:pPr>
              <w:jc w:val="right"/>
              <w:ind w:right="340"/>
              <w:spacing w:after="0" w:line="121" w:lineRule="exact"/>
              <w:rPr>
                <w:sz w:val="20"/>
                <w:szCs w:val="20"/>
                <w:color w:val="auto"/>
              </w:rPr>
            </w:pPr>
            <w:r>
              <w:rPr>
                <w:rFonts w:ascii="Arial" w:cs="Arial" w:eastAsia="Arial" w:hAnsi="Arial"/>
                <w:sz w:val="13"/>
                <w:szCs w:val="13"/>
                <w:color w:val="auto"/>
              </w:rPr>
              <w:t>83,653,689</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68,319,399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2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(PIK 10.00%)</w:t>
            </w: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60" w:type="dxa"/>
            <w:vAlign w:val="bottom"/>
          </w:tcPr>
          <w:p>
            <w:pPr>
              <w:spacing w:after="0" w:line="121" w:lineRule="exact"/>
              <w:rPr>
                <w:sz w:val="20"/>
                <w:szCs w:val="20"/>
                <w:color w:val="auto"/>
              </w:rPr>
            </w:pPr>
            <w:r>
              <w:rPr>
                <w:rFonts w:ascii="Arial" w:cs="Arial" w:eastAsia="Arial" w:hAnsi="Arial"/>
                <w:sz w:val="13"/>
                <w:szCs w:val="13"/>
                <w:color w:val="auto"/>
              </w:rPr>
              <w:t>Superior Digital Displays, LLC</w:t>
            </w:r>
          </w:p>
        </w:tc>
        <w:tc>
          <w:tcPr>
            <w:tcW w:w="960" w:type="dxa"/>
            <w:vAlign w:val="bottom"/>
          </w:tcPr>
          <w:p>
            <w:pPr>
              <w:jc w:val="center"/>
              <w:ind w:right="37"/>
              <w:spacing w:after="0" w:line="121" w:lineRule="exact"/>
              <w:rPr>
                <w:sz w:val="20"/>
                <w:szCs w:val="20"/>
                <w:color w:val="auto"/>
              </w:rPr>
            </w:pPr>
            <w:r>
              <w:rPr>
                <w:rFonts w:ascii="Arial" w:cs="Arial" w:eastAsia="Arial" w:hAnsi="Arial"/>
                <w:sz w:val="13"/>
                <w:szCs w:val="13"/>
                <w:color w:val="auto"/>
                <w:w w:val="89"/>
              </w:rPr>
              <w:t>12/31/2018</w:t>
            </w:r>
          </w:p>
        </w:tc>
        <w:tc>
          <w:tcPr>
            <w:tcW w:w="1560" w:type="dxa"/>
            <w:vAlign w:val="bottom"/>
          </w:tcPr>
          <w:p>
            <w:pPr>
              <w:jc w:val="center"/>
              <w:ind w:right="37"/>
              <w:spacing w:after="0" w:line="121" w:lineRule="exact"/>
              <w:rPr>
                <w:sz w:val="20"/>
                <w:szCs w:val="20"/>
                <w:color w:val="auto"/>
              </w:rPr>
            </w:pPr>
            <w:r>
              <w:rPr>
                <w:rFonts w:ascii="Arial" w:cs="Arial" w:eastAsia="Arial" w:hAnsi="Arial"/>
                <w:sz w:val="13"/>
                <w:szCs w:val="13"/>
                <w:color w:val="auto"/>
                <w:w w:val="95"/>
              </w:rPr>
              <w:t>Media</w:t>
            </w:r>
          </w:p>
        </w:tc>
        <w:tc>
          <w:tcPr>
            <w:tcW w:w="124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14.00%</w:t>
            </w:r>
          </w:p>
        </w:tc>
        <w:tc>
          <w:tcPr>
            <w:tcW w:w="1380" w:type="dxa"/>
            <w:vAlign w:val="bottom"/>
            <w:gridSpan w:val="2"/>
          </w:tcPr>
          <w:p>
            <w:pPr>
              <w:jc w:val="right"/>
              <w:ind w:right="420"/>
              <w:spacing w:after="0" w:line="121" w:lineRule="exact"/>
              <w:rPr>
                <w:sz w:val="20"/>
                <w:szCs w:val="20"/>
                <w:color w:val="auto"/>
              </w:rPr>
            </w:pPr>
            <w:r>
              <w:rPr>
                <w:rFonts w:ascii="Arial" w:cs="Arial" w:eastAsia="Arial" w:hAnsi="Arial"/>
                <w:sz w:val="13"/>
                <w:szCs w:val="13"/>
                <w:color w:val="auto"/>
              </w:rPr>
              <w:t>L+1,300</w:t>
            </w:r>
          </w:p>
        </w:tc>
        <w:tc>
          <w:tcPr>
            <w:tcW w:w="960" w:type="dxa"/>
            <w:vAlign w:val="bottom"/>
            <w:gridSpan w:val="2"/>
          </w:tcPr>
          <w:p>
            <w:pPr>
              <w:jc w:val="right"/>
              <w:ind w:right="340"/>
              <w:spacing w:after="0" w:line="121" w:lineRule="exact"/>
              <w:rPr>
                <w:sz w:val="20"/>
                <w:szCs w:val="20"/>
                <w:color w:val="auto"/>
              </w:rPr>
            </w:pPr>
            <w:r>
              <w:rPr>
                <w:rFonts w:ascii="Arial" w:cs="Arial" w:eastAsia="Arial" w:hAnsi="Arial"/>
                <w:sz w:val="13"/>
                <w:szCs w:val="13"/>
                <w:color w:val="auto"/>
                <w:w w:val="92"/>
              </w:rPr>
              <w:t>26,516,321</w:t>
            </w:r>
          </w:p>
        </w:tc>
        <w:tc>
          <w:tcPr>
            <w:tcW w:w="80" w:type="dxa"/>
            <w:vAlign w:val="bottom"/>
          </w:tcPr>
          <w:p>
            <w:pPr>
              <w:spacing w:after="0"/>
              <w:rPr>
                <w:sz w:val="10"/>
                <w:szCs w:val="10"/>
                <w:color w:val="auto"/>
              </w:rPr>
            </w:pPr>
          </w:p>
        </w:tc>
        <w:tc>
          <w:tcPr>
            <w:tcW w:w="1060" w:type="dxa"/>
            <w:vAlign w:val="bottom"/>
            <w:gridSpan w:val="2"/>
          </w:tcPr>
          <w:p>
            <w:pPr>
              <w:jc w:val="right"/>
              <w:ind w:right="340"/>
              <w:spacing w:after="0" w:line="121" w:lineRule="exact"/>
              <w:rPr>
                <w:sz w:val="20"/>
                <w:szCs w:val="20"/>
                <w:color w:val="auto"/>
              </w:rPr>
            </w:pPr>
            <w:r>
              <w:rPr>
                <w:rFonts w:ascii="Arial" w:cs="Arial" w:eastAsia="Arial" w:hAnsi="Arial"/>
                <w:sz w:val="13"/>
                <w:szCs w:val="13"/>
                <w:color w:val="auto"/>
              </w:rPr>
              <w:t>24,845,647</w:t>
            </w:r>
          </w:p>
        </w:tc>
        <w:tc>
          <w:tcPr>
            <w:tcW w:w="80" w:type="dxa"/>
            <w:vAlign w:val="bottom"/>
          </w:tcPr>
          <w:p>
            <w:pPr>
              <w:spacing w:after="0"/>
              <w:rPr>
                <w:sz w:val="10"/>
                <w:szCs w:val="10"/>
                <w:color w:val="auto"/>
              </w:rPr>
            </w:pPr>
          </w:p>
        </w:tc>
        <w:tc>
          <w:tcPr>
            <w:tcW w:w="9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26,516,321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tcPr>
          <w:p>
            <w:pPr>
              <w:ind w:left="320"/>
              <w:spacing w:after="0"/>
              <w:rPr>
                <w:sz w:val="20"/>
                <w:szCs w:val="20"/>
                <w:color w:val="auto"/>
              </w:rPr>
            </w:pPr>
            <w:r>
              <w:rPr>
                <w:rFonts w:ascii="Arial" w:cs="Arial" w:eastAsia="Arial" w:hAnsi="Arial"/>
                <w:sz w:val="13"/>
                <w:szCs w:val="13"/>
                <w:color w:val="auto"/>
              </w:rPr>
              <w:t>(PIK 14.00%)</w:t>
            </w: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96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w w:val="96"/>
              </w:rPr>
              <w:t>108,499,336</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94,835,720</w:t>
            </w:r>
          </w:p>
        </w:tc>
        <w:tc>
          <w:tcPr>
            <w:tcW w:w="0" w:type="dxa"/>
            <w:vAlign w:val="bottom"/>
          </w:tcPr>
          <w:p>
            <w:pPr>
              <w:spacing w:after="0"/>
              <w:rPr>
                <w:sz w:val="1"/>
                <w:szCs w:val="1"/>
                <w:color w:val="auto"/>
              </w:rPr>
            </w:pPr>
          </w:p>
        </w:tc>
      </w:tr>
      <w:tr>
        <w:trPr>
          <w:trHeight w:val="142"/>
        </w:trPr>
        <w:tc>
          <w:tcPr>
            <w:tcW w:w="31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Second Lien Secured Debt—1.2%</w:t>
            </w:r>
          </w:p>
        </w:tc>
        <w:tc>
          <w:tcPr>
            <w:tcW w:w="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Superior Digital Displays, LLC</w:t>
            </w:r>
          </w:p>
        </w:tc>
        <w:tc>
          <w:tcPr>
            <w:tcW w:w="960" w:type="dxa"/>
            <w:vAlign w:val="bottom"/>
            <w:shd w:val="clear" w:color="auto" w:fill="CCEEFF"/>
          </w:tcPr>
          <w:p>
            <w:pPr>
              <w:jc w:val="center"/>
              <w:ind w:right="37"/>
              <w:spacing w:after="0" w:line="121" w:lineRule="exact"/>
              <w:rPr>
                <w:sz w:val="20"/>
                <w:szCs w:val="20"/>
                <w:color w:val="auto"/>
              </w:rPr>
            </w:pPr>
            <w:r>
              <w:rPr>
                <w:rFonts w:ascii="Arial" w:cs="Arial" w:eastAsia="Arial" w:hAnsi="Arial"/>
                <w:sz w:val="13"/>
                <w:szCs w:val="13"/>
                <w:color w:val="auto"/>
                <w:w w:val="89"/>
              </w:rPr>
              <w:t>07/01/2019</w:t>
            </w:r>
          </w:p>
        </w:tc>
        <w:tc>
          <w:tcPr>
            <w:tcW w:w="1560" w:type="dxa"/>
            <w:vAlign w:val="bottom"/>
            <w:shd w:val="clear" w:color="auto" w:fill="CCEEFF"/>
          </w:tcPr>
          <w:p>
            <w:pPr>
              <w:jc w:val="center"/>
              <w:ind w:right="37"/>
              <w:spacing w:after="0" w:line="121" w:lineRule="exact"/>
              <w:rPr>
                <w:sz w:val="20"/>
                <w:szCs w:val="20"/>
                <w:color w:val="auto"/>
              </w:rPr>
            </w:pPr>
            <w:r>
              <w:rPr>
                <w:rFonts w:ascii="Arial" w:cs="Arial" w:eastAsia="Arial" w:hAnsi="Arial"/>
                <w:sz w:val="13"/>
                <w:szCs w:val="13"/>
                <w:color w:val="auto"/>
                <w:w w:val="95"/>
              </w:rPr>
              <w:t>Media</w:t>
            </w:r>
          </w:p>
        </w:tc>
        <w:tc>
          <w:tcPr>
            <w:tcW w:w="124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16.00%</w:t>
            </w:r>
          </w:p>
        </w:tc>
        <w:tc>
          <w:tcPr>
            <w:tcW w:w="1380" w:type="dxa"/>
            <w:vAlign w:val="bottom"/>
            <w:gridSpan w:val="2"/>
            <w:shd w:val="clear" w:color="auto" w:fill="CCEEFF"/>
          </w:tcPr>
          <w:p>
            <w:pPr>
              <w:jc w:val="right"/>
              <w:ind w:right="420"/>
              <w:spacing w:after="0" w:line="121" w:lineRule="exact"/>
              <w:rPr>
                <w:sz w:val="20"/>
                <w:szCs w:val="20"/>
                <w:color w:val="auto"/>
              </w:rPr>
            </w:pPr>
            <w:r>
              <w:rPr>
                <w:rFonts w:ascii="Arial" w:cs="Arial" w:eastAsia="Arial" w:hAnsi="Arial"/>
                <w:sz w:val="13"/>
                <w:szCs w:val="13"/>
                <w:color w:val="auto"/>
              </w:rPr>
              <w:t>L+1,500</w:t>
            </w:r>
          </w:p>
        </w:tc>
        <w:tc>
          <w:tcPr>
            <w:tcW w:w="960" w:type="dxa"/>
            <w:vAlign w:val="bottom"/>
            <w:gridSpan w:val="2"/>
            <w:shd w:val="clear" w:color="auto" w:fill="CCEEFF"/>
          </w:tcPr>
          <w:p>
            <w:pPr>
              <w:jc w:val="right"/>
              <w:ind w:right="340"/>
              <w:spacing w:after="0" w:line="121" w:lineRule="exact"/>
              <w:rPr>
                <w:sz w:val="20"/>
                <w:szCs w:val="20"/>
                <w:color w:val="auto"/>
              </w:rPr>
            </w:pPr>
            <w:r>
              <w:rPr>
                <w:rFonts w:ascii="Arial" w:cs="Arial" w:eastAsia="Arial" w:hAnsi="Arial"/>
                <w:sz w:val="13"/>
                <w:szCs w:val="13"/>
                <w:color w:val="auto"/>
              </w:rPr>
              <w:t>8,675,815</w:t>
            </w:r>
          </w:p>
        </w:tc>
        <w:tc>
          <w:tcPr>
            <w:tcW w:w="8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340"/>
              <w:spacing w:after="0" w:line="121" w:lineRule="exact"/>
              <w:rPr>
                <w:sz w:val="20"/>
                <w:szCs w:val="20"/>
                <w:color w:val="auto"/>
              </w:rPr>
            </w:pPr>
            <w:r>
              <w:rPr>
                <w:rFonts w:ascii="Arial" w:cs="Arial" w:eastAsia="Arial" w:hAnsi="Arial"/>
                <w:sz w:val="13"/>
                <w:szCs w:val="13"/>
                <w:color w:val="auto"/>
              </w:rPr>
              <w:t>8,675,815</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7,346,315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2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(PIK 16.00%)</w:t>
            </w: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 xml:space="preserve">Preferred Equity—3.1% </w:t>
            </w:r>
            <w:r>
              <w:rPr>
                <w:rFonts w:ascii="Arial" w:cs="Arial" w:eastAsia="Arial" w:hAnsi="Arial"/>
                <w:sz w:val="10"/>
                <w:szCs w:val="10"/>
                <w:b w:val="1"/>
                <w:bCs w:val="1"/>
                <w:color w:val="auto"/>
              </w:rPr>
              <w:t>(6)</w:t>
            </w:r>
          </w:p>
        </w:tc>
        <w:tc>
          <w:tcPr>
            <w:tcW w:w="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MidOcean JF Holdings Corp.</w:t>
            </w:r>
          </w:p>
        </w:tc>
        <w:tc>
          <w:tcPr>
            <w:tcW w:w="960" w:type="dxa"/>
            <w:vAlign w:val="bottom"/>
            <w:shd w:val="clear" w:color="auto" w:fill="CCEEFF"/>
          </w:tcPr>
          <w:p>
            <w:pPr>
              <w:jc w:val="center"/>
              <w:ind w:right="37"/>
              <w:spacing w:after="0" w:line="135" w:lineRule="exact"/>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center"/>
              <w:ind w:right="37"/>
              <w:spacing w:after="0" w:line="135" w:lineRule="exact"/>
              <w:rPr>
                <w:sz w:val="20"/>
                <w:szCs w:val="20"/>
                <w:color w:val="auto"/>
              </w:rPr>
            </w:pPr>
            <w:r>
              <w:rPr>
                <w:rFonts w:ascii="Arial" w:cs="Arial" w:eastAsia="Arial" w:hAnsi="Arial"/>
                <w:sz w:val="13"/>
                <w:szCs w:val="13"/>
                <w:color w:val="auto"/>
                <w:w w:val="95"/>
              </w:rPr>
              <w:t>Distribution</w:t>
            </w:r>
          </w:p>
        </w:tc>
        <w:tc>
          <w:tcPr>
            <w:tcW w:w="124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143,183</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14,318,325</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20,151,529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960" w:type="dxa"/>
            <w:vAlign w:val="bottom"/>
          </w:tcPr>
          <w:p>
            <w:pPr>
              <w:jc w:val="center"/>
              <w:ind w:right="37"/>
              <w:spacing w:after="0" w:line="135" w:lineRule="exact"/>
              <w:rPr>
                <w:sz w:val="20"/>
                <w:szCs w:val="20"/>
                <w:color w:val="auto"/>
              </w:rPr>
            </w:pPr>
            <w:r>
              <w:rPr>
                <w:rFonts w:ascii="Arial" w:cs="Arial" w:eastAsia="Arial" w:hAnsi="Arial"/>
                <w:sz w:val="13"/>
                <w:szCs w:val="13"/>
                <w:color w:val="auto"/>
              </w:rPr>
              <w:t>—</w:t>
            </w:r>
          </w:p>
        </w:tc>
        <w:tc>
          <w:tcPr>
            <w:tcW w:w="156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95"/>
              </w:rPr>
              <w:t>Media</w:t>
            </w:r>
          </w:p>
        </w:tc>
        <w:tc>
          <w:tcPr>
            <w:tcW w:w="12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15.00%</w:t>
            </w:r>
          </w:p>
        </w:tc>
        <w:tc>
          <w:tcPr>
            <w:tcW w:w="1380" w:type="dxa"/>
            <w:vAlign w:val="bottom"/>
            <w:gridSpan w:val="2"/>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103,916</w:t>
            </w:r>
          </w:p>
        </w:tc>
        <w:tc>
          <w:tcPr>
            <w:tcW w:w="80" w:type="dxa"/>
            <w:vAlign w:val="bottom"/>
          </w:tcPr>
          <w:p>
            <w:pPr>
              <w:spacing w:after="0"/>
              <w:rPr>
                <w:sz w:val="11"/>
                <w:szCs w:val="11"/>
                <w:color w:val="auto"/>
              </w:rPr>
            </w:pPr>
          </w:p>
        </w:tc>
        <w:tc>
          <w:tcPr>
            <w:tcW w:w="106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7,000,000</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Preferred Equity</w:t>
            </w:r>
          </w:p>
        </w:tc>
        <w:tc>
          <w:tcPr>
            <w:tcW w:w="96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21,318,325</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20,151,529</w:t>
            </w:r>
          </w:p>
        </w:tc>
        <w:tc>
          <w:tcPr>
            <w:tcW w:w="0" w:type="dxa"/>
            <w:vAlign w:val="bottom"/>
          </w:tcPr>
          <w:p>
            <w:pPr>
              <w:spacing w:after="0"/>
              <w:rPr>
                <w:sz w:val="1"/>
                <w:szCs w:val="1"/>
                <w:color w:val="auto"/>
              </w:rPr>
            </w:pPr>
          </w:p>
        </w:tc>
      </w:tr>
      <w:tr>
        <w:trPr>
          <w:trHeight w:val="142"/>
        </w:trPr>
        <w:tc>
          <w:tcPr>
            <w:tcW w:w="31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 xml:space="preserve">Common Equity—0.4% </w:t>
            </w:r>
            <w:r>
              <w:rPr>
                <w:rFonts w:ascii="Arial" w:cs="Arial" w:eastAsia="Arial" w:hAnsi="Arial"/>
                <w:sz w:val="10"/>
                <w:szCs w:val="10"/>
                <w:b w:val="1"/>
                <w:bCs w:val="1"/>
                <w:color w:val="auto"/>
              </w:rPr>
              <w:t>(6)</w:t>
            </w:r>
          </w:p>
        </w:tc>
        <w:tc>
          <w:tcPr>
            <w:tcW w:w="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MidOcean JF Holdings Corp.</w:t>
            </w:r>
          </w:p>
        </w:tc>
        <w:tc>
          <w:tcPr>
            <w:tcW w:w="960" w:type="dxa"/>
            <w:vAlign w:val="bottom"/>
            <w:shd w:val="clear" w:color="auto" w:fill="CCEEFF"/>
          </w:tcPr>
          <w:p>
            <w:pPr>
              <w:jc w:val="center"/>
              <w:ind w:right="37"/>
              <w:spacing w:after="0" w:line="135" w:lineRule="exact"/>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center"/>
              <w:ind w:right="37"/>
              <w:spacing w:after="0" w:line="135" w:lineRule="exact"/>
              <w:rPr>
                <w:sz w:val="20"/>
                <w:szCs w:val="20"/>
                <w:color w:val="auto"/>
              </w:rPr>
            </w:pPr>
            <w:r>
              <w:rPr>
                <w:rFonts w:ascii="Arial" w:cs="Arial" w:eastAsia="Arial" w:hAnsi="Arial"/>
                <w:sz w:val="13"/>
                <w:szCs w:val="13"/>
                <w:color w:val="auto"/>
                <w:w w:val="95"/>
              </w:rPr>
              <w:t>Distribution</w:t>
            </w:r>
          </w:p>
        </w:tc>
        <w:tc>
          <w:tcPr>
            <w:tcW w:w="124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65,933</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24,761,831</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2,686,073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RAM Energy Holdings LLC</w:t>
            </w:r>
          </w:p>
        </w:tc>
        <w:tc>
          <w:tcPr>
            <w:tcW w:w="960" w:type="dxa"/>
            <w:vAlign w:val="bottom"/>
          </w:tcPr>
          <w:p>
            <w:pPr>
              <w:jc w:val="center"/>
              <w:ind w:right="37"/>
              <w:spacing w:after="0" w:line="135" w:lineRule="exact"/>
              <w:rPr>
                <w:sz w:val="20"/>
                <w:szCs w:val="20"/>
                <w:color w:val="auto"/>
              </w:rPr>
            </w:pPr>
            <w:r>
              <w:rPr>
                <w:rFonts w:ascii="Arial" w:cs="Arial" w:eastAsia="Arial" w:hAnsi="Arial"/>
                <w:sz w:val="13"/>
                <w:szCs w:val="13"/>
                <w:color w:val="auto"/>
              </w:rPr>
              <w:t>—</w:t>
            </w:r>
          </w:p>
        </w:tc>
        <w:tc>
          <w:tcPr>
            <w:tcW w:w="156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91"/>
              </w:rPr>
              <w:t>Energy and Utilities</w:t>
            </w:r>
          </w:p>
        </w:tc>
        <w:tc>
          <w:tcPr>
            <w:tcW w:w="1240" w:type="dxa"/>
            <w:vAlign w:val="bottom"/>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23,141</w:t>
            </w:r>
          </w:p>
        </w:tc>
        <w:tc>
          <w:tcPr>
            <w:tcW w:w="80" w:type="dxa"/>
            <w:vAlign w:val="bottom"/>
          </w:tcPr>
          <w:p>
            <w:pPr>
              <w:spacing w:after="0"/>
              <w:rPr>
                <w:sz w:val="11"/>
                <w:szCs w:val="11"/>
                <w:color w:val="auto"/>
              </w:rPr>
            </w:pPr>
          </w:p>
        </w:tc>
        <w:tc>
          <w:tcPr>
            <w:tcW w:w="106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20,824,388</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960" w:type="dxa"/>
            <w:vAlign w:val="bottom"/>
            <w:shd w:val="clear" w:color="auto" w:fill="CCEEFF"/>
          </w:tcPr>
          <w:p>
            <w:pPr>
              <w:jc w:val="center"/>
              <w:ind w:right="37"/>
              <w:spacing w:after="0" w:line="135" w:lineRule="exact"/>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center"/>
              <w:ind w:right="37"/>
              <w:spacing w:after="0" w:line="135" w:lineRule="exact"/>
              <w:rPr>
                <w:sz w:val="20"/>
                <w:szCs w:val="20"/>
                <w:color w:val="auto"/>
              </w:rPr>
            </w:pPr>
            <w:r>
              <w:rPr>
                <w:rFonts w:ascii="Arial" w:cs="Arial" w:eastAsia="Arial" w:hAnsi="Arial"/>
                <w:sz w:val="13"/>
                <w:szCs w:val="13"/>
                <w:color w:val="auto"/>
                <w:w w:val="95"/>
              </w:rPr>
              <w:t>Media</w:t>
            </w:r>
          </w:p>
        </w:tc>
        <w:tc>
          <w:tcPr>
            <w:tcW w:w="124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11,100</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2,211,000</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Common Equity</w:t>
            </w:r>
          </w:p>
        </w:tc>
        <w:tc>
          <w:tcPr>
            <w:tcW w:w="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47,797,219</w:t>
            </w: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2,686,073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in Controlled, Affiliated Portfolio Companies</w:t>
            </w:r>
          </w:p>
        </w:tc>
        <w:tc>
          <w:tcPr>
            <w:tcW w:w="15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w w:val="96"/>
              </w:rPr>
              <w:t>186,290,695</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125,019,637</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Investments—179.3%</w:t>
            </w:r>
          </w:p>
        </w:tc>
        <w:tc>
          <w:tcPr>
            <w:tcW w:w="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4"/>
              </w:rPr>
              <w:t>1,253,957,146</w:t>
            </w: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8"/>
              </w:rPr>
              <w:t>1,153,679,675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and Cash Equivalents—11.8%</w:t>
            </w:r>
          </w:p>
        </w:tc>
        <w:tc>
          <w:tcPr>
            <w:tcW w:w="96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w w:val="91"/>
              </w:rPr>
              <w:t>BlackRock Liquidity Funds, Temp Cash, Institutional Shares</w:t>
            </w:r>
          </w:p>
        </w:tc>
        <w:tc>
          <w:tcPr>
            <w:tcW w:w="9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64,897,736</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64,897,736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96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10,719,397</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10,710,377</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Cash and Cash Equivalents</w:t>
            </w:r>
          </w:p>
        </w:tc>
        <w:tc>
          <w:tcPr>
            <w:tcW w:w="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75,617,133</w:t>
            </w: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75,608,113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and Cash Equivalents—191.1%</w:t>
            </w:r>
          </w:p>
        </w:tc>
        <w:tc>
          <w:tcPr>
            <w:tcW w:w="96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u w:val="single" w:color="auto"/>
                <w:color w:val="auto"/>
                <w:w w:val="78"/>
              </w:rPr>
              <w:t>$</w:t>
            </w:r>
          </w:p>
        </w:tc>
        <w:tc>
          <w:tcPr>
            <w:tcW w:w="10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w w:val="84"/>
              </w:rPr>
              <w:t>1,329,574,279</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8"/>
              </w:rPr>
              <w:t>1,229,287,788</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Assets—(91.1%)</w:t>
            </w:r>
          </w:p>
        </w:tc>
        <w:tc>
          <w:tcPr>
            <w:tcW w:w="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80" w:type="dxa"/>
            <w:vAlign w:val="bottom"/>
            <w:gridSpan w:val="2"/>
            <w:vMerge w:val="continue"/>
          </w:tcPr>
          <w:p>
            <w:pPr>
              <w:spacing w:after="0"/>
              <w:rPr>
                <w:sz w:val="11"/>
                <w:szCs w:val="11"/>
                <w:color w:val="auto"/>
              </w:rPr>
            </w:pPr>
          </w:p>
        </w:tc>
        <w:tc>
          <w:tcPr>
            <w:tcW w:w="9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3"/>
                <w:szCs w:val="13"/>
                <w:color w:val="auto"/>
              </w:rPr>
              <w:t>(585,920,932)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96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643,366,856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8658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76" w:lineRule="exact"/>
        <w:rPr>
          <w:sz w:val="20"/>
          <w:szCs w:val="20"/>
          <w:color w:val="auto"/>
        </w:rPr>
      </w:pPr>
    </w:p>
    <w:p>
      <w:pPr>
        <w:ind w:left="460" w:right="100" w:hanging="452"/>
        <w:spacing w:after="0" w:line="243" w:lineRule="auto"/>
        <w:tabs>
          <w:tab w:leader="none" w:pos="4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460" w:right="100" w:hanging="452"/>
        <w:spacing w:after="0" w:line="234" w:lineRule="auto"/>
        <w:tabs>
          <w:tab w:leader="none" w:pos="4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 w:lineRule="exact"/>
        <w:rPr>
          <w:rFonts w:ascii="Arial" w:cs="Arial" w:eastAsia="Arial" w:hAnsi="Arial"/>
          <w:sz w:val="12"/>
          <w:szCs w:val="12"/>
          <w:color w:val="auto"/>
        </w:rPr>
      </w:pPr>
    </w:p>
    <w:p>
      <w:pPr>
        <w:ind w:left="460" w:hanging="452"/>
        <w:spacing w:after="0" w:line="234" w:lineRule="auto"/>
        <w:tabs>
          <w:tab w:leader="none" w:pos="4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460" w:right="260" w:hanging="452"/>
        <w:spacing w:after="0" w:line="234" w:lineRule="auto"/>
        <w:tabs>
          <w:tab w:leader="none" w:pos="4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payment-in-kind, or PIK, interest and other fee rates, if any.</w:t>
      </w:r>
    </w:p>
    <w:p>
      <w:pPr>
        <w:spacing w:after="0" w:line="1" w:lineRule="exact"/>
        <w:rPr>
          <w:rFonts w:ascii="Arial" w:cs="Arial" w:eastAsia="Arial" w:hAnsi="Arial"/>
          <w:sz w:val="12"/>
          <w:szCs w:val="12"/>
          <w:color w:val="auto"/>
        </w:rPr>
      </w:pPr>
    </w:p>
    <w:p>
      <w:pPr>
        <w:ind w:left="460" w:hanging="452"/>
        <w:spacing w:after="0" w:line="234" w:lineRule="auto"/>
        <w:tabs>
          <w:tab w:leader="none" w:pos="4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spacing w:after="0" w:line="1" w:lineRule="exact"/>
        <w:rPr>
          <w:rFonts w:ascii="Arial" w:cs="Arial" w:eastAsia="Arial" w:hAnsi="Arial"/>
          <w:sz w:val="12"/>
          <w:szCs w:val="12"/>
          <w:color w:val="auto"/>
        </w:rPr>
      </w:pPr>
    </w:p>
    <w:p>
      <w:pPr>
        <w:ind w:left="460" w:hanging="452"/>
        <w:spacing w:after="0" w:line="234" w:lineRule="auto"/>
        <w:tabs>
          <w:tab w:leader="none" w:pos="4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460" w:hanging="452"/>
        <w:spacing w:after="0" w:line="234" w:lineRule="auto"/>
        <w:tabs>
          <w:tab w:leader="none" w:pos="4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460" w:hanging="452"/>
        <w:spacing w:after="0"/>
        <w:tabs>
          <w:tab w:leader="none" w:pos="460" w:val="left"/>
        </w:tabs>
        <w:numPr>
          <w:ilvl w:val="0"/>
          <w:numId w:val="102"/>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460" w:hanging="452"/>
        <w:spacing w:after="0" w:line="234" w:lineRule="auto"/>
        <w:tabs>
          <w:tab w:leader="none" w:pos="4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460" w:hanging="452"/>
        <w:spacing w:after="0" w:line="234" w:lineRule="auto"/>
        <w:tabs>
          <w:tab w:leader="none" w:pos="4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Investment is held through a consolidated taxable subsidiary (See Note 1 to the financial statements).</w:t>
      </w:r>
    </w:p>
    <w:p>
      <w:pPr>
        <w:ind w:left="460" w:hanging="452"/>
        <w:spacing w:after="0" w:line="234" w:lineRule="auto"/>
        <w:tabs>
          <w:tab w:leader="none" w:pos="4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Par amount is denominated in British Pounds.</w:t>
      </w:r>
    </w:p>
    <w:p>
      <w:pPr>
        <w:ind w:left="460" w:right="120" w:hanging="452"/>
        <w:spacing w:after="0" w:line="237" w:lineRule="auto"/>
        <w:tabs>
          <w:tab w:leader="none" w:pos="4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F-33</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1"/>
              </w:rPr>
              <w:t>Basis Point</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100" w:type="dxa"/>
            <w:vAlign w:val="bottom"/>
            <w:vMerge w:val="restart"/>
          </w:tcPr>
          <w:p>
            <w:pPr>
              <w:ind w:left="400"/>
              <w:spacing w:after="0"/>
              <w:rPr>
                <w:sz w:val="20"/>
                <w:szCs w:val="20"/>
                <w:color w:val="auto"/>
              </w:rPr>
            </w:pPr>
            <w:r>
              <w:rPr>
                <w:rFonts w:ascii="Arial" w:cs="Arial" w:eastAsia="Arial" w:hAnsi="Arial"/>
                <w:sz w:val="13"/>
                <w:szCs w:val="13"/>
                <w:b w:val="1"/>
                <w:bCs w:val="1"/>
                <w:color w:val="auto"/>
              </w:rPr>
              <w:t>Maturity /</w:t>
            </w:r>
          </w:p>
        </w:tc>
        <w:tc>
          <w:tcPr>
            <w:tcW w:w="2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Spread</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960" w:type="dxa"/>
            <w:vAlign w:val="bottom"/>
          </w:tcPr>
          <w:p>
            <w:pPr>
              <w:ind w:left="180"/>
              <w:spacing w:after="0" w:line="126" w:lineRule="exact"/>
              <w:rPr>
                <w:sz w:val="20"/>
                <w:szCs w:val="20"/>
                <w:color w:val="auto"/>
              </w:rPr>
            </w:pPr>
            <w:r>
              <w:rPr>
                <w:rFonts w:ascii="Arial" w:cs="Arial" w:eastAsia="Arial" w:hAnsi="Arial"/>
                <w:sz w:val="13"/>
                <w:szCs w:val="13"/>
                <w:b w:val="1"/>
                <w:bCs w:val="1"/>
                <w:color w:val="auto"/>
              </w:rPr>
              <w:t>Current</w:t>
            </w:r>
          </w:p>
        </w:tc>
        <w:tc>
          <w:tcPr>
            <w:tcW w:w="94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w w:val="85"/>
              </w:rPr>
              <w:t>Above</w:t>
            </w:r>
          </w:p>
        </w:tc>
        <w:tc>
          <w:tcPr>
            <w:tcW w:w="660" w:type="dxa"/>
            <w:vAlign w:val="bottom"/>
            <w:gridSpan w:val="2"/>
          </w:tcPr>
          <w:p>
            <w:pPr>
              <w:jc w:val="center"/>
              <w:ind w:right="80"/>
              <w:spacing w:after="0" w:line="126" w:lineRule="exact"/>
              <w:rPr>
                <w:sz w:val="20"/>
                <w:szCs w:val="20"/>
                <w:color w:val="auto"/>
              </w:rPr>
            </w:pPr>
            <w:r>
              <w:rPr>
                <w:rFonts w:ascii="Arial" w:cs="Arial" w:eastAsia="Arial" w:hAnsi="Arial"/>
                <w:sz w:val="13"/>
                <w:szCs w:val="13"/>
                <w:b w:val="1"/>
                <w:bCs w:val="1"/>
                <w:color w:val="auto"/>
                <w:w w:val="92"/>
              </w:rPr>
              <w:t>Par /</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180" w:type="dxa"/>
            <w:vAlign w:val="bottom"/>
            <w:gridSpan w:val="2"/>
          </w:tcPr>
          <w:p>
            <w:pPr>
              <w:spacing w:after="0"/>
              <w:rPr>
                <w:sz w:val="20"/>
                <w:szCs w:val="20"/>
                <w:color w:val="auto"/>
              </w:rPr>
            </w:pPr>
            <w:r>
              <w:rPr>
                <w:rFonts w:ascii="Arial" w:cs="Arial" w:eastAsia="Arial" w:hAnsi="Arial"/>
                <w:sz w:val="13"/>
                <w:szCs w:val="13"/>
                <w:b w:val="1"/>
                <w:bCs w:val="1"/>
                <w:color w:val="auto"/>
              </w:rPr>
              <w:t>Issuer Name</w:t>
            </w:r>
          </w:p>
        </w:tc>
        <w:tc>
          <w:tcPr>
            <w:tcW w:w="1100" w:type="dxa"/>
            <w:vAlign w:val="bottom"/>
          </w:tcPr>
          <w:p>
            <w:pPr>
              <w:ind w:left="380"/>
              <w:spacing w:after="0"/>
              <w:rPr>
                <w:sz w:val="20"/>
                <w:szCs w:val="20"/>
                <w:color w:val="auto"/>
              </w:rPr>
            </w:pPr>
            <w:r>
              <w:rPr>
                <w:rFonts w:ascii="Arial" w:cs="Arial" w:eastAsia="Arial" w:hAnsi="Arial"/>
                <w:sz w:val="13"/>
                <w:szCs w:val="13"/>
                <w:b w:val="1"/>
                <w:bCs w:val="1"/>
                <w:color w:val="auto"/>
              </w:rPr>
              <w:t>Expiration</w:t>
            </w:r>
          </w:p>
        </w:tc>
        <w:tc>
          <w:tcPr>
            <w:tcW w:w="2900" w:type="dxa"/>
            <w:vAlign w:val="bottom"/>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960" w:type="dxa"/>
            <w:vAlign w:val="bottom"/>
          </w:tcPr>
          <w:p>
            <w:pPr>
              <w:ind w:left="180"/>
              <w:spacing w:after="0"/>
              <w:rPr>
                <w:sz w:val="20"/>
                <w:szCs w:val="20"/>
                <w:color w:val="auto"/>
              </w:rPr>
            </w:pPr>
            <w:r>
              <w:rPr>
                <w:rFonts w:ascii="Arial" w:cs="Arial" w:eastAsia="Arial" w:hAnsi="Arial"/>
                <w:sz w:val="13"/>
                <w:szCs w:val="13"/>
                <w:b w:val="1"/>
                <w:bCs w:val="1"/>
                <w:color w:val="auto"/>
              </w:rPr>
              <w:t>Coupon</w:t>
            </w: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6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2"/>
              </w:rPr>
              <w:t>Shares</w:t>
            </w:r>
          </w:p>
        </w:tc>
        <w:tc>
          <w:tcPr>
            <w:tcW w:w="80" w:type="dxa"/>
            <w:vAlign w:val="bottom"/>
          </w:tcPr>
          <w:p>
            <w:pPr>
              <w:spacing w:after="0"/>
              <w:rPr>
                <w:sz w:val="14"/>
                <w:szCs w:val="14"/>
                <w:color w:val="auto"/>
              </w:rPr>
            </w:pPr>
          </w:p>
        </w:tc>
        <w:tc>
          <w:tcPr>
            <w:tcW w:w="840" w:type="dxa"/>
            <w:vAlign w:val="bottom"/>
            <w:gridSpan w:val="2"/>
          </w:tcPr>
          <w:p>
            <w:pPr>
              <w:ind w:left="220"/>
              <w:spacing w:after="0"/>
              <w:rPr>
                <w:sz w:val="20"/>
                <w:szCs w:val="20"/>
                <w:color w:val="auto"/>
              </w:rPr>
            </w:pPr>
            <w:r>
              <w:rPr>
                <w:rFonts w:ascii="Arial" w:cs="Arial" w:eastAsia="Arial" w:hAnsi="Arial"/>
                <w:sz w:val="13"/>
                <w:szCs w:val="13"/>
                <w:b w:val="1"/>
                <w:bCs w:val="1"/>
                <w:color w:val="auto"/>
              </w:rPr>
              <w:t>Cost</w:t>
            </w: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w w:val="94"/>
              </w:rPr>
              <w:t xml:space="preserve">Fair Value </w:t>
            </w:r>
            <w:r>
              <w:rPr>
                <w:rFonts w:ascii="Arial" w:cs="Arial" w:eastAsia="Arial" w:hAnsi="Arial"/>
                <w:sz w:val="10"/>
                <w:szCs w:val="10"/>
                <w:b w:val="1"/>
                <w:bCs w:val="1"/>
                <w:color w:val="auto"/>
                <w:w w:val="94"/>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6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Investments in Non-Controlled, Non-Affiliated Portfolio Companies—153.0% </w:t>
            </w:r>
            <w:r>
              <w:rPr>
                <w:rFonts w:ascii="Arial" w:cs="Arial" w:eastAsia="Arial" w:hAnsi="Arial"/>
                <w:sz w:val="10"/>
                <w:szCs w:val="10"/>
                <w:b w:val="1"/>
                <w:bCs w:val="1"/>
                <w:color w:val="auto"/>
              </w:rPr>
              <w:t>(1), (2)</w:t>
            </w:r>
          </w:p>
        </w:tc>
        <w:tc>
          <w:tcPr>
            <w:tcW w:w="9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Debt—39.1%</w:t>
            </w:r>
          </w:p>
        </w:tc>
        <w:tc>
          <w:tcPr>
            <w:tcW w:w="110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Aircell Business Aviation Services LLC</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03/21/2018</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Communications</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11.25%</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L+975</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9"/>
              </w:rPr>
              <w:t>22,689,469</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$ 22,109,951</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87"/>
              </w:rPr>
              <w:t>$  23,483,601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AKA Diversified Holdings, Inc.</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04/02/2018</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11.97%</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L+1,175</w:t>
            </w:r>
            <w:r>
              <w:rPr>
                <w:rFonts w:ascii="Arial" w:cs="Arial" w:eastAsia="Arial" w:hAnsi="Arial"/>
                <w:sz w:val="10"/>
                <w:szCs w:val="10"/>
                <w:color w:val="auto"/>
              </w:rPr>
              <w:t>(8)</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44,459,443</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43,751,988</w:t>
            </w: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45,126,826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AKA Diversified Holdings, Inc. (Revolver) </w:t>
            </w:r>
            <w:r>
              <w:rPr>
                <w:rFonts w:ascii="Arial" w:cs="Arial" w:eastAsia="Arial" w:hAnsi="Arial"/>
                <w:sz w:val="10"/>
                <w:szCs w:val="10"/>
                <w:color w:val="auto"/>
              </w:rPr>
              <w:t>(9)</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04/02/2018</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6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4,371,469</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65,620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AP Gaming I, LLC</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12/21/2020</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9.25%</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L+825</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23,573,292</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23,268,725</w:t>
            </w: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23,180,325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10/21/2020</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L+800</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4,477,500</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4,418,746</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4,477,500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Interior Specialists, Inc.</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06/30/2020</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91"/>
              </w:rPr>
              <w:t>Building Materials</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L+800</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25,500,000</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25,254,194</w:t>
            </w: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25,500,000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K2 Pure Solutions NoCal, L.P.</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08/19/2019</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11.00%</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L+1,000</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9"/>
              </w:rPr>
              <w:t>21,644,154</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21,333,439</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20,091,220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 xml:space="preserve">Linc USA GP and Linc Energy Finance (USA), Inc. </w:t>
            </w:r>
            <w:r>
              <w:rPr>
                <w:rFonts w:ascii="Arial" w:cs="Arial" w:eastAsia="Arial" w:hAnsi="Arial"/>
                <w:sz w:val="10"/>
                <w:szCs w:val="10"/>
                <w:color w:val="auto"/>
              </w:rPr>
              <w:t>(5)</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10/31/2017</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9.63%</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5,626,850</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5,626,850</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5,007,897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Prince Mineral Holding Corp. </w:t>
            </w:r>
            <w:r>
              <w:rPr>
                <w:rFonts w:ascii="Arial" w:cs="Arial" w:eastAsia="Arial" w:hAnsi="Arial"/>
                <w:sz w:val="10"/>
                <w:szCs w:val="10"/>
                <w:color w:val="auto"/>
              </w:rPr>
              <w:t>(5)</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12/16/2019</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Mining, Steel, Iron and Non-Precious Metals</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11.50%</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9"/>
              </w:rPr>
              <w:t>14,250,000</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14,137,010</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11,970,000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Robertshaw US Holding Corp.</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06/18/2019</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91"/>
              </w:rPr>
              <w:t>Electronics</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L+750</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13,435,343</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13,339,249</w:t>
            </w: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13,407,176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04/21/2017</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L+750</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9"/>
              </w:rPr>
              <w:t>19,704,329</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19,043,541</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17,733,896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60" w:type="dxa"/>
            <w:vAlign w:val="bottom"/>
          </w:tcPr>
          <w:p>
            <w:pPr>
              <w:spacing w:after="0" w:line="121" w:lineRule="exact"/>
              <w:rPr>
                <w:sz w:val="20"/>
                <w:szCs w:val="20"/>
                <w:color w:val="auto"/>
              </w:rPr>
            </w:pPr>
            <w:r>
              <w:rPr>
                <w:rFonts w:ascii="Arial" w:cs="Arial" w:eastAsia="Arial" w:hAnsi="Arial"/>
                <w:sz w:val="13"/>
                <w:szCs w:val="13"/>
                <w:color w:val="auto"/>
              </w:rPr>
              <w:t xml:space="preserve">Sunborn International (UK) Limited </w:t>
            </w:r>
            <w:r>
              <w:rPr>
                <w:rFonts w:ascii="Arial" w:cs="Arial" w:eastAsia="Arial" w:hAnsi="Arial"/>
                <w:sz w:val="10"/>
                <w:szCs w:val="10"/>
                <w:color w:val="auto"/>
              </w:rPr>
              <w:t>(10), (12), (13)</w:t>
            </w:r>
          </w:p>
        </w:tc>
        <w:tc>
          <w:tcPr>
            <w:tcW w:w="1100" w:type="dxa"/>
            <w:vAlign w:val="bottom"/>
          </w:tcPr>
          <w:p>
            <w:pPr>
              <w:ind w:left="400"/>
              <w:spacing w:after="0" w:line="121" w:lineRule="exact"/>
              <w:rPr>
                <w:sz w:val="20"/>
                <w:szCs w:val="20"/>
                <w:color w:val="auto"/>
              </w:rPr>
            </w:pPr>
            <w:r>
              <w:rPr>
                <w:rFonts w:ascii="Arial" w:cs="Arial" w:eastAsia="Arial" w:hAnsi="Arial"/>
                <w:sz w:val="13"/>
                <w:szCs w:val="13"/>
                <w:color w:val="auto"/>
              </w:rPr>
              <w:t>09/28/2018</w:t>
            </w:r>
          </w:p>
        </w:tc>
        <w:tc>
          <w:tcPr>
            <w:tcW w:w="2900" w:type="dxa"/>
            <w:vAlign w:val="bottom"/>
          </w:tcPr>
          <w:p>
            <w:pPr>
              <w:jc w:val="center"/>
              <w:spacing w:after="0" w:line="121" w:lineRule="exact"/>
              <w:rPr>
                <w:sz w:val="20"/>
                <w:szCs w:val="20"/>
                <w:color w:val="auto"/>
              </w:rPr>
            </w:pPr>
            <w:r>
              <w:rPr>
                <w:rFonts w:ascii="Arial" w:cs="Arial" w:eastAsia="Arial" w:hAnsi="Arial"/>
                <w:sz w:val="13"/>
                <w:szCs w:val="13"/>
                <w:color w:val="auto"/>
                <w:w w:val="88"/>
              </w:rPr>
              <w:t>Hotels, Motels, Inns and Gaming</w:t>
            </w:r>
          </w:p>
        </w:tc>
        <w:tc>
          <w:tcPr>
            <w:tcW w:w="96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13.00%</w:t>
            </w:r>
          </w:p>
        </w:tc>
        <w:tc>
          <w:tcPr>
            <w:tcW w:w="94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L+1,250</w:t>
            </w:r>
            <w:r>
              <w:rPr>
                <w:rFonts w:ascii="Arial" w:cs="Arial" w:eastAsia="Arial" w:hAnsi="Arial"/>
                <w:sz w:val="10"/>
                <w:szCs w:val="10"/>
                <w:color w:val="auto"/>
              </w:rPr>
              <w:t>(8)</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w w:val="89"/>
              </w:rPr>
              <w:t>19,947,600</w:t>
            </w:r>
          </w:p>
        </w:tc>
        <w:tc>
          <w:tcPr>
            <w:tcW w:w="92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30,053,647</w:t>
            </w:r>
          </w:p>
        </w:tc>
        <w:tc>
          <w:tcPr>
            <w:tcW w:w="76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rPr>
              <w:t>29,873,876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(PIK 0.50%)</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 xml:space="preserve">Trust Inns Limited </w:t>
            </w:r>
            <w:r>
              <w:rPr>
                <w:rFonts w:ascii="Arial" w:cs="Arial" w:eastAsia="Arial" w:hAnsi="Arial"/>
                <w:sz w:val="10"/>
                <w:szCs w:val="10"/>
                <w:color w:val="auto"/>
              </w:rPr>
              <w:t>(10), (12), (13)</w:t>
            </w:r>
          </w:p>
        </w:tc>
        <w:tc>
          <w:tcPr>
            <w:tcW w:w="1100" w:type="dxa"/>
            <w:vAlign w:val="bottom"/>
            <w:shd w:val="clear" w:color="auto" w:fill="CCEEFF"/>
          </w:tcPr>
          <w:p>
            <w:pPr>
              <w:ind w:left="400"/>
              <w:spacing w:after="0" w:line="138" w:lineRule="exact"/>
              <w:rPr>
                <w:sz w:val="20"/>
                <w:szCs w:val="20"/>
                <w:color w:val="auto"/>
              </w:rPr>
            </w:pPr>
            <w:r>
              <w:rPr>
                <w:rFonts w:ascii="Arial" w:cs="Arial" w:eastAsia="Arial" w:hAnsi="Arial"/>
                <w:sz w:val="13"/>
                <w:szCs w:val="13"/>
                <w:color w:val="auto"/>
              </w:rPr>
              <w:t>02/12/2020</w:t>
            </w:r>
          </w:p>
        </w:tc>
        <w:tc>
          <w:tcPr>
            <w:tcW w:w="29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7"/>
              </w:rPr>
              <w:t>Buildings and Real Estate</w:t>
            </w:r>
          </w:p>
        </w:tc>
        <w:tc>
          <w:tcPr>
            <w:tcW w:w="960" w:type="dxa"/>
            <w:vAlign w:val="bottom"/>
            <w:shd w:val="clear" w:color="auto" w:fill="CCEEFF"/>
          </w:tcPr>
          <w:p>
            <w:pPr>
              <w:jc w:val="right"/>
              <w:ind w:right="137"/>
              <w:spacing w:after="0" w:line="138" w:lineRule="exact"/>
              <w:rPr>
                <w:sz w:val="20"/>
                <w:szCs w:val="20"/>
                <w:color w:val="auto"/>
              </w:rPr>
            </w:pPr>
            <w:r>
              <w:rPr>
                <w:rFonts w:ascii="Arial" w:cs="Arial" w:eastAsia="Arial" w:hAnsi="Arial"/>
                <w:sz w:val="13"/>
                <w:szCs w:val="13"/>
                <w:color w:val="auto"/>
              </w:rPr>
              <w:t>11.08%</w:t>
            </w:r>
          </w:p>
        </w:tc>
        <w:tc>
          <w:tcPr>
            <w:tcW w:w="94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(8)</w:t>
            </w:r>
          </w:p>
        </w:tc>
        <w:tc>
          <w:tcPr>
            <w:tcW w:w="6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w w:val="89"/>
              </w:rPr>
              <w:t>24,386,987</w:t>
            </w:r>
          </w:p>
        </w:tc>
        <w:tc>
          <w:tcPr>
            <w:tcW w:w="92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38,764,474</w:t>
            </w:r>
          </w:p>
        </w:tc>
        <w:tc>
          <w:tcPr>
            <w:tcW w:w="76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36,411,706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US Med Acquisition, Inc.</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08/13/2021</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10.00%</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L+900</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8,739,063</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8,739,063</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8,739,062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U.S. Well Services, LLC</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05/02/2019</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12.00%</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L+1,150</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9"/>
              </w:rPr>
              <w:t>15,297,762</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15,036,838</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15,308,835</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First Lien Secured Debt</w:t>
            </w:r>
          </w:p>
        </w:tc>
        <w:tc>
          <w:tcPr>
            <w:tcW w:w="11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4"/>
              </w:rPr>
              <w:t>284,877,715</w:t>
            </w:r>
          </w:p>
        </w:tc>
        <w:tc>
          <w:tcPr>
            <w:tcW w:w="1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6"/>
              </w:rPr>
              <w:t>280,377,540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Debt—83.7%</w:t>
            </w:r>
          </w:p>
        </w:tc>
        <w:tc>
          <w:tcPr>
            <w:tcW w:w="1100" w:type="dxa"/>
            <w:vAlign w:val="bottom"/>
            <w:shd w:val="clear" w:color="auto" w:fill="CCEEFF"/>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Affinion Group, Inc.</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10/31/2018</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8.50%</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L+700</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18,000,000</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16,544,788</w:t>
            </w: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16,076,340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w:t>
            </w:r>
          </w:p>
        </w:tc>
        <w:tc>
          <w:tcPr>
            <w:tcW w:w="1100" w:type="dxa"/>
            <w:vAlign w:val="bottom"/>
            <w:shd w:val="clear" w:color="auto" w:fill="CCEEFF"/>
          </w:tcPr>
          <w:p>
            <w:pPr>
              <w:ind w:left="400"/>
              <w:spacing w:after="0" w:line="121" w:lineRule="exact"/>
              <w:rPr>
                <w:sz w:val="20"/>
                <w:szCs w:val="20"/>
                <w:color w:val="auto"/>
              </w:rPr>
            </w:pPr>
            <w:r>
              <w:rPr>
                <w:rFonts w:ascii="Arial" w:cs="Arial" w:eastAsia="Arial" w:hAnsi="Arial"/>
                <w:sz w:val="13"/>
                <w:szCs w:val="13"/>
                <w:color w:val="auto"/>
              </w:rPr>
              <w:t>09/01/2017</w:t>
            </w:r>
          </w:p>
        </w:tc>
        <w:tc>
          <w:tcPr>
            <w:tcW w:w="29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Diversified Natural Resources, Precious Metals and</w:t>
            </w:r>
          </w:p>
        </w:tc>
        <w:tc>
          <w:tcPr>
            <w:tcW w:w="96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11.50%</w:t>
            </w:r>
          </w:p>
        </w:tc>
        <w:tc>
          <w:tcPr>
            <w:tcW w:w="94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w w:val="89"/>
              </w:rPr>
              <w:t>25,400,000</w:t>
            </w:r>
          </w:p>
        </w:tc>
        <w:tc>
          <w:tcPr>
            <w:tcW w:w="920" w:type="dxa"/>
            <w:vAlign w:val="bottom"/>
            <w:gridSpan w:val="3"/>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25,400,000</w:t>
            </w:r>
          </w:p>
        </w:tc>
        <w:tc>
          <w:tcPr>
            <w:tcW w:w="760" w:type="dxa"/>
            <w:vAlign w:val="bottom"/>
            <w:gridSpan w:val="2"/>
            <w:shd w:val="clear" w:color="auto" w:fill="CCEEFF"/>
          </w:tcPr>
          <w:p>
            <w:pPr>
              <w:jc w:val="right"/>
              <w:ind w:right="40"/>
              <w:spacing w:after="0" w:line="121" w:lineRule="exact"/>
              <w:rPr>
                <w:sz w:val="20"/>
                <w:szCs w:val="20"/>
                <w:color w:val="auto"/>
              </w:rPr>
            </w:pPr>
            <w:r>
              <w:rPr>
                <w:rFonts w:ascii="Arial" w:cs="Arial" w:eastAsia="Arial" w:hAnsi="Arial"/>
                <w:sz w:val="13"/>
                <w:szCs w:val="13"/>
                <w:color w:val="auto"/>
              </w:rPr>
              <w:t>24,130,000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Minerals</w:t>
            </w:r>
          </w:p>
        </w:tc>
        <w:tc>
          <w:tcPr>
            <w:tcW w:w="9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Ascensus, Inc.</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12/02/2020</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L+800</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15,500,000</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15,322,421</w:t>
            </w: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15,441,875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Balboa Capital Corporation </w:t>
            </w:r>
            <w:r>
              <w:rPr>
                <w:rFonts w:ascii="Arial" w:cs="Arial" w:eastAsia="Arial" w:hAnsi="Arial"/>
                <w:sz w:val="10"/>
                <w:szCs w:val="10"/>
                <w:color w:val="auto"/>
              </w:rPr>
              <w:t>(13)</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03/04/2022</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13.00%</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9"/>
              </w:rPr>
              <w:t>19,000,000</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18,721,641</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18,810,000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60" w:type="dxa"/>
            <w:vAlign w:val="bottom"/>
          </w:tcPr>
          <w:p>
            <w:pPr>
              <w:spacing w:after="0" w:line="121" w:lineRule="exact"/>
              <w:rPr>
                <w:sz w:val="20"/>
                <w:szCs w:val="20"/>
                <w:color w:val="auto"/>
              </w:rPr>
            </w:pPr>
            <w:r>
              <w:rPr>
                <w:rFonts w:ascii="Arial" w:cs="Arial" w:eastAsia="Arial" w:hAnsi="Arial"/>
                <w:sz w:val="13"/>
                <w:szCs w:val="13"/>
                <w:color w:val="auto"/>
              </w:rPr>
              <w:t>Bennu Oil &amp; Gas, LLC</w:t>
            </w:r>
          </w:p>
        </w:tc>
        <w:tc>
          <w:tcPr>
            <w:tcW w:w="1100" w:type="dxa"/>
            <w:vAlign w:val="bottom"/>
          </w:tcPr>
          <w:p>
            <w:pPr>
              <w:ind w:left="400"/>
              <w:spacing w:after="0" w:line="121" w:lineRule="exact"/>
              <w:rPr>
                <w:sz w:val="20"/>
                <w:szCs w:val="20"/>
                <w:color w:val="auto"/>
              </w:rPr>
            </w:pPr>
            <w:r>
              <w:rPr>
                <w:rFonts w:ascii="Arial" w:cs="Arial" w:eastAsia="Arial" w:hAnsi="Arial"/>
                <w:sz w:val="13"/>
                <w:szCs w:val="13"/>
                <w:color w:val="auto"/>
              </w:rPr>
              <w:t>11/01/2018</w:t>
            </w:r>
          </w:p>
        </w:tc>
        <w:tc>
          <w:tcPr>
            <w:tcW w:w="2900" w:type="dxa"/>
            <w:vAlign w:val="bottom"/>
          </w:tcPr>
          <w:p>
            <w:pPr>
              <w:jc w:val="center"/>
              <w:spacing w:after="0" w:line="121" w:lineRule="exact"/>
              <w:rPr>
                <w:sz w:val="20"/>
                <w:szCs w:val="20"/>
                <w:color w:val="auto"/>
              </w:rPr>
            </w:pPr>
            <w:r>
              <w:rPr>
                <w:rFonts w:ascii="Arial" w:cs="Arial" w:eastAsia="Arial" w:hAnsi="Arial"/>
                <w:sz w:val="13"/>
                <w:szCs w:val="13"/>
                <w:color w:val="auto"/>
                <w:w w:val="87"/>
              </w:rPr>
              <w:t>Oil and Gas</w:t>
            </w:r>
          </w:p>
        </w:tc>
        <w:tc>
          <w:tcPr>
            <w:tcW w:w="96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12.25%</w:t>
            </w:r>
          </w:p>
        </w:tc>
        <w:tc>
          <w:tcPr>
            <w:tcW w:w="94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L+1,100</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w w:val="89"/>
              </w:rPr>
              <w:t>26,484,773</w:t>
            </w:r>
          </w:p>
        </w:tc>
        <w:tc>
          <w:tcPr>
            <w:tcW w:w="92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25,150,663</w:t>
            </w:r>
          </w:p>
        </w:tc>
        <w:tc>
          <w:tcPr>
            <w:tcW w:w="76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rPr>
              <w:t>20,393,275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(PIK 2.50%)</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Foundation Building Materials, LLC</w:t>
            </w:r>
          </w:p>
        </w:tc>
        <w:tc>
          <w:tcPr>
            <w:tcW w:w="1100" w:type="dxa"/>
            <w:vAlign w:val="bottom"/>
            <w:shd w:val="clear" w:color="auto" w:fill="CCEEFF"/>
          </w:tcPr>
          <w:p>
            <w:pPr>
              <w:ind w:left="400"/>
              <w:spacing w:after="0" w:line="138" w:lineRule="exact"/>
              <w:rPr>
                <w:sz w:val="20"/>
                <w:szCs w:val="20"/>
                <w:color w:val="auto"/>
              </w:rPr>
            </w:pPr>
            <w:r>
              <w:rPr>
                <w:rFonts w:ascii="Arial" w:cs="Arial" w:eastAsia="Arial" w:hAnsi="Arial"/>
                <w:sz w:val="13"/>
                <w:szCs w:val="13"/>
                <w:color w:val="auto"/>
              </w:rPr>
              <w:t>04/30/2019</w:t>
            </w:r>
          </w:p>
        </w:tc>
        <w:tc>
          <w:tcPr>
            <w:tcW w:w="29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1"/>
              </w:rPr>
              <w:t>Building Materials</w:t>
            </w:r>
          </w:p>
        </w:tc>
        <w:tc>
          <w:tcPr>
            <w:tcW w:w="960" w:type="dxa"/>
            <w:vAlign w:val="bottom"/>
            <w:shd w:val="clear" w:color="auto" w:fill="CCEEFF"/>
          </w:tcPr>
          <w:p>
            <w:pPr>
              <w:jc w:val="right"/>
              <w:ind w:right="137"/>
              <w:spacing w:after="0" w:line="138" w:lineRule="exact"/>
              <w:rPr>
                <w:sz w:val="20"/>
                <w:szCs w:val="20"/>
                <w:color w:val="auto"/>
              </w:rPr>
            </w:pPr>
            <w:r>
              <w:rPr>
                <w:rFonts w:ascii="Arial" w:cs="Arial" w:eastAsia="Arial" w:hAnsi="Arial"/>
                <w:sz w:val="13"/>
                <w:szCs w:val="13"/>
                <w:color w:val="auto"/>
              </w:rPr>
              <w:t>13.25%</w:t>
            </w: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rPr>
              <w:t>P+1,000</w:t>
            </w:r>
          </w:p>
        </w:tc>
        <w:tc>
          <w:tcPr>
            <w:tcW w:w="6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w w:val="89"/>
              </w:rPr>
              <w:t>45,000,000</w:t>
            </w:r>
          </w:p>
        </w:tc>
        <w:tc>
          <w:tcPr>
            <w:tcW w:w="92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44,625,152</w:t>
            </w:r>
          </w:p>
        </w:tc>
        <w:tc>
          <w:tcPr>
            <w:tcW w:w="76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45,900,000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60" w:type="dxa"/>
            <w:vAlign w:val="bottom"/>
          </w:tcPr>
          <w:p>
            <w:pPr>
              <w:spacing w:after="0" w:line="121" w:lineRule="exact"/>
              <w:rPr>
                <w:sz w:val="20"/>
                <w:szCs w:val="20"/>
                <w:color w:val="auto"/>
              </w:rPr>
            </w:pPr>
            <w:r>
              <w:rPr>
                <w:rFonts w:ascii="Arial" w:cs="Arial" w:eastAsia="Arial" w:hAnsi="Arial"/>
                <w:sz w:val="13"/>
                <w:szCs w:val="13"/>
                <w:color w:val="auto"/>
              </w:rPr>
              <w:t>Foundation Building Materials, LLC</w:t>
            </w:r>
          </w:p>
        </w:tc>
        <w:tc>
          <w:tcPr>
            <w:tcW w:w="1100" w:type="dxa"/>
            <w:vAlign w:val="bottom"/>
          </w:tcPr>
          <w:p>
            <w:pPr>
              <w:ind w:left="400"/>
              <w:spacing w:after="0" w:line="121" w:lineRule="exact"/>
              <w:rPr>
                <w:sz w:val="20"/>
                <w:szCs w:val="20"/>
                <w:color w:val="auto"/>
              </w:rPr>
            </w:pPr>
            <w:r>
              <w:rPr>
                <w:rFonts w:ascii="Arial" w:cs="Arial" w:eastAsia="Arial" w:hAnsi="Arial"/>
                <w:sz w:val="13"/>
                <w:szCs w:val="13"/>
                <w:color w:val="auto"/>
              </w:rPr>
              <w:t>04/30/2019</w:t>
            </w:r>
          </w:p>
        </w:tc>
        <w:tc>
          <w:tcPr>
            <w:tcW w:w="2900" w:type="dxa"/>
            <w:vAlign w:val="bottom"/>
          </w:tcPr>
          <w:p>
            <w:pPr>
              <w:jc w:val="center"/>
              <w:spacing w:after="0" w:line="121" w:lineRule="exact"/>
              <w:rPr>
                <w:sz w:val="20"/>
                <w:szCs w:val="20"/>
                <w:color w:val="auto"/>
              </w:rPr>
            </w:pPr>
            <w:r>
              <w:rPr>
                <w:rFonts w:ascii="Arial" w:cs="Arial" w:eastAsia="Arial" w:hAnsi="Arial"/>
                <w:sz w:val="13"/>
                <w:szCs w:val="13"/>
                <w:color w:val="auto"/>
                <w:w w:val="91"/>
              </w:rPr>
              <w:t>Building Materials</w:t>
            </w:r>
          </w:p>
        </w:tc>
        <w:tc>
          <w:tcPr>
            <w:tcW w:w="96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14.25%</w:t>
            </w:r>
          </w:p>
        </w:tc>
        <w:tc>
          <w:tcPr>
            <w:tcW w:w="94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P+1,100</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w w:val="89"/>
              </w:rPr>
              <w:t>33,109,864</w:t>
            </w:r>
          </w:p>
        </w:tc>
        <w:tc>
          <w:tcPr>
            <w:tcW w:w="92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32,588,028</w:t>
            </w:r>
          </w:p>
        </w:tc>
        <w:tc>
          <w:tcPr>
            <w:tcW w:w="76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rPr>
              <w:t>33,772,061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(PIK 1.00%)</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Howard Berger Co. LLC</w:t>
            </w:r>
          </w:p>
        </w:tc>
        <w:tc>
          <w:tcPr>
            <w:tcW w:w="1100" w:type="dxa"/>
            <w:vAlign w:val="bottom"/>
            <w:shd w:val="clear" w:color="auto" w:fill="CCEEFF"/>
          </w:tcPr>
          <w:p>
            <w:pPr>
              <w:ind w:left="400"/>
              <w:spacing w:after="0" w:line="138" w:lineRule="exact"/>
              <w:rPr>
                <w:sz w:val="20"/>
                <w:szCs w:val="20"/>
                <w:color w:val="auto"/>
              </w:rPr>
            </w:pPr>
            <w:r>
              <w:rPr>
                <w:rFonts w:ascii="Arial" w:cs="Arial" w:eastAsia="Arial" w:hAnsi="Arial"/>
                <w:sz w:val="13"/>
                <w:szCs w:val="13"/>
                <w:color w:val="auto"/>
              </w:rPr>
              <w:t>09/30/2020</w:t>
            </w:r>
          </w:p>
        </w:tc>
        <w:tc>
          <w:tcPr>
            <w:tcW w:w="29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Distribution</w:t>
            </w:r>
          </w:p>
        </w:tc>
        <w:tc>
          <w:tcPr>
            <w:tcW w:w="960" w:type="dxa"/>
            <w:vAlign w:val="bottom"/>
            <w:shd w:val="clear" w:color="auto" w:fill="CCEEFF"/>
          </w:tcPr>
          <w:p>
            <w:pPr>
              <w:jc w:val="right"/>
              <w:ind w:right="137"/>
              <w:spacing w:after="0" w:line="138" w:lineRule="exact"/>
              <w:rPr>
                <w:sz w:val="20"/>
                <w:szCs w:val="20"/>
                <w:color w:val="auto"/>
              </w:rPr>
            </w:pPr>
            <w:r>
              <w:rPr>
                <w:rFonts w:ascii="Arial" w:cs="Arial" w:eastAsia="Arial" w:hAnsi="Arial"/>
                <w:sz w:val="13"/>
                <w:szCs w:val="13"/>
                <w:color w:val="auto"/>
              </w:rPr>
              <w:t>11.00%</w:t>
            </w: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rPr>
              <w:t>L+1,000</w:t>
            </w:r>
          </w:p>
        </w:tc>
        <w:tc>
          <w:tcPr>
            <w:tcW w:w="6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w w:val="89"/>
              </w:rPr>
              <w:t>41,250,000</w:t>
            </w:r>
          </w:p>
        </w:tc>
        <w:tc>
          <w:tcPr>
            <w:tcW w:w="92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39,088,044</w:t>
            </w:r>
          </w:p>
        </w:tc>
        <w:tc>
          <w:tcPr>
            <w:tcW w:w="76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40,012,500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 xml:space="preserve">Intermediate Transportation 100, LLC </w:t>
            </w:r>
            <w:r>
              <w:rPr>
                <w:rFonts w:ascii="Arial" w:cs="Arial" w:eastAsia="Arial" w:hAnsi="Arial"/>
                <w:sz w:val="10"/>
                <w:szCs w:val="10"/>
                <w:color w:val="auto"/>
              </w:rPr>
              <w:t>(5)</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03/01/2017</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6"/>
              </w:rPr>
              <w:t>Cargo Transport</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4,391,420</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4,391,422</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1,229,598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 Cosmetics Holdings, Inc.</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07/31/2019</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11.00%</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L+1,000</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9"/>
              </w:rPr>
              <w:t>34,000,000</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33,476,169</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34,340,000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Jacobs Entertainment, Inc.</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10/29/2019</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13.00%</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L+1,175</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48,765,129</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48,307,757</w:t>
            </w: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48,765,129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Language Line, LLC</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07/07/2022</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Personal, Food and Miscellaneous Services</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10.75%</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L+975</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9"/>
              </w:rPr>
              <w:t>40,312,500</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39,711,804</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40,211,719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 xml:space="preserve">Linc USA GP and Linc Energy Finance (USA), Inc. </w:t>
            </w:r>
            <w:r>
              <w:rPr>
                <w:rFonts w:ascii="Arial" w:cs="Arial" w:eastAsia="Arial" w:hAnsi="Arial"/>
                <w:sz w:val="10"/>
                <w:szCs w:val="10"/>
                <w:color w:val="auto"/>
              </w:rPr>
              <w:t>(5)</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10/31/2017</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12.50%</w:t>
            </w:r>
            <w:r>
              <w:rPr>
                <w:rFonts w:ascii="Arial" w:cs="Arial" w:eastAsia="Arial" w:hAnsi="Arial"/>
                <w:sz w:val="10"/>
                <w:szCs w:val="10"/>
                <w:color w:val="auto"/>
              </w:rPr>
              <w:t>(7)</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11,875,000</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11,667,848</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9,143,751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(5)</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05/15/2019</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9"/>
              </w:rPr>
              <w:t>45,000,000</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44,698,345</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31,500,000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Novitex Acquisition, LLC</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07/07/2021</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11.75%</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L+1,050</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41,250,000</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40,883,259</w:t>
            </w: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40,425,000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Parq Holdings Limited Partnership </w:t>
            </w:r>
            <w:r>
              <w:rPr>
                <w:rFonts w:ascii="Arial" w:cs="Arial" w:eastAsia="Arial" w:hAnsi="Arial"/>
                <w:sz w:val="10"/>
                <w:szCs w:val="10"/>
                <w:color w:val="auto"/>
              </w:rPr>
              <w:t>(10), (13)</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12/17/2021</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13.00%</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L+1,200</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9"/>
              </w:rPr>
              <w:t>75,000,000</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75,000,000</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75,586,475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Penton Media, Inc.</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10/02/2020</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90"/>
              </w:rPr>
              <w:t>Media</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L+775</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19,698,091</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19,478,649</w:t>
            </w: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19,615,950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Pre-Paid Legal Services, Inc.</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07/01/2020</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Personal, Food and Miscellaneous Services</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10.25%</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L+900</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9"/>
              </w:rPr>
              <w:t>56,750,000</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56,098,358</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56,608,125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Prime Security Services Borrower, LLC</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07/01/2022</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6"/>
              </w:rPr>
              <w:t>Personal, Food and Miscellaneous Services</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9.75%</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L+875</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28,500,000</w:t>
            </w:r>
          </w:p>
        </w:tc>
        <w:tc>
          <w:tcPr>
            <w:tcW w:w="8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28,082,664</w:t>
            </w: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28,001,250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1100" w:type="dxa"/>
            <w:vAlign w:val="bottom"/>
            <w:shd w:val="clear" w:color="auto" w:fill="CCEEFF"/>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619,237,012</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6"/>
              </w:rPr>
              <w:t>599,963,048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Subordinated Debt/Corporate Notes—20.7%</w:t>
            </w:r>
          </w:p>
        </w:tc>
        <w:tc>
          <w:tcPr>
            <w:tcW w:w="11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09/14/2018</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9"/>
              </w:rPr>
              <w:t>41,389,881</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37,715,391</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15,728,155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Affinion Investments LLC</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08/15/2018</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21,625,412</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18,687,177</w:t>
            </w: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14,489,026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LLC</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02/15/2019</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12.00%</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8,930,000</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8,819,557</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8,872,566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Cascade LP Holdings, LLC</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08/20/2021</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9"/>
              </w:rPr>
              <w:t>Environmental Services</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12.00%</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27,475,553</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26,893,410</w:t>
            </w: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26,926,042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Cascade LP Holdings, LLC </w:t>
            </w:r>
            <w:r>
              <w:rPr>
                <w:rFonts w:ascii="Arial" w:cs="Arial" w:eastAsia="Arial" w:hAnsi="Arial"/>
                <w:sz w:val="10"/>
                <w:szCs w:val="10"/>
                <w:color w:val="auto"/>
              </w:rPr>
              <w:t>(9)</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02/20/2017</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Environmental Services</w:t>
            </w:r>
          </w:p>
        </w:tc>
        <w:tc>
          <w:tcPr>
            <w:tcW w:w="96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9"/>
              </w:rPr>
              <w:t>11,124,447</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27,811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60" w:type="dxa"/>
            <w:vAlign w:val="bottom"/>
          </w:tcPr>
          <w:p>
            <w:pPr>
              <w:spacing w:after="0" w:line="121" w:lineRule="exact"/>
              <w:rPr>
                <w:sz w:val="20"/>
                <w:szCs w:val="20"/>
                <w:color w:val="auto"/>
              </w:rPr>
            </w:pPr>
            <w:r>
              <w:rPr>
                <w:rFonts w:ascii="Arial" w:cs="Arial" w:eastAsia="Arial" w:hAnsi="Arial"/>
                <w:sz w:val="13"/>
                <w:szCs w:val="13"/>
                <w:color w:val="auto"/>
              </w:rPr>
              <w:t>Credit Infonet, Inc.</w:t>
            </w:r>
          </w:p>
        </w:tc>
        <w:tc>
          <w:tcPr>
            <w:tcW w:w="1100" w:type="dxa"/>
            <w:vAlign w:val="bottom"/>
          </w:tcPr>
          <w:p>
            <w:pPr>
              <w:ind w:left="400"/>
              <w:spacing w:after="0" w:line="121" w:lineRule="exact"/>
              <w:rPr>
                <w:sz w:val="20"/>
                <w:szCs w:val="20"/>
                <w:color w:val="auto"/>
              </w:rPr>
            </w:pPr>
            <w:r>
              <w:rPr>
                <w:rFonts w:ascii="Arial" w:cs="Arial" w:eastAsia="Arial" w:hAnsi="Arial"/>
                <w:sz w:val="13"/>
                <w:szCs w:val="13"/>
                <w:color w:val="auto"/>
              </w:rPr>
              <w:t>10/26/2018</w:t>
            </w:r>
          </w:p>
        </w:tc>
        <w:tc>
          <w:tcPr>
            <w:tcW w:w="2900" w:type="dxa"/>
            <w:vAlign w:val="bottom"/>
          </w:tcPr>
          <w:p>
            <w:pPr>
              <w:jc w:val="center"/>
              <w:spacing w:after="0" w:line="121" w:lineRule="exact"/>
              <w:rPr>
                <w:sz w:val="20"/>
                <w:szCs w:val="20"/>
                <w:color w:val="auto"/>
              </w:rPr>
            </w:pPr>
            <w:r>
              <w:rPr>
                <w:rFonts w:ascii="Arial" w:cs="Arial" w:eastAsia="Arial" w:hAnsi="Arial"/>
                <w:sz w:val="13"/>
                <w:szCs w:val="13"/>
                <w:color w:val="auto"/>
                <w:w w:val="86"/>
              </w:rPr>
              <w:t>Personal, Food and Miscellaneous Services</w:t>
            </w:r>
          </w:p>
        </w:tc>
        <w:tc>
          <w:tcPr>
            <w:tcW w:w="96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13.00%</w:t>
            </w:r>
          </w:p>
        </w:tc>
        <w:tc>
          <w:tcPr>
            <w:tcW w:w="94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w w:val="89"/>
              </w:rPr>
              <w:t>10,800,349</w:t>
            </w:r>
          </w:p>
        </w:tc>
        <w:tc>
          <w:tcPr>
            <w:tcW w:w="92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10,664,093</w:t>
            </w:r>
          </w:p>
        </w:tc>
        <w:tc>
          <w:tcPr>
            <w:tcW w:w="76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rPr>
              <w:t>10,628,485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(PIK 1.75%)</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MSPark, Inc.</w:t>
            </w:r>
          </w:p>
        </w:tc>
        <w:tc>
          <w:tcPr>
            <w:tcW w:w="1100" w:type="dxa"/>
            <w:vAlign w:val="bottom"/>
            <w:shd w:val="clear" w:color="auto" w:fill="CCEEFF"/>
          </w:tcPr>
          <w:p>
            <w:pPr>
              <w:ind w:left="400"/>
              <w:spacing w:after="0" w:line="138" w:lineRule="exact"/>
              <w:rPr>
                <w:sz w:val="20"/>
                <w:szCs w:val="20"/>
                <w:color w:val="auto"/>
              </w:rPr>
            </w:pPr>
            <w:r>
              <w:rPr>
                <w:rFonts w:ascii="Arial" w:cs="Arial" w:eastAsia="Arial" w:hAnsi="Arial"/>
                <w:sz w:val="13"/>
                <w:szCs w:val="13"/>
                <w:color w:val="auto"/>
              </w:rPr>
              <w:t>06/15/2017</w:t>
            </w:r>
          </w:p>
        </w:tc>
        <w:tc>
          <w:tcPr>
            <w:tcW w:w="29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8"/>
              </w:rPr>
              <w:t>Printing and Publishing</w:t>
            </w:r>
          </w:p>
        </w:tc>
        <w:tc>
          <w:tcPr>
            <w:tcW w:w="9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14.50%</w:t>
            </w:r>
            <w:r>
              <w:rPr>
                <w:rFonts w:ascii="Arial" w:cs="Arial" w:eastAsia="Arial" w:hAnsi="Arial"/>
                <w:sz w:val="10"/>
                <w:szCs w:val="10"/>
                <w:color w:val="auto"/>
              </w:rPr>
              <w:t>(7)</w:t>
            </w: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w w:val="89"/>
              </w:rPr>
              <w:t>15,000,000</w:t>
            </w:r>
          </w:p>
        </w:tc>
        <w:tc>
          <w:tcPr>
            <w:tcW w:w="92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14,836,009</w:t>
            </w:r>
          </w:p>
        </w:tc>
        <w:tc>
          <w:tcPr>
            <w:tcW w:w="76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15,000,000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(5)</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11/15/2019</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15,204,289</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14,829,719</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1,520,429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Randall-Reilly, LLC</w:t>
            </w:r>
          </w:p>
        </w:tc>
        <w:tc>
          <w:tcPr>
            <w:tcW w:w="11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04/15/2019</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12.50%</w:t>
            </w:r>
            <w:r>
              <w:rPr>
                <w:rFonts w:ascii="Arial" w:cs="Arial" w:eastAsia="Arial" w:hAnsi="Arial"/>
                <w:sz w:val="10"/>
                <w:szCs w:val="10"/>
                <w:color w:val="auto"/>
              </w:rPr>
              <w:t>(7)</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9"/>
              </w:rPr>
              <w:t>42,275,000</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41,618,180</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41,892,583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1100" w:type="dxa"/>
            <w:vAlign w:val="bottom"/>
          </w:tcPr>
          <w:p>
            <w:pPr>
              <w:ind w:left="400"/>
              <w:spacing w:after="0" w:line="135" w:lineRule="exact"/>
              <w:rPr>
                <w:sz w:val="20"/>
                <w:szCs w:val="20"/>
                <w:color w:val="auto"/>
              </w:rPr>
            </w:pPr>
            <w:r>
              <w:rPr>
                <w:rFonts w:ascii="Arial" w:cs="Arial" w:eastAsia="Arial" w:hAnsi="Arial"/>
                <w:sz w:val="13"/>
                <w:szCs w:val="13"/>
                <w:color w:val="auto"/>
              </w:rPr>
              <w:t>05/13/2021</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9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11.00%</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13,300,000</w:t>
            </w:r>
          </w:p>
        </w:tc>
        <w:tc>
          <w:tcPr>
            <w:tcW w:w="8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13,057,260</w:t>
            </w: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13,167,000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1100" w:type="dxa"/>
            <w:vAlign w:val="bottom"/>
            <w:shd w:val="clear" w:color="auto" w:fill="CCEEFF"/>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4"/>
              </w:rPr>
              <w:t>187,120,796</w:t>
            </w:r>
          </w:p>
        </w:tc>
        <w:tc>
          <w:tcPr>
            <w:tcW w:w="14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6"/>
              </w:rPr>
              <w:t>148,252,097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F-34</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b w:val="1"/>
                <w:bCs w:val="1"/>
                <w:color w:val="auto"/>
                <w:w w:val="93"/>
              </w:rPr>
              <w:t>Basis Point</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040" w:type="dxa"/>
            <w:vAlign w:val="bottom"/>
            <w:vMerge w:val="restart"/>
          </w:tcPr>
          <w:p>
            <w:pPr>
              <w:ind w:left="300"/>
              <w:spacing w:after="0"/>
              <w:rPr>
                <w:sz w:val="20"/>
                <w:szCs w:val="20"/>
                <w:color w:val="auto"/>
              </w:rPr>
            </w:pPr>
            <w:r>
              <w:rPr>
                <w:rFonts w:ascii="Arial" w:cs="Arial" w:eastAsia="Arial" w:hAnsi="Arial"/>
                <w:sz w:val="13"/>
                <w:szCs w:val="13"/>
                <w:b w:val="1"/>
                <w:bCs w:val="1"/>
                <w:color w:val="auto"/>
              </w:rPr>
              <w:t>Maturity /</w:t>
            </w:r>
          </w:p>
        </w:tc>
        <w:tc>
          <w:tcPr>
            <w:tcW w:w="2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Spread</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560" w:type="dxa"/>
            <w:vAlign w:val="bottom"/>
          </w:tcPr>
          <w:p>
            <w:pPr>
              <w:spacing w:after="0"/>
              <w:rPr>
                <w:sz w:val="10"/>
                <w:szCs w:val="10"/>
                <w:color w:val="auto"/>
              </w:rPr>
            </w:pPr>
          </w:p>
        </w:tc>
        <w:tc>
          <w:tcPr>
            <w:tcW w:w="800" w:type="dxa"/>
            <w:vAlign w:val="bottom"/>
          </w:tcPr>
          <w:p>
            <w:pPr>
              <w:jc w:val="right"/>
              <w:ind w:right="117"/>
              <w:spacing w:after="0" w:line="126" w:lineRule="exact"/>
              <w:rPr>
                <w:sz w:val="20"/>
                <w:szCs w:val="20"/>
                <w:color w:val="auto"/>
              </w:rPr>
            </w:pPr>
            <w:r>
              <w:rPr>
                <w:rFonts w:ascii="Arial" w:cs="Arial" w:eastAsia="Arial" w:hAnsi="Arial"/>
                <w:sz w:val="13"/>
                <w:szCs w:val="13"/>
                <w:b w:val="1"/>
                <w:bCs w:val="1"/>
                <w:color w:val="auto"/>
              </w:rPr>
              <w:t>Current</w:t>
            </w:r>
          </w:p>
        </w:tc>
        <w:tc>
          <w:tcPr>
            <w:tcW w:w="8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0"/>
              </w:rPr>
              <w:t>Above</w:t>
            </w:r>
          </w:p>
        </w:tc>
        <w:tc>
          <w:tcPr>
            <w:tcW w:w="760" w:type="dxa"/>
            <w:vAlign w:val="bottom"/>
          </w:tcPr>
          <w:p>
            <w:pPr>
              <w:jc w:val="right"/>
              <w:ind w:right="197"/>
              <w:spacing w:after="0" w:line="126" w:lineRule="exact"/>
              <w:rPr>
                <w:sz w:val="20"/>
                <w:szCs w:val="20"/>
                <w:color w:val="auto"/>
              </w:rPr>
            </w:pPr>
            <w:r>
              <w:rPr>
                <w:rFonts w:ascii="Arial" w:cs="Arial" w:eastAsia="Arial" w:hAnsi="Arial"/>
                <w:sz w:val="13"/>
                <w:szCs w:val="13"/>
                <w:b w:val="1"/>
                <w:bCs w:val="1"/>
                <w:color w:val="auto"/>
              </w:rPr>
              <w:t>Par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460" w:type="dxa"/>
            <w:vAlign w:val="bottom"/>
            <w:gridSpan w:val="2"/>
          </w:tcPr>
          <w:p>
            <w:pPr>
              <w:spacing w:after="0"/>
              <w:rPr>
                <w:sz w:val="20"/>
                <w:szCs w:val="20"/>
                <w:color w:val="auto"/>
              </w:rPr>
            </w:pPr>
            <w:r>
              <w:rPr>
                <w:rFonts w:ascii="Arial" w:cs="Arial" w:eastAsia="Arial" w:hAnsi="Arial"/>
                <w:sz w:val="13"/>
                <w:szCs w:val="13"/>
                <w:b w:val="1"/>
                <w:bCs w:val="1"/>
                <w:color w:val="auto"/>
              </w:rPr>
              <w:t>Issuer Name</w:t>
            </w:r>
          </w:p>
        </w:tc>
        <w:tc>
          <w:tcPr>
            <w:tcW w:w="1040" w:type="dxa"/>
            <w:vAlign w:val="bottom"/>
          </w:tcPr>
          <w:p>
            <w:pPr>
              <w:ind w:left="280"/>
              <w:spacing w:after="0"/>
              <w:rPr>
                <w:sz w:val="20"/>
                <w:szCs w:val="20"/>
                <w:color w:val="auto"/>
              </w:rPr>
            </w:pPr>
            <w:r>
              <w:rPr>
                <w:rFonts w:ascii="Arial" w:cs="Arial" w:eastAsia="Arial" w:hAnsi="Arial"/>
                <w:sz w:val="13"/>
                <w:szCs w:val="13"/>
                <w:b w:val="1"/>
                <w:bCs w:val="1"/>
                <w:color w:val="auto"/>
              </w:rPr>
              <w:t>Expiration</w:t>
            </w:r>
          </w:p>
        </w:tc>
        <w:tc>
          <w:tcPr>
            <w:tcW w:w="2560" w:type="dxa"/>
            <w:vAlign w:val="bottom"/>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800" w:type="dxa"/>
            <w:vAlign w:val="bottom"/>
          </w:tcPr>
          <w:p>
            <w:pPr>
              <w:jc w:val="right"/>
              <w:ind w:right="117"/>
              <w:spacing w:after="0"/>
              <w:rPr>
                <w:sz w:val="20"/>
                <w:szCs w:val="20"/>
                <w:color w:val="auto"/>
              </w:rPr>
            </w:pPr>
            <w:r>
              <w:rPr>
                <w:rFonts w:ascii="Arial" w:cs="Arial" w:eastAsia="Arial" w:hAnsi="Arial"/>
                <w:sz w:val="13"/>
                <w:szCs w:val="13"/>
                <w:b w:val="1"/>
                <w:bCs w:val="1"/>
                <w:color w:val="auto"/>
              </w:rPr>
              <w:t>Coupon</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6"/>
              </w:rPr>
              <w:t xml:space="preserve">Index </w:t>
            </w:r>
            <w:r>
              <w:rPr>
                <w:rFonts w:ascii="Arial" w:cs="Arial" w:eastAsia="Arial" w:hAnsi="Arial"/>
                <w:sz w:val="10"/>
                <w:szCs w:val="10"/>
                <w:b w:val="1"/>
                <w:bCs w:val="1"/>
                <w:color w:val="auto"/>
                <w:w w:val="96"/>
              </w:rPr>
              <w:t>(4)</w:t>
            </w:r>
          </w:p>
        </w:tc>
        <w:tc>
          <w:tcPr>
            <w:tcW w:w="760" w:type="dxa"/>
            <w:vAlign w:val="bottom"/>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ind w:left="220"/>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Arial" w:cs="Arial" w:eastAsia="Arial" w:hAnsi="Arial"/>
                <w:sz w:val="13"/>
                <w:szCs w:val="13"/>
                <w:b w:val="1"/>
                <w:bCs w:val="1"/>
                <w:color w:val="auto"/>
                <w:w w:val="99"/>
              </w:rPr>
              <w:t xml:space="preserve">Fair Value </w:t>
            </w:r>
            <w:r>
              <w:rPr>
                <w:rFonts w:ascii="Arial" w:cs="Arial" w:eastAsia="Arial" w:hAnsi="Arial"/>
                <w:sz w:val="10"/>
                <w:szCs w:val="10"/>
                <w:b w:val="1"/>
                <w:bCs w:val="1"/>
                <w:color w:val="auto"/>
                <w:w w:val="99"/>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Preferred Equity/Partnership Interests—1.8% </w:t>
            </w:r>
            <w:r>
              <w:rPr>
                <w:rFonts w:ascii="Arial" w:cs="Arial" w:eastAsia="Arial" w:hAnsi="Arial"/>
                <w:sz w:val="10"/>
                <w:szCs w:val="10"/>
                <w:b w:val="1"/>
                <w:bCs w:val="1"/>
                <w:color w:val="auto"/>
              </w:rPr>
              <w:t>(6)</w:t>
            </w:r>
          </w:p>
        </w:tc>
        <w:tc>
          <w:tcPr>
            <w:tcW w:w="1040" w:type="dxa"/>
            <w:vAlign w:val="bottom"/>
            <w:tcBorders>
              <w:top w:val="single" w:sz="8" w:color="auto"/>
            </w:tcBorders>
            <w:shd w:val="clear" w:color="auto" w:fill="CCEEFF"/>
          </w:tcPr>
          <w:p>
            <w:pPr>
              <w:spacing w:after="0"/>
              <w:rPr>
                <w:sz w:val="11"/>
                <w:szCs w:val="11"/>
                <w:color w:val="auto"/>
              </w:rPr>
            </w:pPr>
          </w:p>
        </w:tc>
        <w:tc>
          <w:tcPr>
            <w:tcW w:w="25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AH Holdings, Inc.</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6.00%</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211</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500,000</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355,508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949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949,050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995,487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tcPr>
          <w:p>
            <w:pPr>
              <w:jc w:val="center"/>
              <w:spacing w:after="0" w:line="135" w:lineRule="exact"/>
              <w:rPr>
                <w:sz w:val="20"/>
                <w:szCs w:val="20"/>
                <w:color w:val="auto"/>
              </w:rPr>
            </w:pPr>
            <w:r>
              <w:rPr>
                <w:rFonts w:ascii="Arial" w:cs="Arial" w:eastAsia="Arial" w:hAnsi="Arial"/>
                <w:sz w:val="13"/>
                <w:szCs w:val="13"/>
                <w:color w:val="auto"/>
                <w:w w:val="91"/>
              </w:rPr>
              <w:t>Electronics</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8.00%</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2,375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2,088,121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2,222,223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HW Holdco, LLC</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8.00%</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3,591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24,177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J.A. Cosmetics US, Inc.</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8.00%</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3,397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3,397,484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3,871,624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Roto Holdings, Inc.</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1,197</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1,197,000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1,295,710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vRide Holdings, Inc. (f/k/a Ride Holdings, Inc.)</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tcPr>
          <w:p>
            <w:pPr>
              <w:jc w:val="center"/>
              <w:spacing w:after="0" w:line="135" w:lineRule="exact"/>
              <w:rPr>
                <w:sz w:val="20"/>
                <w:szCs w:val="20"/>
                <w:color w:val="auto"/>
              </w:rPr>
            </w:pPr>
            <w:r>
              <w:rPr>
                <w:rFonts w:ascii="Arial" w:cs="Arial" w:eastAsia="Arial" w:hAnsi="Arial"/>
                <w:sz w:val="13"/>
                <w:szCs w:val="13"/>
                <w:color w:val="auto"/>
                <w:w w:val="86"/>
              </w:rPr>
              <w:t>Personal Transportation</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8.00%</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1,966,667</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2,102,669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4,275,107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Preferred Equity/Partnership Interests</w:t>
            </w:r>
          </w:p>
        </w:tc>
        <w:tc>
          <w:tcPr>
            <w:tcW w:w="1040" w:type="dxa"/>
            <w:vAlign w:val="bottom"/>
            <w:shd w:val="clear" w:color="auto" w:fill="CCEEFF"/>
          </w:tcPr>
          <w:p>
            <w:pPr>
              <w:spacing w:after="0"/>
              <w:rPr>
                <w:sz w:val="11"/>
                <w:szCs w:val="11"/>
                <w:color w:val="auto"/>
              </w:rPr>
            </w:pPr>
          </w:p>
        </w:tc>
        <w:tc>
          <w:tcPr>
            <w:tcW w:w="25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10,234,324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13,039,836</w:t>
            </w:r>
          </w:p>
        </w:tc>
        <w:tc>
          <w:tcPr>
            <w:tcW w:w="0" w:type="dxa"/>
            <w:vAlign w:val="bottom"/>
          </w:tcPr>
          <w:p>
            <w:pPr>
              <w:spacing w:after="0"/>
              <w:rPr>
                <w:sz w:val="1"/>
                <w:szCs w:val="1"/>
                <w:color w:val="auto"/>
              </w:rPr>
            </w:pPr>
          </w:p>
        </w:tc>
      </w:tr>
      <w:tr>
        <w:trPr>
          <w:trHeight w:val="142"/>
        </w:trPr>
        <w:tc>
          <w:tcPr>
            <w:tcW w:w="34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w w:val="97"/>
              </w:rPr>
              <w:t xml:space="preserve">Common Equity/Partnership Interests/Warrants—7.7% </w:t>
            </w:r>
            <w:r>
              <w:rPr>
                <w:rFonts w:ascii="Arial" w:cs="Arial" w:eastAsia="Arial" w:hAnsi="Arial"/>
                <w:sz w:val="10"/>
                <w:szCs w:val="10"/>
                <w:b w:val="1"/>
                <w:bCs w:val="1"/>
                <w:color w:val="auto"/>
                <w:w w:val="97"/>
              </w:rPr>
              <w:t>(6)</w:t>
            </w:r>
          </w:p>
        </w:tc>
        <w:tc>
          <w:tcPr>
            <w:tcW w:w="10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A2Z Wireless Holdings, Inc.</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1,736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445,500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2,528,247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Affinion Group Holdings, Inc., Series A (Warrants)</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9"/>
              </w:rPr>
              <w:t>12/12/2023</w:t>
            </w:r>
          </w:p>
        </w:tc>
        <w:tc>
          <w:tcPr>
            <w:tcW w:w="256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8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4,798,624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10,265,972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2,519,278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 Series B (Warrants)</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89"/>
              </w:rPr>
              <w:t>12/12/2023</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9,822,196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196,444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AH Holdings, Inc. (Warrants)</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9"/>
              </w:rPr>
              <w:t>03/23/2021</w:t>
            </w:r>
          </w:p>
        </w:tc>
        <w:tc>
          <w:tcPr>
            <w:tcW w:w="2560" w:type="dxa"/>
            <w:vAlign w:val="bottom"/>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8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753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950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ASP LCG Holdings, Inc. (Warrants)</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9"/>
              </w:rPr>
              <w:t>05/05/2026</w:t>
            </w:r>
          </w:p>
        </w:tc>
        <w:tc>
          <w:tcPr>
            <w:tcW w:w="2560" w:type="dxa"/>
            <w:vAlign w:val="bottom"/>
          </w:tcPr>
          <w:p>
            <w:pPr>
              <w:jc w:val="center"/>
              <w:spacing w:after="0" w:line="135" w:lineRule="exact"/>
              <w:rPr>
                <w:sz w:val="20"/>
                <w:szCs w:val="20"/>
                <w:color w:val="auto"/>
              </w:rPr>
            </w:pPr>
            <w:r>
              <w:rPr>
                <w:rFonts w:ascii="Arial" w:cs="Arial" w:eastAsia="Arial" w:hAnsi="Arial"/>
                <w:sz w:val="13"/>
                <w:szCs w:val="13"/>
                <w:color w:val="auto"/>
                <w:w w:val="86"/>
              </w:rPr>
              <w:t>Education</w:t>
            </w:r>
          </w:p>
        </w:tc>
        <w:tc>
          <w:tcPr>
            <w:tcW w:w="8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933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586,975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820,067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Autumn Games, LLC</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Broadcasting and Entertainment</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1,333,330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3,000,000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40" w:type="dxa"/>
            <w:vAlign w:val="bottom"/>
          </w:tcPr>
          <w:p>
            <w:pPr>
              <w:spacing w:after="0" w:line="121" w:lineRule="exact"/>
              <w:rPr>
                <w:sz w:val="20"/>
                <w:szCs w:val="20"/>
                <w:color w:val="auto"/>
              </w:rPr>
            </w:pPr>
            <w:r>
              <w:rPr>
                <w:rFonts w:ascii="Arial" w:cs="Arial" w:eastAsia="Arial" w:hAnsi="Arial"/>
                <w:sz w:val="13"/>
                <w:szCs w:val="13"/>
                <w:color w:val="auto"/>
              </w:rPr>
              <w:t xml:space="preserve">Cardinal Logistics Holdings LLC </w:t>
            </w:r>
            <w:r>
              <w:rPr>
                <w:rFonts w:ascii="Arial" w:cs="Arial" w:eastAsia="Arial" w:hAnsi="Arial"/>
                <w:sz w:val="10"/>
                <w:szCs w:val="10"/>
                <w:color w:val="auto"/>
              </w:rPr>
              <w:t>(11)</w:t>
            </w:r>
          </w:p>
        </w:tc>
        <w:tc>
          <w:tcPr>
            <w:tcW w:w="1040" w:type="dxa"/>
            <w:vAlign w:val="bottom"/>
          </w:tcPr>
          <w:p>
            <w:pPr>
              <w:jc w:val="center"/>
              <w:ind w:left="37"/>
              <w:spacing w:after="0" w:line="121" w:lineRule="exact"/>
              <w:rPr>
                <w:sz w:val="20"/>
                <w:szCs w:val="20"/>
                <w:color w:val="auto"/>
              </w:rPr>
            </w:pPr>
            <w:r>
              <w:rPr>
                <w:rFonts w:ascii="Arial" w:cs="Arial" w:eastAsia="Arial" w:hAnsi="Arial"/>
                <w:sz w:val="13"/>
                <w:szCs w:val="13"/>
                <w:color w:val="auto"/>
              </w:rPr>
              <w:t>—</w:t>
            </w:r>
          </w:p>
        </w:tc>
        <w:tc>
          <w:tcPr>
            <w:tcW w:w="2560" w:type="dxa"/>
            <w:vAlign w:val="bottom"/>
          </w:tcPr>
          <w:p>
            <w:pPr>
              <w:jc w:val="center"/>
              <w:spacing w:after="0" w:line="121" w:lineRule="exact"/>
              <w:rPr>
                <w:sz w:val="20"/>
                <w:szCs w:val="20"/>
                <w:color w:val="auto"/>
              </w:rPr>
            </w:pPr>
            <w:r>
              <w:rPr>
                <w:rFonts w:ascii="Arial" w:cs="Arial" w:eastAsia="Arial" w:hAnsi="Arial"/>
                <w:sz w:val="13"/>
                <w:szCs w:val="13"/>
                <w:color w:val="auto"/>
                <w:w w:val="86"/>
              </w:rPr>
              <w:t>Cargo Transport</w:t>
            </w:r>
          </w:p>
        </w:tc>
        <w:tc>
          <w:tcPr>
            <w:tcW w:w="800" w:type="dxa"/>
            <w:vAlign w:val="bottom"/>
          </w:tcPr>
          <w:p>
            <w:pPr>
              <w:jc w:val="right"/>
              <w:ind w:right="97"/>
              <w:spacing w:after="0" w:line="121"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21"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137,923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2,111,588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20"/>
              <w:spacing w:after="0"/>
              <w:rPr>
                <w:sz w:val="20"/>
                <w:szCs w:val="20"/>
                <w:color w:val="auto"/>
              </w:rPr>
            </w:pPr>
            <w:r>
              <w:rPr>
                <w:rFonts w:ascii="Arial" w:cs="Arial" w:eastAsia="Arial" w:hAnsi="Arial"/>
                <w:sz w:val="13"/>
                <w:szCs w:val="13"/>
                <w:color w:val="auto"/>
              </w:rPr>
              <w:t>(Intermediate Transportation 100, LLC)</w:t>
            </w:r>
          </w:p>
        </w:tc>
        <w:tc>
          <w:tcPr>
            <w:tcW w:w="10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Cascade LP Holdings, LLC </w:t>
            </w:r>
            <w:r>
              <w:rPr>
                <w:rFonts w:ascii="Arial" w:cs="Arial" w:eastAsia="Arial" w:hAnsi="Arial"/>
                <w:sz w:val="10"/>
                <w:szCs w:val="10"/>
                <w:color w:val="auto"/>
              </w:rPr>
              <w:t>(11)</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Environmental Services</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23,600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2,360,000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3,473,308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40" w:type="dxa"/>
            <w:vAlign w:val="bottom"/>
          </w:tcPr>
          <w:p>
            <w:pPr>
              <w:spacing w:after="0" w:line="121" w:lineRule="exact"/>
              <w:rPr>
                <w:sz w:val="20"/>
                <w:szCs w:val="20"/>
                <w:color w:val="auto"/>
              </w:rPr>
            </w:pPr>
            <w:r>
              <w:rPr>
                <w:rFonts w:ascii="Arial" w:cs="Arial" w:eastAsia="Arial" w:hAnsi="Arial"/>
                <w:sz w:val="13"/>
                <w:szCs w:val="13"/>
                <w:color w:val="auto"/>
              </w:rPr>
              <w:t xml:space="preserve">CI (FBM) Holdings, LLC </w:t>
            </w:r>
            <w:r>
              <w:rPr>
                <w:rFonts w:ascii="Arial" w:cs="Arial" w:eastAsia="Arial" w:hAnsi="Arial"/>
                <w:sz w:val="10"/>
                <w:szCs w:val="10"/>
                <w:color w:val="auto"/>
              </w:rPr>
              <w:t>(11)</w:t>
            </w:r>
          </w:p>
        </w:tc>
        <w:tc>
          <w:tcPr>
            <w:tcW w:w="1040" w:type="dxa"/>
            <w:vAlign w:val="bottom"/>
          </w:tcPr>
          <w:p>
            <w:pPr>
              <w:jc w:val="center"/>
              <w:ind w:left="37"/>
              <w:spacing w:after="0" w:line="121" w:lineRule="exact"/>
              <w:rPr>
                <w:sz w:val="20"/>
                <w:szCs w:val="20"/>
                <w:color w:val="auto"/>
              </w:rPr>
            </w:pPr>
            <w:r>
              <w:rPr>
                <w:rFonts w:ascii="Arial" w:cs="Arial" w:eastAsia="Arial" w:hAnsi="Arial"/>
                <w:sz w:val="13"/>
                <w:szCs w:val="13"/>
                <w:color w:val="auto"/>
              </w:rPr>
              <w:t>—</w:t>
            </w:r>
          </w:p>
        </w:tc>
        <w:tc>
          <w:tcPr>
            <w:tcW w:w="2560" w:type="dxa"/>
            <w:vAlign w:val="bottom"/>
          </w:tcPr>
          <w:p>
            <w:pPr>
              <w:jc w:val="center"/>
              <w:spacing w:after="0" w:line="121" w:lineRule="exact"/>
              <w:rPr>
                <w:sz w:val="20"/>
                <w:szCs w:val="20"/>
                <w:color w:val="auto"/>
              </w:rPr>
            </w:pPr>
            <w:r>
              <w:rPr>
                <w:rFonts w:ascii="Arial" w:cs="Arial" w:eastAsia="Arial" w:hAnsi="Arial"/>
                <w:sz w:val="13"/>
                <w:szCs w:val="13"/>
                <w:color w:val="auto"/>
                <w:w w:val="91"/>
              </w:rPr>
              <w:t>Building Materials</w:t>
            </w:r>
          </w:p>
        </w:tc>
        <w:tc>
          <w:tcPr>
            <w:tcW w:w="800" w:type="dxa"/>
            <w:vAlign w:val="bottom"/>
          </w:tcPr>
          <w:p>
            <w:pPr>
              <w:jc w:val="right"/>
              <w:ind w:right="97"/>
              <w:spacing w:after="0" w:line="121"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21"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207,242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1" w:lineRule="exact"/>
              <w:rPr>
                <w:sz w:val="20"/>
                <w:szCs w:val="20"/>
                <w:color w:val="auto"/>
              </w:rPr>
            </w:pPr>
            <w:r>
              <w:rPr>
                <w:rFonts w:ascii="Arial" w:cs="Arial" w:eastAsia="Arial" w:hAnsi="Arial"/>
                <w:sz w:val="13"/>
                <w:szCs w:val="13"/>
                <w:color w:val="auto"/>
              </w:rPr>
              <w:t>2,250,000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21" w:lineRule="exact"/>
              <w:rPr>
                <w:sz w:val="20"/>
                <w:szCs w:val="20"/>
                <w:color w:val="auto"/>
              </w:rPr>
            </w:pPr>
            <w:r>
              <w:rPr>
                <w:rFonts w:ascii="Arial" w:cs="Arial" w:eastAsia="Arial" w:hAnsi="Arial"/>
                <w:sz w:val="13"/>
                <w:szCs w:val="13"/>
                <w:color w:val="auto"/>
              </w:rPr>
              <w:t>8,223,485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20"/>
              <w:spacing w:after="0"/>
              <w:rPr>
                <w:sz w:val="20"/>
                <w:szCs w:val="20"/>
                <w:color w:val="auto"/>
              </w:rPr>
            </w:pPr>
            <w:r>
              <w:rPr>
                <w:rFonts w:ascii="Arial" w:cs="Arial" w:eastAsia="Arial" w:hAnsi="Arial"/>
                <w:sz w:val="13"/>
                <w:szCs w:val="13"/>
                <w:color w:val="auto"/>
              </w:rPr>
              <w:t>(Foundation Building Materials, LLC)</w:t>
            </w:r>
          </w:p>
        </w:tc>
        <w:tc>
          <w:tcPr>
            <w:tcW w:w="10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CI (FBM) Holdings, LLC </w:t>
            </w:r>
            <w:r>
              <w:rPr>
                <w:rFonts w:ascii="Arial" w:cs="Arial" w:eastAsia="Arial" w:hAnsi="Arial"/>
                <w:sz w:val="10"/>
                <w:szCs w:val="10"/>
                <w:color w:val="auto"/>
              </w:rPr>
              <w:t>(9), (11)</w:t>
            </w:r>
          </w:p>
        </w:tc>
        <w:tc>
          <w:tcPr>
            <w:tcW w:w="1040" w:type="dxa"/>
            <w:vAlign w:val="bottom"/>
            <w:shd w:val="clear" w:color="auto" w:fill="CCEEFF"/>
          </w:tcPr>
          <w:p>
            <w:pPr>
              <w:jc w:val="center"/>
              <w:ind w:left="37"/>
              <w:spacing w:after="0" w:line="121" w:lineRule="exact"/>
              <w:rPr>
                <w:sz w:val="20"/>
                <w:szCs w:val="20"/>
                <w:color w:val="auto"/>
              </w:rPr>
            </w:pPr>
            <w:r>
              <w:rPr>
                <w:rFonts w:ascii="Arial" w:cs="Arial" w:eastAsia="Arial" w:hAnsi="Arial"/>
                <w:sz w:val="13"/>
                <w:szCs w:val="13"/>
                <w:color w:val="auto"/>
              </w:rPr>
              <w:t>—</w:t>
            </w:r>
          </w:p>
        </w:tc>
        <w:tc>
          <w:tcPr>
            <w:tcW w:w="25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Building Materials</w:t>
            </w:r>
          </w:p>
        </w:tc>
        <w:tc>
          <w:tcPr>
            <w:tcW w:w="80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103,621</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(Foundation Building Materials, LLC)</w:t>
            </w:r>
          </w:p>
        </w:tc>
        <w:tc>
          <w:tcPr>
            <w:tcW w:w="104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 xml:space="preserve">CI (Galls) Prime Investment Holdings, LLC </w:t>
            </w:r>
            <w:r>
              <w:rPr>
                <w:rFonts w:ascii="Arial" w:cs="Arial" w:eastAsia="Arial" w:hAnsi="Arial"/>
                <w:sz w:val="10"/>
                <w:szCs w:val="10"/>
                <w:color w:val="auto"/>
              </w:rPr>
              <w:t>(11)</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tcPr>
          <w:p>
            <w:pPr>
              <w:jc w:val="center"/>
              <w:spacing w:after="0" w:line="135" w:lineRule="exact"/>
              <w:rPr>
                <w:sz w:val="20"/>
                <w:szCs w:val="20"/>
                <w:color w:val="auto"/>
              </w:rPr>
            </w:pPr>
            <w:r>
              <w:rPr>
                <w:rFonts w:ascii="Arial" w:cs="Arial" w:eastAsia="Arial" w:hAnsi="Arial"/>
                <w:sz w:val="13"/>
                <w:szCs w:val="13"/>
                <w:color w:val="auto"/>
                <w:w w:val="95"/>
              </w:rPr>
              <w:t>Distribution</w:t>
            </w:r>
          </w:p>
        </w:tc>
        <w:tc>
          <w:tcPr>
            <w:tcW w:w="8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1,745,639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1,745,639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2,040,629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Electronics</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2,375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999,889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40" w:type="dxa"/>
            <w:vAlign w:val="bottom"/>
          </w:tcPr>
          <w:p>
            <w:pPr>
              <w:spacing w:after="0" w:line="121" w:lineRule="exact"/>
              <w:rPr>
                <w:sz w:val="20"/>
                <w:szCs w:val="20"/>
                <w:color w:val="auto"/>
              </w:rPr>
            </w:pPr>
            <w:r>
              <w:rPr>
                <w:rFonts w:ascii="Arial" w:cs="Arial" w:eastAsia="Arial" w:hAnsi="Arial"/>
                <w:sz w:val="13"/>
                <w:szCs w:val="13"/>
                <w:color w:val="auto"/>
              </w:rPr>
              <w:t>Faraday Holdings, LLC</w:t>
            </w:r>
          </w:p>
        </w:tc>
        <w:tc>
          <w:tcPr>
            <w:tcW w:w="1040" w:type="dxa"/>
            <w:vAlign w:val="bottom"/>
          </w:tcPr>
          <w:p>
            <w:pPr>
              <w:jc w:val="center"/>
              <w:ind w:left="37"/>
              <w:spacing w:after="0" w:line="121" w:lineRule="exact"/>
              <w:rPr>
                <w:sz w:val="20"/>
                <w:szCs w:val="20"/>
                <w:color w:val="auto"/>
              </w:rPr>
            </w:pPr>
            <w:r>
              <w:rPr>
                <w:rFonts w:ascii="Arial" w:cs="Arial" w:eastAsia="Arial" w:hAnsi="Arial"/>
                <w:sz w:val="13"/>
                <w:szCs w:val="13"/>
                <w:color w:val="auto"/>
              </w:rPr>
              <w:t>—</w:t>
            </w:r>
          </w:p>
        </w:tc>
        <w:tc>
          <w:tcPr>
            <w:tcW w:w="2560" w:type="dxa"/>
            <w:vAlign w:val="bottom"/>
          </w:tcPr>
          <w:p>
            <w:pPr>
              <w:jc w:val="center"/>
              <w:spacing w:after="0" w:line="121" w:lineRule="exact"/>
              <w:rPr>
                <w:sz w:val="20"/>
                <w:szCs w:val="20"/>
                <w:color w:val="auto"/>
              </w:rPr>
            </w:pPr>
            <w:r>
              <w:rPr>
                <w:rFonts w:ascii="Arial" w:cs="Arial" w:eastAsia="Arial" w:hAnsi="Arial"/>
                <w:sz w:val="13"/>
                <w:szCs w:val="13"/>
                <w:color w:val="auto"/>
                <w:w w:val="91"/>
              </w:rPr>
              <w:t>Building Materials</w:t>
            </w:r>
          </w:p>
        </w:tc>
        <w:tc>
          <w:tcPr>
            <w:tcW w:w="800" w:type="dxa"/>
            <w:vAlign w:val="bottom"/>
          </w:tcPr>
          <w:p>
            <w:pPr>
              <w:jc w:val="right"/>
              <w:ind w:right="97"/>
              <w:spacing w:after="0" w:line="121"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21"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3,520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171,601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rPr>
              <w:t>196,748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20"/>
              <w:spacing w:after="0"/>
              <w:rPr>
                <w:sz w:val="20"/>
                <w:szCs w:val="20"/>
                <w:color w:val="auto"/>
              </w:rPr>
            </w:pPr>
            <w:r>
              <w:rPr>
                <w:rFonts w:ascii="Arial" w:cs="Arial" w:eastAsia="Arial" w:hAnsi="Arial"/>
                <w:sz w:val="13"/>
                <w:szCs w:val="13"/>
                <w:color w:val="auto"/>
              </w:rPr>
              <w:t>(Interior Specialists, Inc.)</w:t>
            </w:r>
          </w:p>
        </w:tc>
        <w:tc>
          <w:tcPr>
            <w:tcW w:w="10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HW Holdco, LLC</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388,378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2,500,113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J.A. Cosmetics US, Inc.</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8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252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2,516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1,833,357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Kadmon Holdings, LLC, Class A</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1,079,920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1,236,832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6,701,684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Kadmon Holdings, LLC, Class D</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8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1,079,920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1,028,807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1,028,807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LaMi Acquisition, LLC </w:t>
            </w:r>
            <w:r>
              <w:rPr>
                <w:rFonts w:ascii="Arial" w:cs="Arial" w:eastAsia="Arial" w:hAnsi="Arial"/>
                <w:sz w:val="10"/>
                <w:szCs w:val="10"/>
                <w:color w:val="auto"/>
              </w:rPr>
              <w:t>(11)</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5"/>
              </w:rPr>
              <w:t>Distribution</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383,447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383,447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 xml:space="preserve">Lariat ecoserv Co-Invest Holdings, LLC </w:t>
            </w:r>
            <w:r>
              <w:rPr>
                <w:rFonts w:ascii="Arial" w:cs="Arial" w:eastAsia="Arial" w:hAnsi="Arial"/>
                <w:sz w:val="10"/>
                <w:szCs w:val="10"/>
                <w:color w:val="auto"/>
              </w:rPr>
              <w:t>(11)</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tcPr>
          <w:p>
            <w:pPr>
              <w:jc w:val="center"/>
              <w:spacing w:after="0" w:line="135" w:lineRule="exact"/>
              <w:rPr>
                <w:sz w:val="20"/>
                <w:szCs w:val="20"/>
                <w:color w:val="auto"/>
              </w:rPr>
            </w:pPr>
            <w:r>
              <w:rPr>
                <w:rFonts w:ascii="Arial" w:cs="Arial" w:eastAsia="Arial" w:hAnsi="Arial"/>
                <w:sz w:val="13"/>
                <w:szCs w:val="13"/>
                <w:color w:val="auto"/>
                <w:w w:val="89"/>
              </w:rPr>
              <w:t>Environmental Services</w:t>
            </w:r>
          </w:p>
        </w:tc>
        <w:tc>
          <w:tcPr>
            <w:tcW w:w="8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1,000,000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1,000,000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761,955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Magnum Hunter Resources Corporation (Warrants) </w:t>
            </w:r>
            <w:r>
              <w:rPr>
                <w:rFonts w:ascii="Arial" w:cs="Arial" w:eastAsia="Arial" w:hAnsi="Arial"/>
                <w:sz w:val="10"/>
                <w:szCs w:val="10"/>
                <w:color w:val="auto"/>
              </w:rPr>
              <w:t>(13)</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89"/>
              </w:rPr>
              <w:t>04/16/2016</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122,192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182,498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40" w:type="dxa"/>
            <w:vAlign w:val="bottom"/>
          </w:tcPr>
          <w:p>
            <w:pPr>
              <w:spacing w:after="0" w:line="121" w:lineRule="exact"/>
              <w:rPr>
                <w:sz w:val="20"/>
                <w:szCs w:val="20"/>
                <w:color w:val="auto"/>
              </w:rPr>
            </w:pPr>
            <w:r>
              <w:rPr>
                <w:rFonts w:ascii="Arial" w:cs="Arial" w:eastAsia="Arial" w:hAnsi="Arial"/>
                <w:sz w:val="13"/>
                <w:szCs w:val="13"/>
                <w:color w:val="auto"/>
              </w:rPr>
              <w:t>MidOcean PPL Holdings, Corp.</w:t>
            </w:r>
          </w:p>
        </w:tc>
        <w:tc>
          <w:tcPr>
            <w:tcW w:w="1040" w:type="dxa"/>
            <w:vAlign w:val="bottom"/>
          </w:tcPr>
          <w:p>
            <w:pPr>
              <w:jc w:val="center"/>
              <w:ind w:left="37"/>
              <w:spacing w:after="0" w:line="121" w:lineRule="exact"/>
              <w:rPr>
                <w:sz w:val="20"/>
                <w:szCs w:val="20"/>
                <w:color w:val="auto"/>
              </w:rPr>
            </w:pPr>
            <w:r>
              <w:rPr>
                <w:rFonts w:ascii="Arial" w:cs="Arial" w:eastAsia="Arial" w:hAnsi="Arial"/>
                <w:sz w:val="13"/>
                <w:szCs w:val="13"/>
                <w:color w:val="auto"/>
              </w:rPr>
              <w:t>—</w:t>
            </w:r>
          </w:p>
        </w:tc>
        <w:tc>
          <w:tcPr>
            <w:tcW w:w="2560" w:type="dxa"/>
            <w:vAlign w:val="bottom"/>
          </w:tcPr>
          <w:p>
            <w:pPr>
              <w:jc w:val="center"/>
              <w:spacing w:after="0" w:line="121" w:lineRule="exact"/>
              <w:rPr>
                <w:sz w:val="20"/>
                <w:szCs w:val="20"/>
                <w:color w:val="auto"/>
              </w:rPr>
            </w:pPr>
            <w:r>
              <w:rPr>
                <w:rFonts w:ascii="Arial" w:cs="Arial" w:eastAsia="Arial" w:hAnsi="Arial"/>
                <w:sz w:val="13"/>
                <w:szCs w:val="13"/>
                <w:color w:val="auto"/>
                <w:w w:val="86"/>
              </w:rPr>
              <w:t>Personal, Food and Miscellaneous Services</w:t>
            </w:r>
          </w:p>
        </w:tc>
        <w:tc>
          <w:tcPr>
            <w:tcW w:w="800" w:type="dxa"/>
            <w:vAlign w:val="bottom"/>
          </w:tcPr>
          <w:p>
            <w:pPr>
              <w:jc w:val="right"/>
              <w:ind w:right="97"/>
              <w:spacing w:after="0" w:line="121"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21"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3,000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1" w:lineRule="exact"/>
              <w:rPr>
                <w:sz w:val="20"/>
                <w:szCs w:val="20"/>
                <w:color w:val="auto"/>
              </w:rPr>
            </w:pPr>
            <w:r>
              <w:rPr>
                <w:rFonts w:ascii="Arial" w:cs="Arial" w:eastAsia="Arial" w:hAnsi="Arial"/>
                <w:sz w:val="13"/>
                <w:szCs w:val="13"/>
                <w:color w:val="auto"/>
              </w:rPr>
              <w:t>3,000,000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21" w:lineRule="exact"/>
              <w:rPr>
                <w:sz w:val="20"/>
                <w:szCs w:val="20"/>
                <w:color w:val="auto"/>
              </w:rPr>
            </w:pPr>
            <w:r>
              <w:rPr>
                <w:rFonts w:ascii="Arial" w:cs="Arial" w:eastAsia="Arial" w:hAnsi="Arial"/>
                <w:sz w:val="13"/>
                <w:szCs w:val="13"/>
                <w:color w:val="auto"/>
              </w:rPr>
              <w:t>4,813,759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20"/>
              <w:spacing w:after="0"/>
              <w:rPr>
                <w:sz w:val="20"/>
                <w:szCs w:val="20"/>
                <w:color w:val="auto"/>
              </w:rPr>
            </w:pPr>
            <w:r>
              <w:rPr>
                <w:rFonts w:ascii="Arial" w:cs="Arial" w:eastAsia="Arial" w:hAnsi="Arial"/>
                <w:sz w:val="13"/>
                <w:szCs w:val="13"/>
                <w:color w:val="auto"/>
              </w:rPr>
              <w:t>(Pre-Paid Legal Services, Inc.)</w:t>
            </w:r>
          </w:p>
        </w:tc>
        <w:tc>
          <w:tcPr>
            <w:tcW w:w="10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New Gulf Resources, LLC (Warrants) </w:t>
            </w:r>
            <w:r>
              <w:rPr>
                <w:rFonts w:ascii="Arial" w:cs="Arial" w:eastAsia="Arial" w:hAnsi="Arial"/>
                <w:sz w:val="10"/>
                <w:szCs w:val="10"/>
                <w:color w:val="auto"/>
              </w:rPr>
              <w:t>(11)</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89"/>
              </w:rPr>
              <w:t>05/09/2024</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13,500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495,000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Patriot National, Inc. (Warrants)</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9"/>
              </w:rPr>
              <w:t>11/27/2023</w:t>
            </w:r>
          </w:p>
        </w:tc>
        <w:tc>
          <w:tcPr>
            <w:tcW w:w="2560" w:type="dxa"/>
            <w:vAlign w:val="bottom"/>
          </w:tcPr>
          <w:p>
            <w:pPr>
              <w:jc w:val="center"/>
              <w:spacing w:after="0" w:line="135" w:lineRule="exact"/>
              <w:rPr>
                <w:sz w:val="20"/>
                <w:szCs w:val="20"/>
                <w:color w:val="auto"/>
              </w:rPr>
            </w:pPr>
            <w:r>
              <w:rPr>
                <w:rFonts w:ascii="Arial" w:cs="Arial" w:eastAsia="Arial" w:hAnsi="Arial"/>
                <w:sz w:val="13"/>
                <w:szCs w:val="13"/>
                <w:color w:val="auto"/>
                <w:w w:val="87"/>
              </w:rPr>
              <w:t>Insurance</w:t>
            </w:r>
          </w:p>
        </w:tc>
        <w:tc>
          <w:tcPr>
            <w:tcW w:w="8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123,129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238,049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1,620,378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Power Products Holdings, LLC, Class A Units </w:t>
            </w:r>
            <w:r>
              <w:rPr>
                <w:rFonts w:ascii="Arial" w:cs="Arial" w:eastAsia="Arial" w:hAnsi="Arial"/>
                <w:sz w:val="10"/>
                <w:szCs w:val="10"/>
                <w:color w:val="auto"/>
              </w:rPr>
              <w:t>(11)</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Electronics</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1,350,000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901,263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1,141,900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 xml:space="preserve">Power Products Holdings, LLC, Class B Units </w:t>
            </w:r>
            <w:r>
              <w:rPr>
                <w:rFonts w:ascii="Arial" w:cs="Arial" w:eastAsia="Arial" w:hAnsi="Arial"/>
                <w:sz w:val="10"/>
                <w:szCs w:val="10"/>
                <w:color w:val="auto"/>
              </w:rPr>
              <w:t>(11)</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tcPr>
          <w:p>
            <w:pPr>
              <w:jc w:val="center"/>
              <w:spacing w:after="0" w:line="135" w:lineRule="exact"/>
              <w:rPr>
                <w:sz w:val="20"/>
                <w:szCs w:val="20"/>
                <w:color w:val="auto"/>
              </w:rPr>
            </w:pPr>
            <w:r>
              <w:rPr>
                <w:rFonts w:ascii="Arial" w:cs="Arial" w:eastAsia="Arial" w:hAnsi="Arial"/>
                <w:sz w:val="13"/>
                <w:szCs w:val="13"/>
                <w:color w:val="auto"/>
                <w:w w:val="91"/>
              </w:rPr>
              <w:t>Electronics</w:t>
            </w:r>
          </w:p>
        </w:tc>
        <w:tc>
          <w:tcPr>
            <w:tcW w:w="8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150,000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142,300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1,351,202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Ride Group Parent, Inc.</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Personal Transportation</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1,870,331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148,998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148,998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8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1,330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133,000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612,550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vRide Holdings, Inc. (f/k/a Ride Holdings, Inc.)</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Personal Transportation</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9,882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11,314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21,481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Vestcom Parent Holdings, Inc.</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tcPr>
          <w:p>
            <w:pPr>
              <w:jc w:val="center"/>
              <w:spacing w:after="0" w:line="135" w:lineRule="exact"/>
              <w:rPr>
                <w:sz w:val="20"/>
                <w:szCs w:val="20"/>
                <w:color w:val="auto"/>
              </w:rPr>
            </w:pPr>
            <w:r>
              <w:rPr>
                <w:rFonts w:ascii="Arial" w:cs="Arial" w:eastAsia="Arial" w:hAnsi="Arial"/>
                <w:sz w:val="13"/>
                <w:szCs w:val="13"/>
                <w:color w:val="auto"/>
                <w:w w:val="88"/>
              </w:rPr>
              <w:t>Printing and Publishing</w:t>
            </w:r>
          </w:p>
        </w:tc>
        <w:tc>
          <w:tcPr>
            <w:tcW w:w="8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211,797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793,873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3,570,645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VText Holdings, Inc.</w:t>
            </w:r>
          </w:p>
        </w:tc>
        <w:tc>
          <w:tcPr>
            <w:tcW w:w="10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rPr>
              <w:t>—</w:t>
            </w: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35,526</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4,050,000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7,597,191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10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36,686,122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55,086,558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9"/>
              </w:rPr>
              <w:t>Total Investments in Non-Controlled, Non-Affiliated Portfolio Companies</w:t>
            </w:r>
          </w:p>
        </w:tc>
        <w:tc>
          <w:tcPr>
            <w:tcW w:w="25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86"/>
              </w:rPr>
              <w:t>1,138,155,969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84"/>
              </w:rPr>
              <w:t>1,096,719,079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F-35</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Basis Point</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98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Maturity /</w:t>
            </w:r>
          </w:p>
        </w:tc>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Spread</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380"/>
              <w:spacing w:after="0" w:line="126" w:lineRule="exact"/>
              <w:rPr>
                <w:sz w:val="20"/>
                <w:szCs w:val="20"/>
                <w:color w:val="auto"/>
              </w:rPr>
            </w:pPr>
            <w:r>
              <w:rPr>
                <w:rFonts w:ascii="Arial" w:cs="Arial" w:eastAsia="Arial" w:hAnsi="Arial"/>
                <w:sz w:val="13"/>
                <w:szCs w:val="13"/>
                <w:b w:val="1"/>
                <w:bCs w:val="1"/>
                <w:color w:val="auto"/>
              </w:rPr>
              <w:t>Current</w:t>
            </w:r>
          </w:p>
        </w:tc>
        <w:tc>
          <w:tcPr>
            <w:tcW w:w="84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90"/>
              </w:rPr>
              <w:t>Above</w:t>
            </w:r>
          </w:p>
        </w:tc>
        <w:tc>
          <w:tcPr>
            <w:tcW w:w="720" w:type="dxa"/>
            <w:vAlign w:val="bottom"/>
            <w:gridSpan w:val="2"/>
          </w:tcPr>
          <w:p>
            <w:pPr>
              <w:jc w:val="right"/>
              <w:ind w:right="300"/>
              <w:spacing w:after="0" w:line="126" w:lineRule="exact"/>
              <w:rPr>
                <w:sz w:val="20"/>
                <w:szCs w:val="20"/>
                <w:color w:val="auto"/>
              </w:rPr>
            </w:pPr>
            <w:r>
              <w:rPr>
                <w:rFonts w:ascii="Arial" w:cs="Arial" w:eastAsia="Arial" w:hAnsi="Arial"/>
                <w:sz w:val="13"/>
                <w:szCs w:val="13"/>
                <w:b w:val="1"/>
                <w:bCs w:val="1"/>
                <w:color w:val="auto"/>
              </w:rPr>
              <w:t>Par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460" w:type="dxa"/>
            <w:vAlign w:val="bottom"/>
            <w:gridSpan w:val="2"/>
          </w:tcPr>
          <w:p>
            <w:pPr>
              <w:spacing w:after="0"/>
              <w:rPr>
                <w:sz w:val="20"/>
                <w:szCs w:val="20"/>
                <w:color w:val="auto"/>
              </w:rPr>
            </w:pPr>
            <w:r>
              <w:rPr>
                <w:rFonts w:ascii="Arial" w:cs="Arial" w:eastAsia="Arial" w:hAnsi="Arial"/>
                <w:sz w:val="13"/>
                <w:szCs w:val="13"/>
                <w:b w:val="1"/>
                <w:bCs w:val="1"/>
                <w:color w:val="auto"/>
              </w:rPr>
              <w:t>Issuer Name</w:t>
            </w:r>
          </w:p>
        </w:tc>
        <w:tc>
          <w:tcPr>
            <w:tcW w:w="980" w:type="dxa"/>
            <w:vAlign w:val="bottom"/>
          </w:tcPr>
          <w:p>
            <w:pPr>
              <w:ind w:left="60"/>
              <w:spacing w:after="0"/>
              <w:rPr>
                <w:sz w:val="20"/>
                <w:szCs w:val="20"/>
                <w:color w:val="auto"/>
              </w:rPr>
            </w:pPr>
            <w:r>
              <w:rPr>
                <w:rFonts w:ascii="Arial" w:cs="Arial" w:eastAsia="Arial" w:hAnsi="Arial"/>
                <w:sz w:val="13"/>
                <w:szCs w:val="13"/>
                <w:b w:val="1"/>
                <w:bCs w:val="1"/>
                <w:color w:val="auto"/>
              </w:rPr>
              <w:t>Expiration</w:t>
            </w:r>
          </w:p>
        </w:tc>
        <w:tc>
          <w:tcPr>
            <w:tcW w:w="26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Industry</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Coupon</w:t>
            </w: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 xml:space="preserve">Index </w:t>
            </w:r>
            <w:r>
              <w:rPr>
                <w:rFonts w:ascii="Arial" w:cs="Arial" w:eastAsia="Arial" w:hAnsi="Arial"/>
                <w:sz w:val="10"/>
                <w:szCs w:val="10"/>
                <w:b w:val="1"/>
                <w:bCs w:val="1"/>
                <w:color w:val="auto"/>
                <w:w w:val="96"/>
              </w:rPr>
              <w:t>(4)</w:t>
            </w: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Cost</w:t>
            </w:r>
          </w:p>
        </w:tc>
        <w:tc>
          <w:tcPr>
            <w:tcW w:w="88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w w:val="94"/>
              </w:rPr>
              <w:t xml:space="preserve">Fair Value </w:t>
            </w:r>
            <w:r>
              <w:rPr>
                <w:rFonts w:ascii="Arial" w:cs="Arial" w:eastAsia="Arial" w:hAnsi="Arial"/>
                <w:sz w:val="10"/>
                <w:szCs w:val="10"/>
                <w:b w:val="1"/>
                <w:bCs w:val="1"/>
                <w:color w:val="auto"/>
                <w:w w:val="94"/>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2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4"/>
              </w:rPr>
              <w:t xml:space="preserve">Investments in Non-Controlled, Affiliated Portfolio Companies—13.3% </w:t>
            </w:r>
            <w:r>
              <w:rPr>
                <w:rFonts w:ascii="Arial" w:cs="Arial" w:eastAsia="Arial" w:hAnsi="Arial"/>
                <w:sz w:val="10"/>
                <w:szCs w:val="10"/>
                <w:b w:val="1"/>
                <w:bCs w:val="1"/>
                <w:color w:val="auto"/>
                <w:w w:val="94"/>
              </w:rPr>
              <w:t>(1), (2)</w:t>
            </w:r>
          </w:p>
        </w:tc>
        <w:tc>
          <w:tcPr>
            <w:tcW w:w="2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Debt—3.2%</w:t>
            </w:r>
          </w:p>
        </w:tc>
        <w:tc>
          <w:tcPr>
            <w:tcW w:w="9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TRAK Acquisition Corp.</w:t>
            </w:r>
          </w:p>
        </w:tc>
        <w:tc>
          <w:tcPr>
            <w:tcW w:w="980" w:type="dxa"/>
            <w:vAlign w:val="bottom"/>
            <w:shd w:val="clear" w:color="auto" w:fill="CCEEFF"/>
          </w:tcPr>
          <w:p>
            <w:pPr>
              <w:jc w:val="center"/>
              <w:ind w:right="217"/>
              <w:spacing w:after="0" w:line="135" w:lineRule="exact"/>
              <w:rPr>
                <w:sz w:val="20"/>
                <w:szCs w:val="20"/>
                <w:color w:val="auto"/>
              </w:rPr>
            </w:pPr>
            <w:r>
              <w:rPr>
                <w:rFonts w:ascii="Arial" w:cs="Arial" w:eastAsia="Arial" w:hAnsi="Arial"/>
                <w:sz w:val="13"/>
                <w:szCs w:val="13"/>
                <w:color w:val="auto"/>
                <w:w w:val="89"/>
              </w:rPr>
              <w:t>04/30/2018</w:t>
            </w:r>
          </w:p>
        </w:tc>
        <w:tc>
          <w:tcPr>
            <w:tcW w:w="260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3"/>
                <w:szCs w:val="13"/>
                <w:color w:val="auto"/>
                <w:w w:val="84"/>
              </w:rPr>
              <w:t>Business Services</w:t>
            </w:r>
          </w:p>
        </w:tc>
        <w:tc>
          <w:tcPr>
            <w:tcW w:w="9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12.00%</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L+1,050</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9"/>
              </w:rPr>
              <w:t>23,514,911</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23,285,423</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23,044,613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Second Lien Secured Debt—1.3%</w:t>
            </w: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EnviroSolutions Real Property Holdings, Inc.</w:t>
            </w:r>
          </w:p>
        </w:tc>
        <w:tc>
          <w:tcPr>
            <w:tcW w:w="980" w:type="dxa"/>
            <w:vAlign w:val="bottom"/>
            <w:shd w:val="clear" w:color="auto" w:fill="CCEEFF"/>
          </w:tcPr>
          <w:p>
            <w:pPr>
              <w:jc w:val="center"/>
              <w:ind w:right="217"/>
              <w:spacing w:after="0" w:line="135" w:lineRule="exact"/>
              <w:rPr>
                <w:sz w:val="20"/>
                <w:szCs w:val="20"/>
                <w:color w:val="auto"/>
              </w:rPr>
            </w:pPr>
            <w:r>
              <w:rPr>
                <w:rFonts w:ascii="Arial" w:cs="Arial" w:eastAsia="Arial" w:hAnsi="Arial"/>
                <w:sz w:val="13"/>
                <w:szCs w:val="13"/>
                <w:color w:val="auto"/>
                <w:w w:val="89"/>
              </w:rPr>
              <w:t>12/26/2017</w:t>
            </w:r>
          </w:p>
        </w:tc>
        <w:tc>
          <w:tcPr>
            <w:tcW w:w="260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3"/>
                <w:szCs w:val="13"/>
                <w:color w:val="auto"/>
                <w:w w:val="89"/>
              </w:rPr>
              <w:t>Environmental Services</w:t>
            </w:r>
          </w:p>
        </w:tc>
        <w:tc>
          <w:tcPr>
            <w:tcW w:w="9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9.00%</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L+800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9,409,740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9,237,014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9,127,448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 xml:space="preserve">EnviroSolutions Real Property Holdings, Inc. </w:t>
            </w:r>
            <w:r>
              <w:rPr>
                <w:rFonts w:ascii="Arial" w:cs="Arial" w:eastAsia="Arial" w:hAnsi="Arial"/>
                <w:sz w:val="10"/>
                <w:szCs w:val="10"/>
                <w:color w:val="auto"/>
              </w:rPr>
              <w:t>(9)</w:t>
            </w:r>
          </w:p>
        </w:tc>
        <w:tc>
          <w:tcPr>
            <w:tcW w:w="980" w:type="dxa"/>
            <w:vAlign w:val="bottom"/>
          </w:tcPr>
          <w:p>
            <w:pPr>
              <w:jc w:val="center"/>
              <w:ind w:right="217"/>
              <w:spacing w:after="0" w:line="135" w:lineRule="exact"/>
              <w:rPr>
                <w:sz w:val="20"/>
                <w:szCs w:val="20"/>
                <w:color w:val="auto"/>
              </w:rPr>
            </w:pPr>
            <w:r>
              <w:rPr>
                <w:rFonts w:ascii="Arial" w:cs="Arial" w:eastAsia="Arial" w:hAnsi="Arial"/>
                <w:sz w:val="13"/>
                <w:szCs w:val="13"/>
                <w:color w:val="auto"/>
                <w:w w:val="89"/>
              </w:rPr>
              <w:t>12/31/2015</w:t>
            </w:r>
          </w:p>
        </w:tc>
        <w:tc>
          <w:tcPr>
            <w:tcW w:w="2600" w:type="dxa"/>
            <w:vAlign w:val="bottom"/>
            <w:gridSpan w:val="2"/>
          </w:tcPr>
          <w:p>
            <w:pPr>
              <w:jc w:val="center"/>
              <w:ind w:right="340"/>
              <w:spacing w:after="0" w:line="135" w:lineRule="exact"/>
              <w:rPr>
                <w:sz w:val="20"/>
                <w:szCs w:val="20"/>
                <w:color w:val="auto"/>
              </w:rPr>
            </w:pPr>
            <w:r>
              <w:rPr>
                <w:rFonts w:ascii="Arial" w:cs="Arial" w:eastAsia="Arial" w:hAnsi="Arial"/>
                <w:sz w:val="13"/>
                <w:szCs w:val="13"/>
                <w:color w:val="auto"/>
                <w:w w:val="89"/>
              </w:rPr>
              <w:t>Environmental Services</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758,850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9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9,237,014</w:t>
            </w: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9,127,448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Subordinated Debt/Corporate Notes—4.8%</w:t>
            </w: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DirectBuy Holdings, Inc.</w:t>
            </w:r>
          </w:p>
        </w:tc>
        <w:tc>
          <w:tcPr>
            <w:tcW w:w="980" w:type="dxa"/>
            <w:vAlign w:val="bottom"/>
            <w:shd w:val="clear" w:color="auto" w:fill="CCEEFF"/>
          </w:tcPr>
          <w:p>
            <w:pPr>
              <w:jc w:val="center"/>
              <w:ind w:right="237"/>
              <w:spacing w:after="0" w:line="135" w:lineRule="exact"/>
              <w:rPr>
                <w:sz w:val="20"/>
                <w:szCs w:val="20"/>
                <w:color w:val="auto"/>
              </w:rPr>
            </w:pPr>
            <w:r>
              <w:rPr>
                <w:rFonts w:ascii="Arial" w:cs="Arial" w:eastAsia="Arial" w:hAnsi="Arial"/>
                <w:sz w:val="13"/>
                <w:szCs w:val="13"/>
                <w:color w:val="auto"/>
                <w:w w:val="86"/>
              </w:rPr>
              <w:t>11/05/2019</w:t>
            </w:r>
          </w:p>
        </w:tc>
        <w:tc>
          <w:tcPr>
            <w:tcW w:w="260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3"/>
                <w:szCs w:val="13"/>
                <w:color w:val="auto"/>
                <w:w w:val="85"/>
              </w:rPr>
              <w:t>Consumer Products</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9"/>
              </w:rPr>
              <w:t>13,092,070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13,092,071</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6,284,194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Service Champ, Inc.</w:t>
            </w:r>
          </w:p>
        </w:tc>
        <w:tc>
          <w:tcPr>
            <w:tcW w:w="980" w:type="dxa"/>
            <w:vAlign w:val="bottom"/>
          </w:tcPr>
          <w:p>
            <w:pPr>
              <w:jc w:val="center"/>
              <w:ind w:right="217"/>
              <w:spacing w:after="0" w:line="135" w:lineRule="exact"/>
              <w:rPr>
                <w:sz w:val="20"/>
                <w:szCs w:val="20"/>
                <w:color w:val="auto"/>
              </w:rPr>
            </w:pPr>
            <w:r>
              <w:rPr>
                <w:rFonts w:ascii="Arial" w:cs="Arial" w:eastAsia="Arial" w:hAnsi="Arial"/>
                <w:sz w:val="13"/>
                <w:szCs w:val="13"/>
                <w:color w:val="auto"/>
                <w:w w:val="89"/>
              </w:rPr>
              <w:t>10/02/2017</w:t>
            </w:r>
          </w:p>
        </w:tc>
        <w:tc>
          <w:tcPr>
            <w:tcW w:w="2600" w:type="dxa"/>
            <w:vAlign w:val="bottom"/>
            <w:gridSpan w:val="2"/>
          </w:tcPr>
          <w:p>
            <w:pPr>
              <w:jc w:val="center"/>
              <w:ind w:right="340"/>
              <w:spacing w:after="0" w:line="135" w:lineRule="exact"/>
              <w:rPr>
                <w:sz w:val="20"/>
                <w:szCs w:val="20"/>
                <w:color w:val="auto"/>
              </w:rPr>
            </w:pPr>
            <w:r>
              <w:rPr>
                <w:rFonts w:ascii="Arial" w:cs="Arial" w:eastAsia="Arial" w:hAnsi="Arial"/>
                <w:sz w:val="13"/>
                <w:szCs w:val="13"/>
                <w:color w:val="auto"/>
                <w:w w:val="91"/>
              </w:rPr>
              <w:t>Auto Sector</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12.50%</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89"/>
              </w:rPr>
              <w:t>28,000,000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27,702,867</w:t>
            </w:r>
          </w:p>
        </w:tc>
        <w:tc>
          <w:tcPr>
            <w:tcW w:w="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27,931,507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9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40,794,938</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34,215,701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 xml:space="preserve">Preferred Equity—0.7% </w:t>
            </w:r>
            <w:r>
              <w:rPr>
                <w:rFonts w:ascii="Arial" w:cs="Arial" w:eastAsia="Arial" w:hAnsi="Arial"/>
                <w:sz w:val="10"/>
                <w:szCs w:val="10"/>
                <w:b w:val="1"/>
                <w:bCs w:val="1"/>
                <w:color w:val="auto"/>
              </w:rPr>
              <w:t>(6)</w:t>
            </w: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980" w:type="dxa"/>
            <w:vAlign w:val="bottom"/>
            <w:shd w:val="clear" w:color="auto" w:fill="CCEEFF"/>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60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3"/>
                <w:szCs w:val="13"/>
                <w:color w:val="auto"/>
                <w:w w:val="84"/>
              </w:rPr>
              <w:t>Aerospace and Defense</w:t>
            </w:r>
          </w:p>
        </w:tc>
        <w:tc>
          <w:tcPr>
            <w:tcW w:w="9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53,071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20,059,340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5,254,029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w w:val="97"/>
              </w:rPr>
              <w:t xml:space="preserve">Common Equity/Partnership Interests/Warrants—3.3% </w:t>
            </w:r>
            <w:r>
              <w:rPr>
                <w:rFonts w:ascii="Arial" w:cs="Arial" w:eastAsia="Arial" w:hAnsi="Arial"/>
                <w:sz w:val="10"/>
                <w:szCs w:val="10"/>
                <w:b w:val="1"/>
                <w:bCs w:val="1"/>
                <w:color w:val="auto"/>
                <w:w w:val="97"/>
              </w:rPr>
              <w:t>(6)</w:t>
            </w: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DirectBuy Holdings, Inc.</w:t>
            </w:r>
          </w:p>
        </w:tc>
        <w:tc>
          <w:tcPr>
            <w:tcW w:w="980" w:type="dxa"/>
            <w:vAlign w:val="bottom"/>
            <w:shd w:val="clear" w:color="auto" w:fill="CCEEFF"/>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60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3"/>
                <w:szCs w:val="13"/>
                <w:color w:val="auto"/>
                <w:w w:val="85"/>
              </w:rPr>
              <w:t>Consumer Products</w:t>
            </w:r>
          </w:p>
        </w:tc>
        <w:tc>
          <w:tcPr>
            <w:tcW w:w="9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104,719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21,492,822</w:t>
            </w: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DirectBuy Holdings, Inc. (Warrants)</w:t>
            </w:r>
          </w:p>
        </w:tc>
        <w:tc>
          <w:tcPr>
            <w:tcW w:w="980" w:type="dxa"/>
            <w:vAlign w:val="bottom"/>
          </w:tcPr>
          <w:p>
            <w:pPr>
              <w:jc w:val="center"/>
              <w:ind w:right="237"/>
              <w:spacing w:after="0" w:line="135" w:lineRule="exact"/>
              <w:rPr>
                <w:sz w:val="20"/>
                <w:szCs w:val="20"/>
                <w:color w:val="auto"/>
              </w:rPr>
            </w:pPr>
            <w:r>
              <w:rPr>
                <w:rFonts w:ascii="Arial" w:cs="Arial" w:eastAsia="Arial" w:hAnsi="Arial"/>
                <w:sz w:val="13"/>
                <w:szCs w:val="13"/>
                <w:color w:val="auto"/>
                <w:w w:val="86"/>
              </w:rPr>
              <w:t>11/05/2022</w:t>
            </w:r>
          </w:p>
        </w:tc>
        <w:tc>
          <w:tcPr>
            <w:tcW w:w="2600" w:type="dxa"/>
            <w:vAlign w:val="bottom"/>
            <w:gridSpan w:val="2"/>
          </w:tcPr>
          <w:p>
            <w:pPr>
              <w:jc w:val="center"/>
              <w:ind w:right="340"/>
              <w:spacing w:after="0" w:line="135" w:lineRule="exact"/>
              <w:rPr>
                <w:sz w:val="20"/>
                <w:szCs w:val="20"/>
                <w:color w:val="auto"/>
              </w:rPr>
            </w:pPr>
            <w:r>
              <w:rPr>
                <w:rFonts w:ascii="Arial" w:cs="Arial" w:eastAsia="Arial" w:hAnsi="Arial"/>
                <w:sz w:val="13"/>
                <w:szCs w:val="13"/>
                <w:color w:val="auto"/>
                <w:w w:val="85"/>
              </w:rPr>
              <w:t>Consumer Products</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15,486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EnviroSolutions Holdings, Inc.</w:t>
            </w:r>
          </w:p>
        </w:tc>
        <w:tc>
          <w:tcPr>
            <w:tcW w:w="980" w:type="dxa"/>
            <w:vAlign w:val="bottom"/>
            <w:shd w:val="clear" w:color="auto" w:fill="CCEEFF"/>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60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3"/>
                <w:szCs w:val="13"/>
                <w:color w:val="auto"/>
                <w:w w:val="89"/>
              </w:rPr>
              <w:t>Environmental Services</w:t>
            </w:r>
          </w:p>
        </w:tc>
        <w:tc>
          <w:tcPr>
            <w:tcW w:w="9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143,668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11,960,702</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11,337,381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40" w:type="dxa"/>
            <w:vAlign w:val="bottom"/>
          </w:tcPr>
          <w:p>
            <w:pPr>
              <w:spacing w:after="0" w:line="121" w:lineRule="exact"/>
              <w:rPr>
                <w:sz w:val="20"/>
                <w:szCs w:val="20"/>
                <w:color w:val="auto"/>
              </w:rPr>
            </w:pPr>
            <w:r>
              <w:rPr>
                <w:rFonts w:ascii="Arial" w:cs="Arial" w:eastAsia="Arial" w:hAnsi="Arial"/>
                <w:sz w:val="13"/>
                <w:szCs w:val="13"/>
                <w:color w:val="auto"/>
              </w:rPr>
              <w:t>NCP-Performance, L.P.</w:t>
            </w:r>
          </w:p>
        </w:tc>
        <w:tc>
          <w:tcPr>
            <w:tcW w:w="980" w:type="dxa"/>
            <w:vAlign w:val="bottom"/>
          </w:tcPr>
          <w:p>
            <w:pPr>
              <w:jc w:val="center"/>
              <w:ind w:right="237"/>
              <w:spacing w:after="0" w:line="121" w:lineRule="exact"/>
              <w:rPr>
                <w:sz w:val="20"/>
                <w:szCs w:val="20"/>
                <w:color w:val="auto"/>
              </w:rPr>
            </w:pPr>
            <w:r>
              <w:rPr>
                <w:rFonts w:ascii="Arial" w:cs="Arial" w:eastAsia="Arial" w:hAnsi="Arial"/>
                <w:sz w:val="13"/>
                <w:szCs w:val="13"/>
                <w:color w:val="auto"/>
                <w:w w:val="91"/>
              </w:rPr>
              <w:t>—</w:t>
            </w:r>
          </w:p>
        </w:tc>
        <w:tc>
          <w:tcPr>
            <w:tcW w:w="2600" w:type="dxa"/>
            <w:vAlign w:val="bottom"/>
            <w:gridSpan w:val="2"/>
          </w:tcPr>
          <w:p>
            <w:pPr>
              <w:jc w:val="center"/>
              <w:ind w:right="320"/>
              <w:spacing w:after="0" w:line="121" w:lineRule="exact"/>
              <w:rPr>
                <w:sz w:val="20"/>
                <w:szCs w:val="20"/>
                <w:color w:val="auto"/>
              </w:rPr>
            </w:pPr>
            <w:r>
              <w:rPr>
                <w:rFonts w:ascii="Arial" w:cs="Arial" w:eastAsia="Arial" w:hAnsi="Arial"/>
                <w:sz w:val="13"/>
                <w:szCs w:val="13"/>
                <w:color w:val="auto"/>
                <w:w w:val="87"/>
              </w:rPr>
              <w:t>Leisure, Amusement,</w:t>
            </w:r>
          </w:p>
        </w:tc>
        <w:tc>
          <w:tcPr>
            <w:tcW w:w="90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375,000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1" w:lineRule="exact"/>
              <w:rPr>
                <w:sz w:val="20"/>
                <w:szCs w:val="20"/>
                <w:color w:val="auto"/>
              </w:rPr>
            </w:pPr>
            <w:r>
              <w:rPr>
                <w:rFonts w:ascii="Arial" w:cs="Arial" w:eastAsia="Arial" w:hAnsi="Arial"/>
                <w:sz w:val="13"/>
                <w:szCs w:val="13"/>
                <w:color w:val="auto"/>
              </w:rPr>
              <w:t>3,750,000</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3"/>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0" w:type="dxa"/>
            <w:vAlign w:val="bottom"/>
            <w:gridSpan w:val="2"/>
          </w:tcPr>
          <w:p>
            <w:pPr>
              <w:jc w:val="center"/>
              <w:ind w:right="340"/>
              <w:spacing w:after="0"/>
              <w:rPr>
                <w:sz w:val="20"/>
                <w:szCs w:val="20"/>
                <w:color w:val="auto"/>
              </w:rPr>
            </w:pPr>
            <w:r>
              <w:rPr>
                <w:rFonts w:ascii="Arial" w:cs="Arial" w:eastAsia="Arial" w:hAnsi="Arial"/>
                <w:sz w:val="13"/>
                <w:szCs w:val="13"/>
                <w:color w:val="auto"/>
                <w:w w:val="89"/>
              </w:rPr>
              <w:t>Motion Pictures and Entertainment</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New Service Champ Holdings, Inc.</w:t>
            </w:r>
          </w:p>
        </w:tc>
        <w:tc>
          <w:tcPr>
            <w:tcW w:w="980" w:type="dxa"/>
            <w:vAlign w:val="bottom"/>
            <w:shd w:val="clear" w:color="auto" w:fill="CCEEFF"/>
          </w:tcPr>
          <w:p>
            <w:pPr>
              <w:jc w:val="center"/>
              <w:ind w:right="237"/>
              <w:spacing w:after="0" w:line="138" w:lineRule="exact"/>
              <w:rPr>
                <w:sz w:val="20"/>
                <w:szCs w:val="20"/>
                <w:color w:val="auto"/>
              </w:rPr>
            </w:pPr>
            <w:r>
              <w:rPr>
                <w:rFonts w:ascii="Arial" w:cs="Arial" w:eastAsia="Arial" w:hAnsi="Arial"/>
                <w:sz w:val="13"/>
                <w:szCs w:val="13"/>
                <w:color w:val="auto"/>
                <w:w w:val="91"/>
              </w:rPr>
              <w:t>—</w:t>
            </w:r>
          </w:p>
        </w:tc>
        <w:tc>
          <w:tcPr>
            <w:tcW w:w="2600" w:type="dxa"/>
            <w:vAlign w:val="bottom"/>
            <w:gridSpan w:val="2"/>
            <w:shd w:val="clear" w:color="auto" w:fill="CCEEFF"/>
          </w:tcPr>
          <w:p>
            <w:pPr>
              <w:jc w:val="center"/>
              <w:ind w:right="340"/>
              <w:spacing w:after="0" w:line="138" w:lineRule="exact"/>
              <w:rPr>
                <w:sz w:val="20"/>
                <w:szCs w:val="20"/>
                <w:color w:val="auto"/>
              </w:rPr>
            </w:pPr>
            <w:r>
              <w:rPr>
                <w:rFonts w:ascii="Arial" w:cs="Arial" w:eastAsia="Arial" w:hAnsi="Arial"/>
                <w:sz w:val="13"/>
                <w:szCs w:val="13"/>
                <w:color w:val="auto"/>
                <w:w w:val="91"/>
              </w:rPr>
              <w:t>Auto Sector</w:t>
            </w:r>
          </w:p>
        </w:tc>
        <w:tc>
          <w:tcPr>
            <w:tcW w:w="90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16,800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2,721,600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4,457,055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980" w:type="dxa"/>
            <w:vAlign w:val="bottom"/>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600" w:type="dxa"/>
            <w:vAlign w:val="bottom"/>
            <w:gridSpan w:val="2"/>
          </w:tcPr>
          <w:p>
            <w:pPr>
              <w:jc w:val="center"/>
              <w:ind w:right="340"/>
              <w:spacing w:after="0" w:line="135" w:lineRule="exact"/>
              <w:rPr>
                <w:sz w:val="20"/>
                <w:szCs w:val="20"/>
                <w:color w:val="auto"/>
              </w:rPr>
            </w:pPr>
            <w:r>
              <w:rPr>
                <w:rFonts w:ascii="Arial" w:cs="Arial" w:eastAsia="Arial" w:hAnsi="Arial"/>
                <w:sz w:val="13"/>
                <w:szCs w:val="13"/>
                <w:color w:val="auto"/>
                <w:w w:val="84"/>
              </w:rPr>
              <w:t>Aerospace and Defense</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53,071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202,619</w:t>
            </w:r>
          </w:p>
        </w:tc>
        <w:tc>
          <w:tcPr>
            <w:tcW w:w="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6,178,645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TRAK Acquisition Corp.</w:t>
            </w:r>
          </w:p>
        </w:tc>
        <w:tc>
          <w:tcPr>
            <w:tcW w:w="980" w:type="dxa"/>
            <w:vAlign w:val="bottom"/>
            <w:shd w:val="clear" w:color="auto" w:fill="CCEEFF"/>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60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3"/>
                <w:szCs w:val="13"/>
                <w:color w:val="auto"/>
                <w:w w:val="84"/>
              </w:rPr>
              <w:t>Business Services</w:t>
            </w:r>
          </w:p>
        </w:tc>
        <w:tc>
          <w:tcPr>
            <w:tcW w:w="9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491,755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188,837</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1,888,232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40,316,580</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23,861,313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in Non-Controlled, Affiliated Portfolio Companies</w:t>
            </w: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6"/>
              </w:rPr>
              <w:t>133,693,295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95,503,104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44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 xml:space="preserve">Investments in Controlled, Affiliated Portfolio Companies—15.0% </w:t>
            </w:r>
            <w:r>
              <w:rPr>
                <w:rFonts w:ascii="Arial" w:cs="Arial" w:eastAsia="Arial" w:hAnsi="Arial"/>
                <w:sz w:val="10"/>
                <w:szCs w:val="10"/>
                <w:b w:val="1"/>
                <w:bCs w:val="1"/>
                <w:color w:val="auto"/>
              </w:rPr>
              <w:t>(1), (2)</w:t>
            </w: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First Lien Secured Debt—13.4%</w:t>
            </w:r>
          </w:p>
        </w:tc>
        <w:tc>
          <w:tcPr>
            <w:tcW w:w="9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40" w:type="dxa"/>
            <w:vAlign w:val="bottom"/>
          </w:tcPr>
          <w:p>
            <w:pPr>
              <w:spacing w:after="0" w:line="121" w:lineRule="exact"/>
              <w:rPr>
                <w:sz w:val="20"/>
                <w:szCs w:val="20"/>
                <w:color w:val="auto"/>
              </w:rPr>
            </w:pPr>
            <w:r>
              <w:rPr>
                <w:rFonts w:ascii="Arial" w:cs="Arial" w:eastAsia="Arial" w:hAnsi="Arial"/>
                <w:sz w:val="13"/>
                <w:szCs w:val="13"/>
                <w:color w:val="auto"/>
              </w:rPr>
              <w:t>RAM Energy LLC, Tranche A</w:t>
            </w:r>
          </w:p>
        </w:tc>
        <w:tc>
          <w:tcPr>
            <w:tcW w:w="980" w:type="dxa"/>
            <w:vAlign w:val="bottom"/>
          </w:tcPr>
          <w:p>
            <w:pPr>
              <w:jc w:val="center"/>
              <w:ind w:right="217"/>
              <w:spacing w:after="0" w:line="121" w:lineRule="exact"/>
              <w:rPr>
                <w:sz w:val="20"/>
                <w:szCs w:val="20"/>
                <w:color w:val="auto"/>
              </w:rPr>
            </w:pPr>
            <w:r>
              <w:rPr>
                <w:rFonts w:ascii="Arial" w:cs="Arial" w:eastAsia="Arial" w:hAnsi="Arial"/>
                <w:sz w:val="13"/>
                <w:szCs w:val="13"/>
                <w:color w:val="auto"/>
                <w:w w:val="89"/>
              </w:rPr>
              <w:t>07/18/2019</w:t>
            </w:r>
          </w:p>
        </w:tc>
        <w:tc>
          <w:tcPr>
            <w:tcW w:w="2600" w:type="dxa"/>
            <w:vAlign w:val="bottom"/>
            <w:gridSpan w:val="2"/>
          </w:tcPr>
          <w:p>
            <w:pPr>
              <w:jc w:val="center"/>
              <w:ind w:right="340"/>
              <w:spacing w:after="0" w:line="121" w:lineRule="exact"/>
              <w:rPr>
                <w:sz w:val="20"/>
                <w:szCs w:val="20"/>
                <w:color w:val="auto"/>
              </w:rPr>
            </w:pPr>
            <w:r>
              <w:rPr>
                <w:rFonts w:ascii="Arial" w:cs="Arial" w:eastAsia="Arial" w:hAnsi="Arial"/>
                <w:sz w:val="13"/>
                <w:szCs w:val="13"/>
                <w:color w:val="auto"/>
                <w:w w:val="91"/>
              </w:rPr>
              <w:t>Energy and Utilities</w:t>
            </w:r>
          </w:p>
        </w:tc>
        <w:tc>
          <w:tcPr>
            <w:tcW w:w="90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10.00%</w:t>
            </w:r>
          </w:p>
        </w:tc>
        <w:tc>
          <w:tcPr>
            <w:tcW w:w="84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L+800</w:t>
            </w:r>
          </w:p>
        </w:tc>
        <w:tc>
          <w:tcPr>
            <w:tcW w:w="72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w w:val="89"/>
              </w:rPr>
              <w:t>76,425,000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75,177,005</w:t>
            </w:r>
          </w:p>
        </w:tc>
        <w:tc>
          <w:tcPr>
            <w:tcW w:w="60" w:type="dxa"/>
            <w:vAlign w:val="bottom"/>
          </w:tcPr>
          <w:p>
            <w:pPr>
              <w:spacing w:after="0"/>
              <w:rPr>
                <w:sz w:val="10"/>
                <w:szCs w:val="10"/>
                <w:color w:val="auto"/>
              </w:rPr>
            </w:pPr>
          </w:p>
        </w:tc>
        <w:tc>
          <w:tcPr>
            <w:tcW w:w="7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72,759,582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w w:val="95"/>
              </w:rPr>
              <w:t>(PIK 10.00%)</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440" w:type="dxa"/>
            <w:vAlign w:val="bottom"/>
            <w:shd w:val="clear" w:color="auto" w:fill="CCEEFF"/>
          </w:tcPr>
          <w:p>
            <w:pPr>
              <w:spacing w:after="0" w:line="124" w:lineRule="exact"/>
              <w:rPr>
                <w:sz w:val="20"/>
                <w:szCs w:val="20"/>
                <w:color w:val="auto"/>
              </w:rPr>
            </w:pPr>
            <w:r>
              <w:rPr>
                <w:rFonts w:ascii="Arial" w:cs="Arial" w:eastAsia="Arial" w:hAnsi="Arial"/>
                <w:sz w:val="13"/>
                <w:szCs w:val="13"/>
                <w:color w:val="auto"/>
              </w:rPr>
              <w:t>Superior Digital Displays, LLC</w:t>
            </w:r>
          </w:p>
        </w:tc>
        <w:tc>
          <w:tcPr>
            <w:tcW w:w="980" w:type="dxa"/>
            <w:vAlign w:val="bottom"/>
            <w:shd w:val="clear" w:color="auto" w:fill="CCEEFF"/>
          </w:tcPr>
          <w:p>
            <w:pPr>
              <w:jc w:val="center"/>
              <w:ind w:right="217"/>
              <w:spacing w:after="0" w:line="124" w:lineRule="exact"/>
              <w:rPr>
                <w:sz w:val="20"/>
                <w:szCs w:val="20"/>
                <w:color w:val="auto"/>
              </w:rPr>
            </w:pPr>
            <w:r>
              <w:rPr>
                <w:rFonts w:ascii="Arial" w:cs="Arial" w:eastAsia="Arial" w:hAnsi="Arial"/>
                <w:sz w:val="13"/>
                <w:szCs w:val="13"/>
                <w:color w:val="auto"/>
                <w:w w:val="89"/>
              </w:rPr>
              <w:t>12/31/2018</w:t>
            </w:r>
          </w:p>
        </w:tc>
        <w:tc>
          <w:tcPr>
            <w:tcW w:w="2600" w:type="dxa"/>
            <w:vAlign w:val="bottom"/>
            <w:gridSpan w:val="2"/>
            <w:shd w:val="clear" w:color="auto" w:fill="CCEEFF"/>
          </w:tcPr>
          <w:p>
            <w:pPr>
              <w:jc w:val="center"/>
              <w:ind w:right="320"/>
              <w:spacing w:after="0" w:line="124" w:lineRule="exact"/>
              <w:rPr>
                <w:sz w:val="20"/>
                <w:szCs w:val="20"/>
                <w:color w:val="auto"/>
              </w:rPr>
            </w:pPr>
            <w:r>
              <w:rPr>
                <w:rFonts w:ascii="Arial" w:cs="Arial" w:eastAsia="Arial" w:hAnsi="Arial"/>
                <w:sz w:val="13"/>
                <w:szCs w:val="13"/>
                <w:color w:val="auto"/>
                <w:w w:val="90"/>
              </w:rPr>
              <w:t>Media</w:t>
            </w:r>
          </w:p>
        </w:tc>
        <w:tc>
          <w:tcPr>
            <w:tcW w:w="90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3"/>
                <w:szCs w:val="13"/>
                <w:color w:val="auto"/>
              </w:rPr>
              <w:t>14.00%</w:t>
            </w:r>
          </w:p>
        </w:tc>
        <w:tc>
          <w:tcPr>
            <w:tcW w:w="840" w:type="dxa"/>
            <w:vAlign w:val="bottom"/>
            <w:gridSpan w:val="2"/>
            <w:shd w:val="clear" w:color="auto" w:fill="CCEEFF"/>
          </w:tcPr>
          <w:p>
            <w:pPr>
              <w:jc w:val="right"/>
              <w:ind w:right="240"/>
              <w:spacing w:after="0" w:line="124" w:lineRule="exact"/>
              <w:rPr>
                <w:sz w:val="20"/>
                <w:szCs w:val="20"/>
                <w:color w:val="auto"/>
              </w:rPr>
            </w:pPr>
            <w:r>
              <w:rPr>
                <w:rFonts w:ascii="Arial" w:cs="Arial" w:eastAsia="Arial" w:hAnsi="Arial"/>
                <w:sz w:val="13"/>
                <w:szCs w:val="13"/>
                <w:color w:val="auto"/>
              </w:rPr>
              <w:t>L+1,300</w:t>
            </w:r>
          </w:p>
        </w:tc>
        <w:tc>
          <w:tcPr>
            <w:tcW w:w="72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3"/>
                <w:szCs w:val="13"/>
                <w:color w:val="auto"/>
                <w:w w:val="89"/>
              </w:rPr>
              <w:t>23,055,423</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3"/>
                <w:szCs w:val="13"/>
                <w:color w:val="auto"/>
              </w:rPr>
              <w:t>20,951,257</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3"/>
                <w:szCs w:val="13"/>
                <w:color w:val="auto"/>
              </w:rPr>
              <w:t>23,055,423</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5"/>
              </w:rPr>
              <w:t>(PIK 14.00%)</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First Lien Secured Debt</w:t>
            </w: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96,128,262</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95,815,005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Debt—0.5%</w:t>
            </w:r>
          </w:p>
        </w:tc>
        <w:tc>
          <w:tcPr>
            <w:tcW w:w="9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40" w:type="dxa"/>
            <w:vAlign w:val="bottom"/>
          </w:tcPr>
          <w:p>
            <w:pPr>
              <w:spacing w:after="0" w:line="121" w:lineRule="exact"/>
              <w:rPr>
                <w:sz w:val="20"/>
                <w:szCs w:val="20"/>
                <w:color w:val="auto"/>
              </w:rPr>
            </w:pPr>
            <w:r>
              <w:rPr>
                <w:rFonts w:ascii="Arial" w:cs="Arial" w:eastAsia="Arial" w:hAnsi="Arial"/>
                <w:sz w:val="13"/>
                <w:szCs w:val="13"/>
                <w:color w:val="auto"/>
              </w:rPr>
              <w:t>Superior Digital Displays, LLC</w:t>
            </w:r>
          </w:p>
        </w:tc>
        <w:tc>
          <w:tcPr>
            <w:tcW w:w="980" w:type="dxa"/>
            <w:vAlign w:val="bottom"/>
          </w:tcPr>
          <w:p>
            <w:pPr>
              <w:jc w:val="center"/>
              <w:ind w:right="217"/>
              <w:spacing w:after="0" w:line="121" w:lineRule="exact"/>
              <w:rPr>
                <w:sz w:val="20"/>
                <w:szCs w:val="20"/>
                <w:color w:val="auto"/>
              </w:rPr>
            </w:pPr>
            <w:r>
              <w:rPr>
                <w:rFonts w:ascii="Arial" w:cs="Arial" w:eastAsia="Arial" w:hAnsi="Arial"/>
                <w:sz w:val="13"/>
                <w:szCs w:val="13"/>
                <w:color w:val="auto"/>
                <w:w w:val="89"/>
              </w:rPr>
              <w:t>07/01/2019</w:t>
            </w:r>
          </w:p>
        </w:tc>
        <w:tc>
          <w:tcPr>
            <w:tcW w:w="2600" w:type="dxa"/>
            <w:vAlign w:val="bottom"/>
            <w:gridSpan w:val="2"/>
          </w:tcPr>
          <w:p>
            <w:pPr>
              <w:jc w:val="center"/>
              <w:ind w:right="320"/>
              <w:spacing w:after="0" w:line="121" w:lineRule="exact"/>
              <w:rPr>
                <w:sz w:val="20"/>
                <w:szCs w:val="20"/>
                <w:color w:val="auto"/>
              </w:rPr>
            </w:pPr>
            <w:r>
              <w:rPr>
                <w:rFonts w:ascii="Arial" w:cs="Arial" w:eastAsia="Arial" w:hAnsi="Arial"/>
                <w:sz w:val="13"/>
                <w:szCs w:val="13"/>
                <w:color w:val="auto"/>
                <w:w w:val="90"/>
              </w:rPr>
              <w:t>Media</w:t>
            </w:r>
          </w:p>
        </w:tc>
        <w:tc>
          <w:tcPr>
            <w:tcW w:w="90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16.00%</w:t>
            </w:r>
          </w:p>
        </w:tc>
        <w:tc>
          <w:tcPr>
            <w:tcW w:w="84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L+1,500</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3,462,417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1" w:lineRule="exact"/>
              <w:rPr>
                <w:sz w:val="20"/>
                <w:szCs w:val="20"/>
                <w:color w:val="auto"/>
              </w:rPr>
            </w:pPr>
            <w:r>
              <w:rPr>
                <w:rFonts w:ascii="Arial" w:cs="Arial" w:eastAsia="Arial" w:hAnsi="Arial"/>
                <w:sz w:val="13"/>
                <w:szCs w:val="13"/>
                <w:color w:val="auto"/>
              </w:rPr>
              <w:t>3,462,417</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3,462,417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w w:val="95"/>
              </w:rPr>
              <w:t>(PIK 16.00%)</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 xml:space="preserve">Superior Digital Displays, LLC </w:t>
            </w:r>
            <w:r>
              <w:rPr>
                <w:rFonts w:ascii="Arial" w:cs="Arial" w:eastAsia="Arial" w:hAnsi="Arial"/>
                <w:sz w:val="10"/>
                <w:szCs w:val="10"/>
                <w:color w:val="auto"/>
              </w:rPr>
              <w:t>(9)</w:t>
            </w:r>
          </w:p>
        </w:tc>
        <w:tc>
          <w:tcPr>
            <w:tcW w:w="980" w:type="dxa"/>
            <w:vAlign w:val="bottom"/>
            <w:shd w:val="clear" w:color="auto" w:fill="CCEEFF"/>
          </w:tcPr>
          <w:p>
            <w:pPr>
              <w:jc w:val="center"/>
              <w:ind w:right="217"/>
              <w:spacing w:after="0" w:line="138" w:lineRule="exact"/>
              <w:rPr>
                <w:sz w:val="20"/>
                <w:szCs w:val="20"/>
                <w:color w:val="auto"/>
              </w:rPr>
            </w:pPr>
            <w:r>
              <w:rPr>
                <w:rFonts w:ascii="Arial" w:cs="Arial" w:eastAsia="Arial" w:hAnsi="Arial"/>
                <w:sz w:val="13"/>
                <w:szCs w:val="13"/>
                <w:color w:val="auto"/>
                <w:w w:val="89"/>
              </w:rPr>
              <w:t>07/01/2019</w:t>
            </w:r>
          </w:p>
        </w:tc>
        <w:tc>
          <w:tcPr>
            <w:tcW w:w="2600" w:type="dxa"/>
            <w:vAlign w:val="bottom"/>
            <w:gridSpan w:val="2"/>
            <w:shd w:val="clear" w:color="auto" w:fill="CCEEFF"/>
          </w:tcPr>
          <w:p>
            <w:pPr>
              <w:jc w:val="center"/>
              <w:ind w:right="320"/>
              <w:spacing w:after="0" w:line="138" w:lineRule="exact"/>
              <w:rPr>
                <w:sz w:val="20"/>
                <w:szCs w:val="20"/>
                <w:color w:val="auto"/>
              </w:rPr>
            </w:pPr>
            <w:r>
              <w:rPr>
                <w:rFonts w:ascii="Arial" w:cs="Arial" w:eastAsia="Arial" w:hAnsi="Arial"/>
                <w:sz w:val="13"/>
                <w:szCs w:val="13"/>
                <w:color w:val="auto"/>
                <w:w w:val="90"/>
              </w:rPr>
              <w:t>Media</w:t>
            </w:r>
          </w:p>
        </w:tc>
        <w:tc>
          <w:tcPr>
            <w:tcW w:w="90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2,575,000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4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Second Lien Secured Debt</w:t>
            </w: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3,462,417</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3,462,417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Preferred Equity—0.1% </w:t>
            </w:r>
            <w:r>
              <w:rPr>
                <w:rFonts w:ascii="Arial" w:cs="Arial" w:eastAsia="Arial" w:hAnsi="Arial"/>
                <w:sz w:val="10"/>
                <w:szCs w:val="10"/>
                <w:b w:val="1"/>
                <w:bCs w:val="1"/>
                <w:color w:val="auto"/>
              </w:rPr>
              <w:t>(6)</w:t>
            </w:r>
          </w:p>
        </w:tc>
        <w:tc>
          <w:tcPr>
            <w:tcW w:w="9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980" w:type="dxa"/>
            <w:vAlign w:val="bottom"/>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600" w:type="dxa"/>
            <w:vAlign w:val="bottom"/>
            <w:gridSpan w:val="2"/>
          </w:tcPr>
          <w:p>
            <w:pPr>
              <w:jc w:val="center"/>
              <w:ind w:right="320"/>
              <w:spacing w:after="0" w:line="135" w:lineRule="exact"/>
              <w:rPr>
                <w:sz w:val="20"/>
                <w:szCs w:val="20"/>
                <w:color w:val="auto"/>
              </w:rPr>
            </w:pPr>
            <w:r>
              <w:rPr>
                <w:rFonts w:ascii="Arial" w:cs="Arial" w:eastAsia="Arial" w:hAnsi="Arial"/>
                <w:sz w:val="13"/>
                <w:szCs w:val="13"/>
                <w:color w:val="auto"/>
                <w:w w:val="90"/>
              </w:rPr>
              <w:t>Media</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15.00%</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37,046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5,000,000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648,021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Common Equity—1.0% </w:t>
            </w:r>
            <w:r>
              <w:rPr>
                <w:rFonts w:ascii="Arial" w:cs="Arial" w:eastAsia="Arial" w:hAnsi="Arial"/>
                <w:sz w:val="10"/>
                <w:szCs w:val="10"/>
                <w:b w:val="1"/>
                <w:bCs w:val="1"/>
                <w:color w:val="auto"/>
              </w:rPr>
              <w:t>(6)</w:t>
            </w:r>
          </w:p>
        </w:tc>
        <w:tc>
          <w:tcPr>
            <w:tcW w:w="9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MidOcean JF Holdings Corp.</w:t>
            </w:r>
          </w:p>
        </w:tc>
        <w:tc>
          <w:tcPr>
            <w:tcW w:w="980" w:type="dxa"/>
            <w:vAlign w:val="bottom"/>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600" w:type="dxa"/>
            <w:vAlign w:val="bottom"/>
            <w:gridSpan w:val="2"/>
          </w:tcPr>
          <w:p>
            <w:pPr>
              <w:jc w:val="center"/>
              <w:ind w:right="340"/>
              <w:spacing w:after="0" w:line="135" w:lineRule="exact"/>
              <w:rPr>
                <w:sz w:val="20"/>
                <w:szCs w:val="20"/>
                <w:color w:val="auto"/>
              </w:rPr>
            </w:pPr>
            <w:r>
              <w:rPr>
                <w:rFonts w:ascii="Arial" w:cs="Arial" w:eastAsia="Arial" w:hAnsi="Arial"/>
                <w:sz w:val="13"/>
                <w:szCs w:val="13"/>
                <w:color w:val="auto"/>
                <w:w w:val="95"/>
              </w:rPr>
              <w:t>Distribution</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65,933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24,761,831</w:t>
            </w:r>
          </w:p>
        </w:tc>
        <w:tc>
          <w:tcPr>
            <w:tcW w:w="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6,900,207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RAM Energy Holdings LLC (f/k/a RAM Energy, LLC)</w:t>
            </w:r>
          </w:p>
        </w:tc>
        <w:tc>
          <w:tcPr>
            <w:tcW w:w="980" w:type="dxa"/>
            <w:vAlign w:val="bottom"/>
            <w:shd w:val="clear" w:color="auto" w:fill="CCEEFF"/>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60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3"/>
                <w:szCs w:val="13"/>
                <w:color w:val="auto"/>
                <w:w w:val="91"/>
              </w:rPr>
              <w:t>Energy and Utilities</w:t>
            </w:r>
          </w:p>
        </w:tc>
        <w:tc>
          <w:tcPr>
            <w:tcW w:w="9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23,141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20,824,388</w:t>
            </w: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980" w:type="dxa"/>
            <w:vAlign w:val="bottom"/>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600" w:type="dxa"/>
            <w:vAlign w:val="bottom"/>
            <w:gridSpan w:val="2"/>
          </w:tcPr>
          <w:p>
            <w:pPr>
              <w:jc w:val="center"/>
              <w:ind w:right="320"/>
              <w:spacing w:after="0" w:line="135" w:lineRule="exact"/>
              <w:rPr>
                <w:sz w:val="20"/>
                <w:szCs w:val="20"/>
                <w:color w:val="auto"/>
              </w:rPr>
            </w:pPr>
            <w:r>
              <w:rPr>
                <w:rFonts w:ascii="Arial" w:cs="Arial" w:eastAsia="Arial" w:hAnsi="Arial"/>
                <w:sz w:val="13"/>
                <w:szCs w:val="13"/>
                <w:color w:val="auto"/>
                <w:w w:val="90"/>
              </w:rPr>
              <w:t>Media</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11,100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2,211,000</w:t>
            </w:r>
          </w:p>
        </w:tc>
        <w:tc>
          <w:tcPr>
            <w:tcW w:w="60" w:type="dxa"/>
            <w:vAlign w:val="bottom"/>
          </w:tcPr>
          <w:p>
            <w:pPr>
              <w:spacing w:after="0"/>
              <w:rPr>
                <w:sz w:val="11"/>
                <w:szCs w:val="11"/>
                <w:color w:val="auto"/>
              </w:rPr>
            </w:pPr>
          </w:p>
        </w:tc>
        <w:tc>
          <w:tcPr>
            <w:tcW w:w="8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w:t>
            </w:r>
          </w:p>
        </w:tc>
        <w:tc>
          <w:tcPr>
            <w:tcW w:w="9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47,797,219</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6,900,207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w w:val="88"/>
              </w:rPr>
              <w:t>Total Investments in Controlled, Affiliated Portfolio Companies</w:t>
            </w: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6"/>
              </w:rPr>
              <w:t>152,387,898</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9"/>
              </w:rPr>
              <w:t>106,825,650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Investments—181.3%</w:t>
            </w:r>
          </w:p>
        </w:tc>
        <w:tc>
          <w:tcPr>
            <w:tcW w:w="9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4"/>
              </w:rPr>
              <w:t>1,424,237,162</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86"/>
              </w:rPr>
              <w:t>1,299,047,833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Cash and Cash Equivalents—6.9%</w:t>
            </w: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9"/>
              </w:rPr>
              <w:t>BlackRock Liquidity Funds, Temp Cash, Institutional Shares</w:t>
            </w:r>
          </w:p>
        </w:tc>
        <w:tc>
          <w:tcPr>
            <w:tcW w:w="9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4,564,638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4,564,638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9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45,072,777</w:t>
            </w:r>
          </w:p>
        </w:tc>
        <w:tc>
          <w:tcPr>
            <w:tcW w:w="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45,054,618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Cash and Cash Equivalents</w:t>
            </w:r>
          </w:p>
        </w:tc>
        <w:tc>
          <w:tcPr>
            <w:tcW w:w="9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49,637,415</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49,619,256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Investments and Cash Equivalents—188.2%</w:t>
            </w: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u w:val="single" w:color="auto"/>
                <w:color w:val="auto"/>
                <w:w w:val="78"/>
              </w:rPr>
              <w:t>$</w:t>
            </w: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4"/>
              </w:rPr>
              <w:t>1,473,874,577</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u w:val="single" w:color="auto"/>
                <w:color w:val="auto"/>
                <w:w w:val="78"/>
              </w:rPr>
              <w:t>$</w:t>
            </w: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6"/>
              </w:rPr>
              <w:t>1,348,667,089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44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Liabilities in Excess of Other Assets—(88.2%)</w:t>
            </w:r>
          </w:p>
        </w:tc>
        <w:tc>
          <w:tcPr>
            <w:tcW w:w="98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w w:val="93"/>
              </w:rPr>
              <w:t>(632,076,547)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9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Borders>
              <w:bottom w:val="single" w:sz="8" w:color="auto"/>
            </w:tcBorders>
            <w:gridSpan w:val="2"/>
          </w:tcPr>
          <w:p>
            <w:pPr>
              <w:jc w:val="right"/>
              <w:ind w:right="20"/>
              <w:spacing w:after="0" w:line="135" w:lineRule="exact"/>
              <w:rPr>
                <w:sz w:val="20"/>
                <w:szCs w:val="20"/>
                <w:color w:val="auto"/>
              </w:rPr>
            </w:pPr>
            <w:r>
              <w:rPr>
                <w:rFonts w:ascii="Arial" w:cs="Arial" w:eastAsia="Arial" w:hAnsi="Arial"/>
                <w:sz w:val="13"/>
                <w:szCs w:val="13"/>
                <w:color w:val="auto"/>
                <w:w w:val="99"/>
              </w:rPr>
              <w:t>716,590,542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F-36</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99"/>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88658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06" w:lineRule="exact"/>
        <w:rPr>
          <w:sz w:val="20"/>
          <w:szCs w:val="20"/>
          <w:color w:val="auto"/>
        </w:rPr>
      </w:pPr>
    </w:p>
    <w:p>
      <w:pPr>
        <w:ind w:left="460" w:hanging="452"/>
        <w:spacing w:after="0" w:line="243" w:lineRule="auto"/>
        <w:tabs>
          <w:tab w:leader="none" w:pos="4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460" w:hanging="452"/>
        <w:spacing w:after="0" w:line="234" w:lineRule="auto"/>
        <w:tabs>
          <w:tab w:leader="none" w:pos="4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 w:lineRule="exact"/>
        <w:rPr>
          <w:rFonts w:ascii="Arial" w:cs="Arial" w:eastAsia="Arial" w:hAnsi="Arial"/>
          <w:sz w:val="12"/>
          <w:szCs w:val="12"/>
          <w:color w:val="auto"/>
        </w:rPr>
      </w:pPr>
    </w:p>
    <w:p>
      <w:pPr>
        <w:ind w:left="460" w:hanging="452"/>
        <w:spacing w:after="0" w:line="234" w:lineRule="auto"/>
        <w:tabs>
          <w:tab w:leader="none" w:pos="4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460" w:right="120" w:hanging="452"/>
        <w:spacing w:after="0" w:line="234" w:lineRule="auto"/>
        <w:tabs>
          <w:tab w:leader="none" w:pos="4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spacing w:after="0" w:line="1" w:lineRule="exact"/>
        <w:rPr>
          <w:rFonts w:ascii="Arial" w:cs="Arial" w:eastAsia="Arial" w:hAnsi="Arial"/>
          <w:sz w:val="12"/>
          <w:szCs w:val="12"/>
          <w:color w:val="auto"/>
        </w:rPr>
      </w:pPr>
    </w:p>
    <w:p>
      <w:pPr>
        <w:ind w:left="460" w:hanging="452"/>
        <w:spacing w:after="0"/>
        <w:tabs>
          <w:tab w:leader="none" w:pos="460" w:val="left"/>
        </w:tabs>
        <w:numPr>
          <w:ilvl w:val="0"/>
          <w:numId w:val="103"/>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460" w:hanging="452"/>
        <w:spacing w:after="0" w:line="234" w:lineRule="auto"/>
        <w:tabs>
          <w:tab w:leader="none" w:pos="4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460" w:hanging="452"/>
        <w:spacing w:after="0" w:line="234" w:lineRule="auto"/>
        <w:tabs>
          <w:tab w:leader="none" w:pos="4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Coupon is payable in cash and/or PIK.</w:t>
      </w:r>
    </w:p>
    <w:p>
      <w:pPr>
        <w:ind w:left="460" w:hanging="452"/>
        <w:spacing w:after="0" w:line="234" w:lineRule="auto"/>
        <w:tabs>
          <w:tab w:leader="none" w:pos="4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460" w:hanging="452"/>
        <w:spacing w:after="0"/>
        <w:tabs>
          <w:tab w:leader="none" w:pos="460" w:val="left"/>
        </w:tabs>
        <w:numPr>
          <w:ilvl w:val="0"/>
          <w:numId w:val="10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460" w:hanging="452"/>
        <w:spacing w:after="0" w:line="234" w:lineRule="auto"/>
        <w:tabs>
          <w:tab w:leader="none" w:pos="4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460" w:hanging="452"/>
        <w:spacing w:after="0" w:line="234" w:lineRule="auto"/>
        <w:tabs>
          <w:tab w:leader="none" w:pos="4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Investment is held through a consolidated taxable subsidiary (See Note 1).</w:t>
      </w:r>
    </w:p>
    <w:p>
      <w:pPr>
        <w:ind w:left="460" w:hanging="452"/>
        <w:spacing w:after="0" w:line="234" w:lineRule="auto"/>
        <w:tabs>
          <w:tab w:leader="none" w:pos="4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Par amount is denominated in British Pounds.</w:t>
      </w:r>
    </w:p>
    <w:p>
      <w:pPr>
        <w:ind w:left="460" w:right="20" w:hanging="452"/>
        <w:spacing w:after="0" w:line="237" w:lineRule="auto"/>
        <w:tabs>
          <w:tab w:leader="none" w:pos="4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F-37</w:t>
      </w:r>
    </w:p>
    <w:p>
      <w:pPr>
        <w:sectPr>
          <w:pgSz w:w="11900" w:h="16838" w:orient="portrait"/>
          <w:cols w:equalWidth="0" w:num="1">
            <w:col w:w="11320"/>
          </w:cols>
          <w:pgMar w:left="240" w:top="460" w:right="3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2016</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40" w:lineRule="exact"/>
        <w:rPr>
          <w:sz w:val="20"/>
          <w:szCs w:val="20"/>
          <w:color w:val="auto"/>
        </w:rPr>
      </w:pPr>
    </w:p>
    <w:p>
      <w:pPr>
        <w:ind w:right="40" w:firstLine="685"/>
        <w:spacing w:after="0" w:line="256" w:lineRule="auto"/>
        <w:rPr>
          <w:sz w:val="20"/>
          <w:szCs w:val="20"/>
          <w:color w:val="auto"/>
        </w:rPr>
      </w:pPr>
      <w:r>
        <w:rPr>
          <w:rFonts w:ascii="Arial" w:cs="Arial" w:eastAsia="Arial" w:hAnsi="Arial"/>
          <w:sz w:val="13"/>
          <w:szCs w:val="13"/>
          <w:color w:val="auto"/>
        </w:rPr>
        <w:t>PennantPark Investment Corporation was organized as a Maryland corporation in January 2007. We are a closed-end, externally managed, non-diversified investment company that has elected to be treated as a BDC under the 1940 Act. PennantPark Investment’s objective is to generate both current income and capital appreciation while seeking to preserve capital through debt and equity investments. We invest primarily in U.S. middle-market companies in the form of senior secured debt, mezzanine debt and, to a lesser extent, equity investments. On April 24, 2007, we closed our initial public offering and our common stock trades on the NASDAQ Global Select Market under the symbol “PNNT.” Our 2025 Notes trade on the NYSE under the symbol “PNTA.”</w:t>
      </w:r>
    </w:p>
    <w:p>
      <w:pPr>
        <w:spacing w:after="0" w:line="105" w:lineRule="exact"/>
        <w:rPr>
          <w:sz w:val="20"/>
          <w:szCs w:val="20"/>
          <w:color w:val="auto"/>
        </w:rPr>
      </w:pPr>
    </w:p>
    <w:p>
      <w:pPr>
        <w:ind w:firstLine="685"/>
        <w:spacing w:after="0" w:line="234" w:lineRule="auto"/>
        <w:rPr>
          <w:sz w:val="20"/>
          <w:szCs w:val="20"/>
          <w:color w:val="auto"/>
        </w:rPr>
      </w:pPr>
      <w:r>
        <w:rPr>
          <w:rFonts w:ascii="Arial" w:cs="Arial" w:eastAsia="Arial" w:hAnsi="Arial"/>
          <w:sz w:val="14"/>
          <w:szCs w:val="14"/>
          <w:color w:val="auto"/>
        </w:rPr>
        <w:t>We have entered into an Investment Management Agreement with the Investment Adviser, an external adviser that manages our day-to-day operations. We have also entered into an Administration Agreement with the Administrator, which provides the administrative services necessary for us to operate. PennantPark Investment, through the Investment Adviser, manages day-to-day operations of and provides investment advisory services to each of our SBIC Funds under separate investment management agreements. PennantPark Investment, through the Administrator, also provides similar services to each of our SBIC Funds under a separate administration agreement. See Note 3.</w:t>
      </w:r>
    </w:p>
    <w:p>
      <w:pPr>
        <w:spacing w:after="0" w:line="101" w:lineRule="exact"/>
        <w:rPr>
          <w:sz w:val="20"/>
          <w:szCs w:val="20"/>
          <w:color w:val="auto"/>
        </w:rPr>
      </w:pPr>
    </w:p>
    <w:p>
      <w:pPr>
        <w:ind w:right="280" w:firstLine="685"/>
        <w:spacing w:after="0" w:line="238" w:lineRule="auto"/>
        <w:rPr>
          <w:sz w:val="20"/>
          <w:szCs w:val="20"/>
          <w:color w:val="auto"/>
        </w:rPr>
      </w:pPr>
      <w:r>
        <w:rPr>
          <w:rFonts w:ascii="Arial" w:cs="Arial" w:eastAsia="Arial" w:hAnsi="Arial"/>
          <w:sz w:val="14"/>
          <w:szCs w:val="14"/>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15" w:lineRule="exact"/>
        <w:rPr>
          <w:sz w:val="20"/>
          <w:szCs w:val="20"/>
          <w:color w:val="auto"/>
        </w:rPr>
      </w:pPr>
    </w:p>
    <w:p>
      <w:pPr>
        <w:ind w:right="80" w:firstLine="685"/>
        <w:spacing w:after="0" w:line="238" w:lineRule="auto"/>
        <w:rPr>
          <w:sz w:val="20"/>
          <w:szCs w:val="20"/>
          <w:color w:val="auto"/>
        </w:rPr>
      </w:pPr>
      <w:r>
        <w:rPr>
          <w:rFonts w:ascii="Arial" w:cs="Arial" w:eastAsia="Arial" w:hAnsi="Arial"/>
          <w:sz w:val="14"/>
          <w:szCs w:val="14"/>
          <w:color w:val="auto"/>
        </w:rPr>
        <w:t>We have formed and expect to continue to form certain Taxable Subsidiaries which are taxed as corporations for federal income tax purposes. Accordingly, the Taxable Subsidiaries will pay income taxes at regular corporate income tax rates. These Taxable Subsidiaries allow us to hold equity securities of portfolio companies organized as pass-through entities while continuing to satisfy the requirements of a RIC under the Code.</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27" w:lineRule="exact"/>
        <w:rPr>
          <w:sz w:val="20"/>
          <w:szCs w:val="20"/>
          <w:color w:val="auto"/>
        </w:rPr>
      </w:pPr>
    </w:p>
    <w:p>
      <w:pPr>
        <w:ind w:right="60" w:firstLine="685"/>
        <w:spacing w:after="0" w:line="249"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w:t>
      </w:r>
    </w:p>
    <w:p>
      <w:pPr>
        <w:spacing w:after="0" w:line="109" w:lineRule="exact"/>
        <w:rPr>
          <w:sz w:val="20"/>
          <w:szCs w:val="20"/>
          <w:color w:val="auto"/>
        </w:rPr>
      </w:pPr>
    </w:p>
    <w:p>
      <w:pPr>
        <w:jc w:val="both"/>
        <w:ind w:right="100" w:firstLine="685"/>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946, Financial Services – 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1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36" w:lineRule="exact"/>
        <w:rPr>
          <w:sz w:val="20"/>
          <w:szCs w:val="20"/>
          <w:color w:val="auto"/>
        </w:rPr>
      </w:pPr>
    </w:p>
    <w:p>
      <w:pPr>
        <w:ind w:right="20" w:firstLine="685"/>
        <w:spacing w:after="0" w:line="247" w:lineRule="auto"/>
        <w:rPr>
          <w:sz w:val="20"/>
          <w:szCs w:val="20"/>
          <w:color w:val="auto"/>
        </w:rPr>
      </w:pPr>
      <w:r>
        <w:rPr>
          <w:rFonts w:ascii="Arial" w:cs="Arial" w:eastAsia="Arial" w:hAnsi="Arial"/>
          <w:sz w:val="13"/>
          <w:szCs w:val="13"/>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1" w:lineRule="exact"/>
        <w:rPr>
          <w:sz w:val="20"/>
          <w:szCs w:val="20"/>
          <w:color w:val="auto"/>
        </w:rPr>
      </w:pPr>
    </w:p>
    <w:p>
      <w:pPr>
        <w:ind w:right="280" w:firstLine="685"/>
        <w:spacing w:after="0" w:line="291"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3" w:lineRule="exact"/>
        <w:rPr>
          <w:sz w:val="20"/>
          <w:szCs w:val="20"/>
          <w:color w:val="auto"/>
        </w:rPr>
      </w:pPr>
    </w:p>
    <w:p>
      <w:pPr>
        <w:ind w:left="800" w:right="80" w:hanging="346"/>
        <w:spacing w:after="0" w:line="253" w:lineRule="auto"/>
        <w:tabs>
          <w:tab w:leader="none" w:pos="80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800" w:hanging="346"/>
        <w:spacing w:after="0"/>
        <w:tabs>
          <w:tab w:leader="none" w:pos="80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800" w:right="360" w:hanging="346"/>
        <w:spacing w:after="0" w:line="264" w:lineRule="auto"/>
        <w:tabs>
          <w:tab w:leader="none" w:pos="80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800" w:right="240" w:hanging="346"/>
        <w:spacing w:after="0" w:line="238" w:lineRule="auto"/>
        <w:tabs>
          <w:tab w:leader="none" w:pos="80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800" w:right="360" w:hanging="346"/>
        <w:spacing w:after="0" w:line="253" w:lineRule="auto"/>
        <w:tabs>
          <w:tab w:leader="none" w:pos="80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F-38</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24" w:lineRule="exact"/>
        <w:rPr>
          <w:sz w:val="20"/>
          <w:szCs w:val="20"/>
          <w:color w:val="auto"/>
        </w:rPr>
      </w:pPr>
    </w:p>
    <w:p>
      <w:pPr>
        <w:ind w:right="300" w:firstLine="685"/>
        <w:spacing w:after="0" w:line="256"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55" w:lineRule="exact"/>
        <w:rPr>
          <w:sz w:val="20"/>
          <w:szCs w:val="20"/>
          <w:color w:val="auto"/>
        </w:rPr>
      </w:pPr>
    </w:p>
    <w:p>
      <w:pPr>
        <w:ind w:firstLine="685"/>
        <w:spacing w:after="0" w:line="234"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our Credit Facility and our Notes during the reporting period, including any reversal of previously recorded unrealized appreciation or depreciation, when gains or losses are realized.</w:t>
      </w:r>
    </w:p>
    <w:p>
      <w:pPr>
        <w:spacing w:after="0" w:line="34" w:lineRule="exact"/>
        <w:rPr>
          <w:sz w:val="20"/>
          <w:szCs w:val="20"/>
          <w:color w:val="auto"/>
        </w:rPr>
      </w:pPr>
    </w:p>
    <w:p>
      <w:pPr>
        <w:ind w:right="20" w:firstLine="685"/>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w:t>
      </w:r>
    </w:p>
    <w:p>
      <w:pPr>
        <w:spacing w:after="0" w:line="51" w:lineRule="exact"/>
        <w:rPr>
          <w:sz w:val="20"/>
          <w:szCs w:val="20"/>
          <w:color w:val="auto"/>
        </w:rPr>
      </w:pPr>
    </w:p>
    <w:p>
      <w:pPr>
        <w:ind w:right="180" w:firstLine="685"/>
        <w:spacing w:after="0" w:line="296"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 Income Taxes</w:t>
      </w:r>
    </w:p>
    <w:p>
      <w:pPr>
        <w:spacing w:after="0" w:line="55" w:lineRule="exact"/>
        <w:rPr>
          <w:sz w:val="20"/>
          <w:szCs w:val="20"/>
          <w:color w:val="auto"/>
        </w:rPr>
      </w:pPr>
    </w:p>
    <w:p>
      <w:pPr>
        <w:ind w:right="20" w:firstLine="685"/>
        <w:spacing w:after="0" w:line="229" w:lineRule="auto"/>
        <w:rPr>
          <w:sz w:val="20"/>
          <w:szCs w:val="20"/>
          <w:color w:val="auto"/>
        </w:rPr>
      </w:pPr>
      <w:r>
        <w:rPr>
          <w:rFonts w:ascii="Arial" w:cs="Arial" w:eastAsia="Arial" w:hAnsi="Arial"/>
          <w:sz w:val="14"/>
          <w:szCs w:val="14"/>
          <w:color w:val="auto"/>
        </w:rPr>
        <w:t>We have complied with the requirements of Subchapter M of the Code and have qualified to be treated as a RIC for federal income tax purposes.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we do not anticipate paying any material level of federal income taxes. Although we are not subject to federal income taxes as a RIC for federal income tax purposes, we may elect to retain a portion of our calendar year income, which may result in an excise tax, or we may incur taxes through our Taxable Subsidiaries. For the fiscal years ended September 30, 2016, 2015 and 2014, we have recorded a provision for taxes of $2.4 million, zero and $0.1 million, respectively.</w:t>
      </w:r>
    </w:p>
    <w:p>
      <w:pPr>
        <w:spacing w:after="0" w:line="51" w:lineRule="exact"/>
        <w:rPr>
          <w:sz w:val="20"/>
          <w:szCs w:val="20"/>
          <w:color w:val="auto"/>
        </w:rPr>
      </w:pPr>
    </w:p>
    <w:p>
      <w:pPr>
        <w:ind w:right="20" w:firstLine="685"/>
        <w:spacing w:after="0" w:line="264" w:lineRule="auto"/>
        <w:rPr>
          <w:sz w:val="20"/>
          <w:szCs w:val="20"/>
          <w:color w:val="auto"/>
        </w:rPr>
      </w:pPr>
      <w:r>
        <w:rPr>
          <w:rFonts w:ascii="Arial" w:cs="Arial" w:eastAsia="Arial" w:hAnsi="Arial"/>
          <w:sz w:val="13"/>
          <w:szCs w:val="13"/>
          <w:color w:val="auto"/>
        </w:rPr>
        <w:t>We recognize the effect of a tax position in our Consolidated Financial Statements when it is more likely than not, based on the technical merits, that the position will be sustained upon examination by the applicable tax authority. Tax benefits of positions not considered to satisfy the “more-likely-than-not” threshold would be recorded as a tax expense. We did not have any material uncertain tax positions or any unrecognized tax benefits that met the recognition or measurement criteria of ASC 740-10-25 as of the periods presented herein.</w:t>
      </w:r>
    </w:p>
    <w:p>
      <w:pPr>
        <w:spacing w:after="0" w:line="20" w:lineRule="exact"/>
        <w:rPr>
          <w:sz w:val="20"/>
          <w:szCs w:val="20"/>
          <w:color w:val="auto"/>
        </w:rPr>
      </w:pPr>
    </w:p>
    <w:p>
      <w:pPr>
        <w:ind w:right="140" w:firstLine="685"/>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0" w:lineRule="exact"/>
        <w:rPr>
          <w:sz w:val="20"/>
          <w:szCs w:val="20"/>
          <w:color w:val="auto"/>
        </w:rPr>
      </w:pPr>
    </w:p>
    <w:p>
      <w:pPr>
        <w:ind w:right="100" w:firstLine="685"/>
        <w:spacing w:after="0" w:line="238" w:lineRule="auto"/>
        <w:rPr>
          <w:sz w:val="20"/>
          <w:szCs w:val="20"/>
          <w:color w:val="auto"/>
        </w:rPr>
      </w:pPr>
      <w:r>
        <w:rPr>
          <w:rFonts w:ascii="Arial" w:cs="Arial" w:eastAsia="Arial" w:hAnsi="Arial"/>
          <w:sz w:val="14"/>
          <w:szCs w:val="14"/>
          <w:color w:val="auto"/>
        </w:rPr>
        <w:t>We have formed and expect to continue to form certain taxable subsidiaries, or the Taxable Subsidiaries, which are taxed as corporations for federal income tax purposes. Accordingly, the Taxable Subsidiaries will pay income taxes at regular corporate income tax rates. These Taxable Subsidiaries allow us to hold equity securities of portfolio companies organized as pass-through entities while continuing to satisfy the requirements of a RIC under the Code.</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55" w:lineRule="exact"/>
        <w:rPr>
          <w:sz w:val="20"/>
          <w:szCs w:val="20"/>
          <w:color w:val="auto"/>
        </w:rPr>
      </w:pPr>
    </w:p>
    <w:p>
      <w:pPr>
        <w:ind w:right="280" w:firstLine="685"/>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return of capital.</w:t>
      </w:r>
    </w:p>
    <w:p>
      <w:pPr>
        <w:spacing w:after="0" w:line="34" w:lineRule="exact"/>
        <w:rPr>
          <w:sz w:val="20"/>
          <w:szCs w:val="20"/>
          <w:color w:val="auto"/>
        </w:rPr>
      </w:pPr>
    </w:p>
    <w:p>
      <w:pPr>
        <w:ind w:right="20" w:firstLine="685"/>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 Foreign Currency Translation</w:t>
      </w:r>
    </w:p>
    <w:p>
      <w:pPr>
        <w:spacing w:after="0" w:line="5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69" w:lineRule="exact"/>
        <w:rPr>
          <w:sz w:val="20"/>
          <w:szCs w:val="20"/>
          <w:color w:val="auto"/>
        </w:rPr>
      </w:pPr>
    </w:p>
    <w:p>
      <w:pPr>
        <w:ind w:left="1260" w:hanging="455"/>
        <w:spacing w:after="0"/>
        <w:tabs>
          <w:tab w:leader="none" w:pos="12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68" w:lineRule="exact"/>
        <w:rPr>
          <w:rFonts w:ascii="Arial" w:cs="Arial" w:eastAsia="Arial" w:hAnsi="Arial"/>
          <w:sz w:val="14"/>
          <w:szCs w:val="14"/>
          <w:color w:val="auto"/>
        </w:rPr>
      </w:pPr>
    </w:p>
    <w:p>
      <w:pPr>
        <w:ind w:left="1260" w:hanging="455"/>
        <w:spacing w:after="0"/>
        <w:tabs>
          <w:tab w:leader="none" w:pos="12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55" w:lineRule="exact"/>
        <w:rPr>
          <w:sz w:val="20"/>
          <w:szCs w:val="20"/>
          <w:color w:val="auto"/>
        </w:rPr>
      </w:pPr>
    </w:p>
    <w:p>
      <w:pPr>
        <w:jc w:val="both"/>
        <w:ind w:firstLine="685"/>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48" w:lineRule="exact"/>
        <w:rPr>
          <w:sz w:val="20"/>
          <w:szCs w:val="20"/>
          <w:color w:val="auto"/>
        </w:rPr>
      </w:pPr>
    </w:p>
    <w:p>
      <w:pPr>
        <w:jc w:val="both"/>
        <w:ind w:right="120" w:firstLine="685"/>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F-39</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2016</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 Consolidation</w:t>
      </w:r>
    </w:p>
    <w:p>
      <w:pPr>
        <w:spacing w:after="0" w:line="69" w:lineRule="exact"/>
        <w:rPr>
          <w:sz w:val="20"/>
          <w:szCs w:val="20"/>
          <w:color w:val="auto"/>
        </w:rPr>
      </w:pPr>
    </w:p>
    <w:p>
      <w:pPr>
        <w:ind w:right="160" w:firstLine="685"/>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59" w:lineRule="exact"/>
        <w:rPr>
          <w:sz w:val="20"/>
          <w:szCs w:val="20"/>
          <w:color w:val="auto"/>
        </w:rPr>
      </w:pPr>
    </w:p>
    <w:p>
      <w:pPr>
        <w:ind w:firstLine="685"/>
        <w:spacing w:after="0" w:line="256"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2016. Under the Investment Management Agreement, the Investment Adviser, subject to the overall supervision of our board of directors, manages the day-to-day operations of and provides investment advisory services to us. Our SBIC Funds’ investment management agreements do not affect the management or incentive fees that we pay to the Investment Adviser on a consolidated basis. For providing these services, the Investment Adviser receives a fee from us, consisting of two components—Management Fees.</w:t>
      </w:r>
    </w:p>
    <w:p>
      <w:pPr>
        <w:spacing w:after="0" w:line="37" w:lineRule="exact"/>
        <w:rPr>
          <w:sz w:val="20"/>
          <w:szCs w:val="20"/>
          <w:color w:val="auto"/>
        </w:rPr>
      </w:pPr>
    </w:p>
    <w:p>
      <w:pPr>
        <w:ind w:right="20" w:firstLine="685"/>
        <w:spacing w:after="0" w:line="245" w:lineRule="auto"/>
        <w:rPr>
          <w:sz w:val="20"/>
          <w:szCs w:val="20"/>
          <w:color w:val="auto"/>
        </w:rPr>
      </w:pPr>
      <w:r>
        <w:rPr>
          <w:rFonts w:ascii="Arial" w:cs="Arial" w:eastAsia="Arial" w:hAnsi="Arial"/>
          <w:sz w:val="13"/>
          <w:szCs w:val="13"/>
          <w:color w:val="auto"/>
        </w:rPr>
        <w:t>The base management fee is calculated at an annual rate of 2.00%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year ended September 30, 2016 and through December 31, 2017, the Investment Adviser has voluntarily agreed, in consultation with the board of directors, to waive 16% of base management fees, correlated to our 16% energy exposure (oil &amp; gas and energy &amp; utilities industries) at cost as of December 31, 2015. For the years ended September 30, 2016, 2015 and 2014, the Investment Adviser earned base management fees of $20.9 million (after a waiver of $4.0 million), $26.7 million and $24.3 million, respectively, from us.</w:t>
      </w:r>
    </w:p>
    <w:p>
      <w:pPr>
        <w:spacing w:after="0" w:line="3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incentive fee has two parts, as follows:</w:t>
      </w:r>
    </w:p>
    <w:p>
      <w:pPr>
        <w:spacing w:after="0" w:line="55" w:lineRule="exact"/>
        <w:rPr>
          <w:sz w:val="20"/>
          <w:szCs w:val="20"/>
          <w:color w:val="auto"/>
        </w:rPr>
      </w:pPr>
    </w:p>
    <w:p>
      <w:pPr>
        <w:ind w:right="60" w:firstLine="685"/>
        <w:spacing w:after="0" w:line="242"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pro-rated for any share issuances or repurchases during the relevant quarter, if applicable. For the year ended September 30, 2016 and through December 31, 2017, the Investment Adviser has voluntarily agreed, in consultation with the board of directors, to waive 16% of incentive fees, correlated to our 16% energy exposure (oil &amp; gas and energy &amp; utilities industries) at cost as of December 31, 2015. For the years ended September 30, 2016, 2015 and 2014, the Investment Adviser earned $13.5 million (after a waiver of $2.5 million), $20.6 million and $17.8 million, respectively, in incentive fees on net investment income from us.</w:t>
      </w:r>
    </w:p>
    <w:p>
      <w:pPr>
        <w:spacing w:after="0" w:line="48" w:lineRule="exact"/>
        <w:rPr>
          <w:sz w:val="20"/>
          <w:szCs w:val="20"/>
          <w:color w:val="auto"/>
        </w:rPr>
      </w:pPr>
    </w:p>
    <w:p>
      <w:pPr>
        <w:ind w:right="220" w:firstLine="685"/>
        <w:spacing w:after="0" w:line="256"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2016, 2015 and 2014 the Investment Adviser did not earn an incentive fee on capital gains as calculated under the Investment Management Agreement (as described above).</w:t>
      </w:r>
    </w:p>
    <w:p>
      <w:pPr>
        <w:spacing w:after="0" w:line="24" w:lineRule="exact"/>
        <w:rPr>
          <w:sz w:val="20"/>
          <w:szCs w:val="20"/>
          <w:color w:val="auto"/>
        </w:rPr>
      </w:pPr>
    </w:p>
    <w:p>
      <w:pPr>
        <w:ind w:firstLine="685"/>
        <w:spacing w:after="0" w:line="247" w:lineRule="auto"/>
        <w:rPr>
          <w:sz w:val="20"/>
          <w:szCs w:val="20"/>
          <w:color w:val="auto"/>
        </w:rPr>
      </w:pPr>
      <w:r>
        <w:rPr>
          <w:rFonts w:ascii="Arial" w:cs="Arial" w:eastAsia="Arial" w:hAnsi="Arial"/>
          <w:sz w:val="13"/>
          <w:szCs w:val="13"/>
          <w:color w:val="auto"/>
        </w:rPr>
        <w:t>Under GAAP, we are required to accrue a capital gains incentive fee based upon net realized capital gains and net unrealized capital appreciation and depreciation on investments and foreign currencies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For the years ended September 30, 2016, 2015 and 2014, the Investment Adviser did not accrue an incentive fee on capital gains as calculated under GAAP.</w:t>
      </w:r>
    </w:p>
    <w:p>
      <w:pPr>
        <w:spacing w:after="0" w:line="30" w:lineRule="exact"/>
        <w:rPr>
          <w:sz w:val="20"/>
          <w:szCs w:val="20"/>
          <w:color w:val="auto"/>
        </w:rPr>
      </w:pPr>
    </w:p>
    <w:p>
      <w:pPr>
        <w:ind w:right="80" w:firstLine="685"/>
        <w:spacing w:after="0" w:line="246"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our directors who are not interested persons of us, in February 2016.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 under our Administration Agreement, including rent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Statements of Operations. For the fiscal years ended September 30, 2016, 2015 and 2014, the Investment Adviser was reimbursed $3.7 million, $3.3 million and $3.0 million, respectively, from us, including expenses incurred on behalf of the Administrator, for the services described above.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F-40</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59"/>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SEPTEMBER 30, 2016</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Purchases of investments, including PIK interest, for the fiscal years ended September 30, 2016, 2015 and 2014 totaled $345.7 million, $475.2 million and $806.1 million, respectively.</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Sales and repayments of investments for the same periods totaled $439.7 million, $390.5 million and $625.6 million, respectively.</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20" w:type="dxa"/>
            <w:vAlign w:val="bottom"/>
          </w:tcPr>
          <w:p>
            <w:pPr>
              <w:spacing w:after="0"/>
              <w:rPr>
                <w:sz w:val="14"/>
                <w:szCs w:val="14"/>
                <w:color w:val="auto"/>
              </w:rPr>
            </w:pPr>
          </w:p>
        </w:tc>
        <w:tc>
          <w:tcPr>
            <w:tcW w:w="2400" w:type="dxa"/>
            <w:vAlign w:val="bottom"/>
            <w:gridSpan w:val="5"/>
          </w:tcPr>
          <w:p>
            <w:pPr>
              <w:ind w:left="460"/>
              <w:spacing w:after="0"/>
              <w:rPr>
                <w:sz w:val="20"/>
                <w:szCs w:val="20"/>
                <w:color w:val="auto"/>
              </w:rPr>
            </w:pPr>
            <w:r>
              <w:rPr>
                <w:rFonts w:ascii="Arial" w:cs="Arial" w:eastAsia="Arial" w:hAnsi="Arial"/>
                <w:sz w:val="14"/>
                <w:szCs w:val="14"/>
                <w:b w:val="1"/>
                <w:bCs w:val="1"/>
                <w:color w:val="auto"/>
              </w:rPr>
              <w:t>September 30, 2016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September 30, 2015</w:t>
            </w:r>
          </w:p>
        </w:tc>
        <w:tc>
          <w:tcPr>
            <w:tcW w:w="0" w:type="dxa"/>
            <w:vAlign w:val="bottom"/>
          </w:tcPr>
          <w:p>
            <w:pPr>
              <w:spacing w:after="0"/>
              <w:rPr>
                <w:sz w:val="1"/>
                <w:szCs w:val="1"/>
                <w:color w:val="auto"/>
              </w:rPr>
            </w:pPr>
          </w:p>
        </w:tc>
      </w:tr>
      <w:tr>
        <w:trPr>
          <w:trHeight w:val="142"/>
        </w:trPr>
        <w:tc>
          <w:tcPr>
            <w:tcW w:w="534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Cost</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418,873,576</w:t>
            </w:r>
          </w:p>
        </w:tc>
        <w:tc>
          <w:tcPr>
            <w:tcW w:w="3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397,102,721</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404,291,400</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399,237,158</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120" w:type="dxa"/>
            <w:vAlign w:val="bottom"/>
          </w:tcPr>
          <w:p>
            <w:pPr>
              <w:spacing w:after="0"/>
              <w:rPr>
                <w:sz w:val="12"/>
                <w:szCs w:val="12"/>
                <w:color w:val="auto"/>
              </w:rPr>
            </w:pPr>
          </w:p>
        </w:tc>
        <w:tc>
          <w:tcPr>
            <w:tcW w:w="12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451,756,995</w:t>
            </w:r>
          </w:p>
        </w:tc>
        <w:tc>
          <w:tcPr>
            <w:tcW w:w="12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425,412,443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631,936,443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612,552,913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189,453,101</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177,631,517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227,915,734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182,467,798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gridSpan w:val="2"/>
          </w:tcPr>
          <w:p>
            <w:pPr>
              <w:spacing w:after="0" w:line="149" w:lineRule="exact"/>
              <w:rPr>
                <w:sz w:val="20"/>
                <w:szCs w:val="20"/>
                <w:color w:val="auto"/>
              </w:rPr>
            </w:pPr>
            <w:r>
              <w:rPr>
                <w:rFonts w:ascii="Arial" w:cs="Arial" w:eastAsia="Arial" w:hAnsi="Arial"/>
                <w:sz w:val="14"/>
                <w:szCs w:val="14"/>
                <w:color w:val="auto"/>
              </w:rPr>
              <w:t>Equity and partnership interests</w:t>
            </w:r>
          </w:p>
        </w:tc>
        <w:tc>
          <w:tcPr>
            <w:tcW w:w="120" w:type="dxa"/>
            <w:vAlign w:val="bottom"/>
          </w:tcPr>
          <w:p>
            <w:pPr>
              <w:spacing w:after="0"/>
              <w:rPr>
                <w:sz w:val="12"/>
                <w:szCs w:val="12"/>
                <w:color w:val="auto"/>
              </w:rPr>
            </w:pPr>
          </w:p>
        </w:tc>
        <w:tc>
          <w:tcPr>
            <w:tcW w:w="12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193,873,474</w:t>
            </w:r>
          </w:p>
        </w:tc>
        <w:tc>
          <w:tcPr>
            <w:tcW w:w="12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153,532,994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160,093,585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104,789,964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6"/>
              </w:rPr>
              <w:t>1,253,957,146</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1,153,679,675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1,424,237,162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1,299,047,833</w:t>
            </w:r>
          </w:p>
        </w:tc>
        <w:tc>
          <w:tcPr>
            <w:tcW w:w="0" w:type="dxa"/>
            <w:vAlign w:val="bottom"/>
          </w:tcPr>
          <w:p>
            <w:pPr>
              <w:spacing w:after="0"/>
              <w:rPr>
                <w:sz w:val="1"/>
                <w:szCs w:val="1"/>
                <w:color w:val="auto"/>
              </w:rPr>
            </w:pPr>
          </w:p>
        </w:tc>
      </w:tr>
      <w:tr>
        <w:trPr>
          <w:trHeight w:val="163"/>
        </w:trPr>
        <w:tc>
          <w:tcPr>
            <w:tcW w:w="5340" w:type="dxa"/>
            <w:vAlign w:val="bottom"/>
            <w:gridSpan w:val="3"/>
          </w:tcPr>
          <w:p>
            <w:pPr>
              <w:spacing w:after="0" w:line="155" w:lineRule="exact"/>
              <w:rPr>
                <w:sz w:val="20"/>
                <w:szCs w:val="20"/>
                <w:color w:val="auto"/>
              </w:rPr>
            </w:pPr>
            <w:r>
              <w:rPr>
                <w:rFonts w:ascii="Arial" w:cs="Arial" w:eastAsia="Arial" w:hAnsi="Arial"/>
                <w:sz w:val="14"/>
                <w:szCs w:val="14"/>
                <w:color w:val="auto"/>
              </w:rPr>
              <w:t>Cash and cash equivalents</w:t>
            </w: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75,617,133</w:t>
            </w:r>
          </w:p>
        </w:tc>
        <w:tc>
          <w:tcPr>
            <w:tcW w:w="3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75,608,113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49,637,415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49,619,256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6"/>
              </w:rPr>
              <w:t>1,329,574,279</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1,229,287,788</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1,473,874,577</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1,348,667,089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3"/>
          <w:szCs w:val="13"/>
          <w:color w:val="auto"/>
        </w:rPr>
        <w:t>The table below describes investments by industry classification and enumerates the percentage, by fair value, of the total portfolio assets (excluding cash equivalents) in such industries:</w:t>
      </w:r>
    </w:p>
    <w:p>
      <w:pPr>
        <w:spacing w:after="0" w:line="238"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2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3120" w:type="dxa"/>
            <w:vAlign w:val="bottom"/>
            <w:gridSpan w:val="2"/>
            <w:vMerge w:val="continue"/>
          </w:tcPr>
          <w:p>
            <w:pPr>
              <w:spacing w:after="0"/>
              <w:rPr>
                <w:sz w:val="12"/>
                <w:szCs w:val="12"/>
                <w:color w:val="auto"/>
              </w:rPr>
            </w:pPr>
          </w:p>
        </w:tc>
        <w:tc>
          <w:tcPr>
            <w:tcW w:w="2920" w:type="dxa"/>
            <w:vAlign w:val="bottom"/>
            <w:gridSpan w:val="2"/>
          </w:tcPr>
          <w:p>
            <w:pPr>
              <w:spacing w:after="0"/>
              <w:rPr>
                <w:sz w:val="12"/>
                <w:szCs w:val="12"/>
                <w:color w:val="auto"/>
              </w:rPr>
            </w:pPr>
          </w:p>
        </w:tc>
        <w:tc>
          <w:tcPr>
            <w:tcW w:w="5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Hotels, Motels, Inns and Gaming</w:t>
            </w:r>
          </w:p>
        </w:tc>
        <w:tc>
          <w:tcPr>
            <w:tcW w:w="2640" w:type="dxa"/>
            <w:vAlign w:val="bottom"/>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rPr>
              <w:t>13%</w:t>
            </w:r>
          </w:p>
        </w:tc>
        <w:tc>
          <w:tcPr>
            <w:tcW w:w="7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Consumer Products</w:t>
            </w:r>
          </w:p>
        </w:tc>
        <w:tc>
          <w:tcPr>
            <w:tcW w:w="3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w:t>
            </w:r>
          </w:p>
        </w:tc>
        <w:tc>
          <w:tcPr>
            <w:tcW w:w="4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Personal, Food and Miscellaneous Services</w:t>
            </w:r>
          </w:p>
        </w:tc>
        <w:tc>
          <w:tcPr>
            <w:tcW w:w="3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Business Services</w:t>
            </w:r>
          </w:p>
        </w:tc>
        <w:tc>
          <w:tcPr>
            <w:tcW w:w="3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w:t>
            </w:r>
          </w:p>
        </w:tc>
        <w:tc>
          <w:tcPr>
            <w:tcW w:w="4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w:t>
            </w:r>
          </w:p>
        </w:tc>
        <w:tc>
          <w:tcPr>
            <w:tcW w:w="3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Energy/Utilities</w:t>
            </w:r>
          </w:p>
        </w:tc>
        <w:tc>
          <w:tcPr>
            <w:tcW w:w="3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w:t>
            </w:r>
          </w:p>
        </w:tc>
        <w:tc>
          <w:tcPr>
            <w:tcW w:w="4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Aerospace and Defense</w:t>
            </w:r>
          </w:p>
        </w:tc>
        <w:tc>
          <w:tcPr>
            <w:tcW w:w="3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Environmental Services</w:t>
            </w:r>
          </w:p>
        </w:tc>
        <w:tc>
          <w:tcPr>
            <w:tcW w:w="3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w:t>
            </w:r>
          </w:p>
        </w:tc>
        <w:tc>
          <w:tcPr>
            <w:tcW w:w="4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w:t>
            </w:r>
          </w:p>
        </w:tc>
        <w:tc>
          <w:tcPr>
            <w:tcW w:w="3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Oil and Gas</w:t>
            </w:r>
          </w:p>
        </w:tc>
        <w:tc>
          <w:tcPr>
            <w:tcW w:w="3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w:t>
            </w:r>
          </w:p>
        </w:tc>
        <w:tc>
          <w:tcPr>
            <w:tcW w:w="4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Manufacturing / Basic Industries</w:t>
            </w:r>
          </w:p>
        </w:tc>
        <w:tc>
          <w:tcPr>
            <w:tcW w:w="3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Auto Sector</w:t>
            </w:r>
          </w:p>
        </w:tc>
        <w:tc>
          <w:tcPr>
            <w:tcW w:w="3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4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Financial Services</w:t>
            </w:r>
          </w:p>
        </w:tc>
        <w:tc>
          <w:tcPr>
            <w:tcW w:w="3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Other Media</w:t>
            </w:r>
          </w:p>
        </w:tc>
        <w:tc>
          <w:tcPr>
            <w:tcW w:w="3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4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Printing and Publishing</w:t>
            </w:r>
          </w:p>
        </w:tc>
        <w:tc>
          <w:tcPr>
            <w:tcW w:w="3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Retail</w:t>
            </w:r>
          </w:p>
        </w:tc>
        <w:tc>
          <w:tcPr>
            <w:tcW w:w="3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4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Building Materials</w:t>
            </w:r>
          </w:p>
        </w:tc>
        <w:tc>
          <w:tcPr>
            <w:tcW w:w="3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Buildings and Real Estate</w:t>
            </w:r>
          </w:p>
        </w:tc>
        <w:tc>
          <w:tcPr>
            <w:tcW w:w="3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4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Electronics</w:t>
            </w:r>
          </w:p>
        </w:tc>
        <w:tc>
          <w:tcPr>
            <w:tcW w:w="3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Healthcare, Education and Childcare</w:t>
            </w:r>
          </w:p>
        </w:tc>
        <w:tc>
          <w:tcPr>
            <w:tcW w:w="3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4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3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2920" w:type="dxa"/>
            <w:vAlign w:val="bottom"/>
            <w:gridSpan w:val="2"/>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w:t>
            </w:r>
          </w:p>
        </w:tc>
        <w:tc>
          <w:tcPr>
            <w:tcW w:w="44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2920" w:type="dxa"/>
            <w:vAlign w:val="bottom"/>
            <w:gridSpan w:val="2"/>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100%</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920" w:type="dxa"/>
            <w:vAlign w:val="bottom"/>
            <w:gridSpan w:val="4"/>
          </w:tcPr>
          <w:p>
            <w:pPr>
              <w:jc w:val="right"/>
              <w:ind w:right="3020"/>
              <w:spacing w:after="0"/>
              <w:rPr>
                <w:sz w:val="20"/>
                <w:szCs w:val="20"/>
                <w:color w:val="auto"/>
              </w:rPr>
            </w:pPr>
            <w:r>
              <w:rPr>
                <w:rFonts w:ascii="Arial" w:cs="Arial" w:eastAsia="Arial" w:hAnsi="Arial"/>
                <w:sz w:val="14"/>
                <w:szCs w:val="14"/>
                <w:color w:val="auto"/>
              </w:rPr>
              <w:t>F-41</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60" w:right="2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39"/>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SEPTEMBER 30, 2016</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right="160" w:firstLine="685"/>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10" w:lineRule="exact"/>
        <w:rPr>
          <w:sz w:val="20"/>
          <w:szCs w:val="20"/>
          <w:color w:val="auto"/>
        </w:rPr>
      </w:pPr>
    </w:p>
    <w:p>
      <w:pPr>
        <w:ind w:left="70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760"/>
        <w:spacing w:after="0"/>
        <w:tabs>
          <w:tab w:leader="none" w:pos="152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540" w:right="940" w:hanging="796"/>
        <w:spacing w:after="0" w:line="238" w:lineRule="auto"/>
        <w:tabs>
          <w:tab w:leader="none" w:pos="152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540" w:right="920" w:hanging="796"/>
        <w:spacing w:after="0" w:line="253" w:lineRule="auto"/>
        <w:tabs>
          <w:tab w:leader="none" w:pos="152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93" w:lineRule="exact"/>
        <w:rPr>
          <w:sz w:val="20"/>
          <w:szCs w:val="20"/>
          <w:color w:val="auto"/>
        </w:rPr>
      </w:pPr>
    </w:p>
    <w:p>
      <w:pPr>
        <w:ind w:right="40" w:firstLine="685"/>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jc w:val="both"/>
        <w:ind w:right="120" w:firstLine="685"/>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117" w:lineRule="exact"/>
        <w:rPr>
          <w:sz w:val="20"/>
          <w:szCs w:val="20"/>
          <w:color w:val="auto"/>
        </w:rPr>
      </w:pPr>
    </w:p>
    <w:p>
      <w:pPr>
        <w:ind w:right="40" w:firstLine="685"/>
        <w:spacing w:after="0" w:line="256" w:lineRule="auto"/>
        <w:rPr>
          <w:sz w:val="20"/>
          <w:szCs w:val="20"/>
          <w:color w:val="auto"/>
        </w:rPr>
      </w:pPr>
      <w:r>
        <w:rPr>
          <w:rFonts w:ascii="Arial" w:cs="Arial" w:eastAsia="Arial" w:hAnsi="Arial"/>
          <w:sz w:val="13"/>
          <w:szCs w:val="13"/>
          <w:color w:val="auto"/>
        </w:rPr>
        <w:t>Our investments are generally structured as debt and equity investments in the form of senior secured debt, mezzanine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91" w:lineRule="exact"/>
        <w:rPr>
          <w:sz w:val="20"/>
          <w:szCs w:val="20"/>
          <w:color w:val="auto"/>
        </w:rPr>
      </w:pPr>
    </w:p>
    <w:p>
      <w:pPr>
        <w:ind w:firstLine="685"/>
        <w:spacing w:after="0" w:line="256" w:lineRule="auto"/>
        <w:rPr>
          <w:sz w:val="20"/>
          <w:szCs w:val="20"/>
          <w:color w:val="auto"/>
        </w:rPr>
      </w:pPr>
      <w:r>
        <w:rPr>
          <w:rFonts w:ascii="Arial" w:cs="Arial" w:eastAsia="Arial" w:hAnsi="Arial"/>
          <w:sz w:val="13"/>
          <w:szCs w:val="13"/>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resulted in one reclassification from Level 2 to 1, one reclassification from Level 3 to 1 and one reclassification from Level 3 to 2 during the year ended September 30, 2016. During the year ended September 30, 2015, there were three reclassifications from Level 2 to 3 and one reclassification from Level 3 to 2.</w:t>
      </w:r>
    </w:p>
    <w:p>
      <w:pPr>
        <w:spacing w:after="0" w:line="105" w:lineRule="exact"/>
        <w:rPr>
          <w:sz w:val="20"/>
          <w:szCs w:val="20"/>
          <w:color w:val="auto"/>
        </w:rPr>
      </w:pPr>
    </w:p>
    <w:p>
      <w:pPr>
        <w:jc w:val="both"/>
        <w:ind w:right="180" w:firstLine="685"/>
        <w:spacing w:after="0" w:line="238" w:lineRule="auto"/>
        <w:rPr>
          <w:sz w:val="20"/>
          <w:szCs w:val="20"/>
          <w:color w:val="auto"/>
        </w:rPr>
      </w:pPr>
      <w:r>
        <w:rPr>
          <w:rFonts w:ascii="Arial" w:cs="Arial" w:eastAsia="Arial" w:hAnsi="Arial"/>
          <w:sz w:val="14"/>
          <w:szCs w:val="14"/>
          <w:color w:val="auto"/>
        </w:rPr>
        <w:t>In addition to using the above inputs in cash equivalents, investments, our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 and 2(e).</w:t>
      </w:r>
    </w:p>
    <w:p>
      <w:pPr>
        <w:spacing w:after="0" w:line="115" w:lineRule="exact"/>
        <w:rPr>
          <w:sz w:val="20"/>
          <w:szCs w:val="20"/>
          <w:color w:val="auto"/>
        </w:rPr>
      </w:pPr>
    </w:p>
    <w:p>
      <w:pPr>
        <w:ind w:right="140" w:firstLine="685"/>
        <w:spacing w:after="0" w:line="234" w:lineRule="auto"/>
        <w:rPr>
          <w:sz w:val="20"/>
          <w:szCs w:val="20"/>
          <w:color w:val="auto"/>
        </w:rPr>
      </w:pPr>
      <w:r>
        <w:rPr>
          <w:rFonts w:ascii="Arial" w:cs="Arial" w:eastAsia="Arial" w:hAnsi="Arial"/>
          <w:sz w:val="14"/>
          <w:szCs w:val="14"/>
          <w:color w:val="auto"/>
        </w:rPr>
        <w:t>As outlined in the table below, some of our Level 3 investments using a market approach valuation technique are valued using the average of the bids from brokers or dealers. The bids include a disclaimer, have no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101" w:lineRule="exact"/>
        <w:rPr>
          <w:sz w:val="20"/>
          <w:szCs w:val="20"/>
          <w:color w:val="auto"/>
        </w:rPr>
      </w:pPr>
    </w:p>
    <w:p>
      <w:pPr>
        <w:ind w:right="80" w:firstLine="685"/>
        <w:spacing w:after="0" w:line="227" w:lineRule="auto"/>
        <w:rPr>
          <w:sz w:val="20"/>
          <w:szCs w:val="20"/>
          <w:color w:val="auto"/>
        </w:rPr>
      </w:pPr>
      <w:r>
        <w:rPr>
          <w:rFonts w:ascii="Arial" w:cs="Arial" w:eastAsia="Arial" w:hAnsi="Arial"/>
          <w:sz w:val="14"/>
          <w:szCs w:val="14"/>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F-42</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2"/>
              </w:rPr>
              <w:t>Fair Value as of</w:t>
            </w:r>
          </w:p>
        </w:tc>
        <w:tc>
          <w:tcPr>
            <w:tcW w:w="18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1"/>
              </w:rPr>
              <w:t>Valuation Technique</w:t>
            </w:r>
          </w:p>
        </w:tc>
        <w:tc>
          <w:tcPr>
            <w:tcW w:w="19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Unobservable Input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41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September 30, 2016</w:t>
            </w:r>
          </w:p>
        </w:tc>
        <w:tc>
          <w:tcPr>
            <w:tcW w:w="1880" w:type="dxa"/>
            <w:vAlign w:val="bottom"/>
            <w:gridSpan w:val="2"/>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42"/>
        </w:trPr>
        <w:tc>
          <w:tcPr>
            <w:tcW w:w="4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4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167,489,186</w:t>
            </w:r>
          </w:p>
        </w:tc>
        <w:tc>
          <w:tcPr>
            <w:tcW w:w="52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48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Broker/Dealer bid quotes</w:t>
            </w:r>
          </w:p>
        </w:tc>
        <w:tc>
          <w:tcPr>
            <w:tcW w:w="46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120" w:type="dxa"/>
            <w:vAlign w:val="bottom"/>
          </w:tcPr>
          <w:p>
            <w:pPr>
              <w:spacing w:after="0" w:line="149" w:lineRule="exact"/>
              <w:rPr>
                <w:sz w:val="20"/>
                <w:szCs w:val="20"/>
                <w:color w:val="auto"/>
              </w:rPr>
            </w:pPr>
            <w:r>
              <w:rPr>
                <w:rFonts w:ascii="Arial" w:cs="Arial" w:eastAsia="Arial" w:hAnsi="Arial"/>
                <w:sz w:val="14"/>
                <w:szCs w:val="14"/>
                <w:color w:val="auto"/>
              </w:rPr>
              <w:t>Debt investments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832,657,495</w:t>
            </w:r>
          </w:p>
        </w:tc>
        <w:tc>
          <w:tcPr>
            <w:tcW w:w="188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4"/>
              </w:rPr>
              <w:t>Market Comparable</w:t>
            </w:r>
          </w:p>
        </w:tc>
        <w:tc>
          <w:tcPr>
            <w:tcW w:w="19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7"/>
              </w:rPr>
              <w:t>Market Yield</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3"/>
              </w:rPr>
              <w:t>8.8% – 21.7%(13.3%)</w:t>
            </w:r>
          </w:p>
        </w:tc>
        <w:tc>
          <w:tcPr>
            <w:tcW w:w="0" w:type="dxa"/>
            <w:vAlign w:val="bottom"/>
          </w:tcPr>
          <w:p>
            <w:pPr>
              <w:spacing w:after="0"/>
              <w:rPr>
                <w:sz w:val="1"/>
                <w:szCs w:val="1"/>
                <w:color w:val="auto"/>
              </w:rPr>
            </w:pPr>
          </w:p>
        </w:tc>
      </w:tr>
      <w:tr>
        <w:trPr>
          <w:trHeight w:val="149"/>
        </w:trPr>
        <w:tc>
          <w:tcPr>
            <w:tcW w:w="4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125,633,017</w:t>
            </w:r>
          </w:p>
        </w:tc>
        <w:tc>
          <w:tcPr>
            <w:tcW w:w="1880" w:type="dxa"/>
            <w:vAlign w:val="bottom"/>
            <w:gridSpan w:val="2"/>
            <w:shd w:val="clear" w:color="auto" w:fill="CCEEFF"/>
          </w:tcPr>
          <w:p>
            <w:pPr>
              <w:jc w:val="center"/>
              <w:ind w:right="480"/>
              <w:spacing w:after="0" w:line="149" w:lineRule="exact"/>
              <w:rPr>
                <w:sz w:val="20"/>
                <w:szCs w:val="20"/>
                <w:color w:val="auto"/>
              </w:rPr>
            </w:pPr>
            <w:r>
              <w:rPr>
                <w:rFonts w:ascii="Arial" w:cs="Arial" w:eastAsia="Arial" w:hAnsi="Arial"/>
                <w:sz w:val="14"/>
                <w:szCs w:val="14"/>
                <w:color w:val="auto"/>
                <w:w w:val="93"/>
              </w:rPr>
              <w:t>Enterprise Market Value</w:t>
            </w:r>
          </w:p>
        </w:tc>
        <w:tc>
          <w:tcPr>
            <w:tcW w:w="1920" w:type="dxa"/>
            <w:vAlign w:val="bottom"/>
            <w:gridSpan w:val="2"/>
            <w:shd w:val="clear" w:color="auto" w:fill="CCEEFF"/>
          </w:tcPr>
          <w:p>
            <w:pPr>
              <w:jc w:val="center"/>
              <w:ind w:right="480"/>
              <w:spacing w:after="0" w:line="149" w:lineRule="exact"/>
              <w:rPr>
                <w:sz w:val="20"/>
                <w:szCs w:val="20"/>
                <w:color w:val="auto"/>
              </w:rPr>
            </w:pPr>
            <w:r>
              <w:rPr>
                <w:rFonts w:ascii="Arial" w:cs="Arial" w:eastAsia="Arial" w:hAnsi="Arial"/>
                <w:sz w:val="14"/>
                <w:szCs w:val="14"/>
                <w:color w:val="auto"/>
              </w:rPr>
              <w:t>EBITDA multiple</w:t>
            </w: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5.0x – 15.5x (8.2x)</w:t>
            </w:r>
          </w:p>
        </w:tc>
        <w:tc>
          <w:tcPr>
            <w:tcW w:w="0" w:type="dxa"/>
            <w:vAlign w:val="bottom"/>
          </w:tcPr>
          <w:p>
            <w:pPr>
              <w:spacing w:after="0"/>
              <w:rPr>
                <w:sz w:val="1"/>
                <w:szCs w:val="1"/>
                <w:color w:val="auto"/>
              </w:rPr>
            </w:pPr>
          </w:p>
        </w:tc>
      </w:tr>
      <w:tr>
        <w:trPr>
          <w:trHeight w:val="156"/>
        </w:trPr>
        <w:tc>
          <w:tcPr>
            <w:tcW w:w="4120" w:type="dxa"/>
            <w:vAlign w:val="bottom"/>
          </w:tcPr>
          <w:p>
            <w:pPr>
              <w:ind w:left="300"/>
              <w:spacing w:after="0" w:line="155" w:lineRule="exact"/>
              <w:rPr>
                <w:sz w:val="20"/>
                <w:szCs w:val="20"/>
                <w:color w:val="auto"/>
              </w:rPr>
            </w:pPr>
            <w:r>
              <w:rPr>
                <w:rFonts w:ascii="Arial" w:cs="Arial" w:eastAsia="Arial" w:hAnsi="Arial"/>
                <w:sz w:val="14"/>
                <w:szCs w:val="14"/>
                <w:color w:val="auto"/>
              </w:rPr>
              <w:t>Total Level 3 investments</w:t>
            </w:r>
          </w:p>
        </w:tc>
        <w:tc>
          <w:tcPr>
            <w:tcW w:w="4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1,125,779,698</w:t>
            </w:r>
          </w:p>
        </w:tc>
        <w:tc>
          <w:tcPr>
            <w:tcW w:w="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580" w:type="dxa"/>
            <w:vAlign w:val="bottom"/>
            <w:gridSpan w:val="2"/>
            <w:shd w:val="clear" w:color="auto" w:fill="CCEEFF"/>
          </w:tcPr>
          <w:p>
            <w:pPr>
              <w:ind w:left="480"/>
              <w:spacing w:after="0" w:line="143"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20"/>
              <w:spacing w:after="0" w:line="143" w:lineRule="exact"/>
              <w:rPr>
                <w:sz w:val="20"/>
                <w:szCs w:val="20"/>
                <w:color w:val="auto"/>
              </w:rPr>
            </w:pPr>
            <w:r>
              <w:rPr>
                <w:rFonts w:ascii="Arial" w:cs="Arial" w:eastAsia="Arial" w:hAnsi="Arial"/>
                <w:sz w:val="14"/>
                <w:szCs w:val="14"/>
                <w:color w:val="auto"/>
              </w:rPr>
              <w:t>39,551,187</w:t>
            </w:r>
          </w:p>
        </w:tc>
        <w:tc>
          <w:tcPr>
            <w:tcW w:w="1880" w:type="dxa"/>
            <w:vAlign w:val="bottom"/>
            <w:gridSpan w:val="2"/>
            <w:shd w:val="clear" w:color="auto" w:fill="CCEEFF"/>
          </w:tcPr>
          <w:p>
            <w:pPr>
              <w:jc w:val="center"/>
              <w:ind w:right="480"/>
              <w:spacing w:after="0" w:line="143" w:lineRule="exact"/>
              <w:rPr>
                <w:sz w:val="20"/>
                <w:szCs w:val="20"/>
                <w:color w:val="auto"/>
              </w:rPr>
            </w:pPr>
            <w:r>
              <w:rPr>
                <w:rFonts w:ascii="Arial" w:cs="Arial" w:eastAsia="Arial" w:hAnsi="Arial"/>
                <w:sz w:val="14"/>
                <w:szCs w:val="14"/>
                <w:color w:val="auto"/>
                <w:w w:val="94"/>
              </w:rPr>
              <w:t>Market Comparable</w:t>
            </w:r>
          </w:p>
        </w:tc>
        <w:tc>
          <w:tcPr>
            <w:tcW w:w="1920" w:type="dxa"/>
            <w:vAlign w:val="bottom"/>
            <w:gridSpan w:val="2"/>
            <w:shd w:val="clear" w:color="auto" w:fill="CCEEFF"/>
          </w:tcPr>
          <w:p>
            <w:pPr>
              <w:jc w:val="center"/>
              <w:ind w:right="480"/>
              <w:spacing w:after="0" w:line="143" w:lineRule="exact"/>
              <w:rPr>
                <w:sz w:val="20"/>
                <w:szCs w:val="20"/>
                <w:color w:val="auto"/>
              </w:rPr>
            </w:pPr>
            <w:r>
              <w:rPr>
                <w:rFonts w:ascii="Arial" w:cs="Arial" w:eastAsia="Arial" w:hAnsi="Arial"/>
                <w:sz w:val="14"/>
                <w:szCs w:val="14"/>
                <w:color w:val="auto"/>
                <w:w w:val="97"/>
              </w:rPr>
              <w:t>Market Yield</w:t>
            </w:r>
          </w:p>
        </w:tc>
        <w:tc>
          <w:tcPr>
            <w:tcW w:w="130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3.8%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as of</w:t>
            </w:r>
          </w:p>
        </w:tc>
        <w:tc>
          <w:tcPr>
            <w:tcW w:w="18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1"/>
              </w:rPr>
              <w:t>Valuation Technique</w:t>
            </w:r>
          </w:p>
        </w:tc>
        <w:tc>
          <w:tcPr>
            <w:tcW w:w="19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Unobservable Input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46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spacing w:after="0"/>
              <w:rPr>
                <w:sz w:val="20"/>
                <w:szCs w:val="20"/>
                <w:color w:val="auto"/>
              </w:rPr>
            </w:pPr>
            <w:r>
              <w:rPr>
                <w:rFonts w:ascii="Arial" w:cs="Arial" w:eastAsia="Arial" w:hAnsi="Arial"/>
                <w:sz w:val="14"/>
                <w:szCs w:val="14"/>
                <w:b w:val="1"/>
                <w:bCs w:val="1"/>
                <w:color w:val="auto"/>
              </w:rPr>
              <w:t>September 30, 2015</w:t>
            </w:r>
          </w:p>
        </w:tc>
        <w:tc>
          <w:tcPr>
            <w:tcW w:w="1880" w:type="dxa"/>
            <w:vAlign w:val="bottom"/>
            <w:gridSpan w:val="2"/>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42"/>
        </w:trPr>
        <w:tc>
          <w:tcPr>
            <w:tcW w:w="4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4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281,455,418</w:t>
            </w:r>
          </w:p>
        </w:tc>
        <w:tc>
          <w:tcPr>
            <w:tcW w:w="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48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Broker/Dealer bid quotes</w:t>
            </w:r>
          </w:p>
        </w:tc>
        <w:tc>
          <w:tcPr>
            <w:tcW w:w="46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912,802,451</w:t>
            </w:r>
          </w:p>
        </w:tc>
        <w:tc>
          <w:tcPr>
            <w:tcW w:w="500" w:type="dxa"/>
            <w:vAlign w:val="bottom"/>
          </w:tcPr>
          <w:p>
            <w:pPr>
              <w:spacing w:after="0"/>
              <w:rPr>
                <w:sz w:val="12"/>
                <w:szCs w:val="12"/>
                <w:color w:val="auto"/>
              </w:rPr>
            </w:pPr>
          </w:p>
        </w:tc>
        <w:tc>
          <w:tcPr>
            <w:tcW w:w="188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4"/>
              </w:rPr>
              <w:t>Market Comparable</w:t>
            </w:r>
          </w:p>
        </w:tc>
        <w:tc>
          <w:tcPr>
            <w:tcW w:w="19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7"/>
              </w:rPr>
              <w:t>Market Yield</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3"/>
              </w:rPr>
              <w:t>9.6% – 34.7%(14.1%)</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2,715,722</w:t>
            </w:r>
          </w:p>
        </w:tc>
        <w:tc>
          <w:tcPr>
            <w:tcW w:w="50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center"/>
              <w:ind w:right="480"/>
              <w:spacing w:after="0" w:line="149" w:lineRule="exact"/>
              <w:rPr>
                <w:sz w:val="20"/>
                <w:szCs w:val="20"/>
                <w:color w:val="auto"/>
              </w:rPr>
            </w:pPr>
            <w:r>
              <w:rPr>
                <w:rFonts w:ascii="Arial" w:cs="Arial" w:eastAsia="Arial" w:hAnsi="Arial"/>
                <w:sz w:val="14"/>
                <w:szCs w:val="14"/>
                <w:color w:val="auto"/>
                <w:w w:val="94"/>
              </w:rPr>
              <w:t>Market Comparable</w:t>
            </w:r>
          </w:p>
        </w:tc>
        <w:tc>
          <w:tcPr>
            <w:tcW w:w="1920" w:type="dxa"/>
            <w:vAlign w:val="bottom"/>
            <w:gridSpan w:val="2"/>
            <w:shd w:val="clear" w:color="auto" w:fill="CCEEFF"/>
          </w:tcPr>
          <w:p>
            <w:pPr>
              <w:jc w:val="center"/>
              <w:ind w:right="480"/>
              <w:spacing w:after="0" w:line="149" w:lineRule="exact"/>
              <w:rPr>
                <w:sz w:val="20"/>
                <w:szCs w:val="20"/>
                <w:color w:val="auto"/>
              </w:rPr>
            </w:pPr>
            <w:r>
              <w:rPr>
                <w:rFonts w:ascii="Arial" w:cs="Arial" w:eastAsia="Arial" w:hAnsi="Arial"/>
                <w:sz w:val="14"/>
                <w:szCs w:val="14"/>
                <w:color w:val="auto"/>
                <w:w w:val="92"/>
              </w:rPr>
              <w:t>Broker/Dealer bid quotes</w:t>
            </w: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6"/>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100,453,864</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8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3"/>
              </w:rPr>
              <w:t>Enterprise Market Value</w:t>
            </w:r>
          </w:p>
        </w:tc>
        <w:tc>
          <w:tcPr>
            <w:tcW w:w="19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rPr>
              <w:t>EBITDA multiple</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4"/>
              </w:rPr>
              <w:t>3.4x – 22.5x (9.2x)</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Level 3 investments</w:t>
            </w: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1,297,427,455</w:t>
            </w:r>
          </w:p>
        </w:tc>
        <w:tc>
          <w:tcPr>
            <w:tcW w:w="1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2"/>
            <w:vMerge w:val="restart"/>
          </w:tcPr>
          <w:p>
            <w:pPr>
              <w:jc w:val="center"/>
              <w:ind w:right="480"/>
              <w:spacing w:after="0"/>
              <w:rPr>
                <w:sz w:val="20"/>
                <w:szCs w:val="20"/>
                <w:color w:val="auto"/>
              </w:rPr>
            </w:pPr>
            <w:r>
              <w:rPr>
                <w:rFonts w:ascii="Arial" w:cs="Arial" w:eastAsia="Arial" w:hAnsi="Arial"/>
                <w:sz w:val="14"/>
                <w:szCs w:val="14"/>
                <w:color w:val="auto"/>
                <w:w w:val="94"/>
              </w:rPr>
              <w:t>Market Comparable</w:t>
            </w:r>
          </w:p>
        </w:tc>
        <w:tc>
          <w:tcPr>
            <w:tcW w:w="1920" w:type="dxa"/>
            <w:vAlign w:val="bottom"/>
            <w:gridSpan w:val="2"/>
            <w:vMerge w:val="restart"/>
          </w:tcPr>
          <w:p>
            <w:pPr>
              <w:jc w:val="center"/>
              <w:ind w:right="480"/>
              <w:spacing w:after="0"/>
              <w:rPr>
                <w:sz w:val="20"/>
                <w:szCs w:val="20"/>
                <w:color w:val="auto"/>
              </w:rPr>
            </w:pPr>
            <w:r>
              <w:rPr>
                <w:rFonts w:ascii="Arial" w:cs="Arial" w:eastAsia="Arial" w:hAnsi="Arial"/>
                <w:sz w:val="14"/>
                <w:szCs w:val="14"/>
                <w:color w:val="auto"/>
                <w:w w:val="97"/>
              </w:rPr>
              <w:t>Market Yield</w:t>
            </w: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w w:val="93"/>
              </w:rPr>
              <w:t>3.4%</w:t>
            </w:r>
          </w:p>
        </w:tc>
        <w:tc>
          <w:tcPr>
            <w:tcW w:w="0" w:type="dxa"/>
            <w:vAlign w:val="bottom"/>
          </w:tcPr>
          <w:p>
            <w:pPr>
              <w:spacing w:after="0" w:line="20" w:lineRule="exact"/>
              <w:rPr>
                <w:sz w:val="1"/>
                <w:szCs w:val="1"/>
                <w:color w:val="auto"/>
              </w:rPr>
            </w:pPr>
          </w:p>
        </w:tc>
      </w:tr>
      <w:tr>
        <w:trPr>
          <w:trHeight w:val="143"/>
        </w:trPr>
        <w:tc>
          <w:tcPr>
            <w:tcW w:w="460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132,356,860</w:t>
            </w:r>
          </w:p>
        </w:tc>
        <w:tc>
          <w:tcPr>
            <w:tcW w:w="2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Our investments, cash and cash equivalents, Credit Facility and our Notes were categorized as follows in the fair value hierarchy for ASC 820 purposes: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w w:val="93"/>
              </w:rPr>
              <w:t>Fair Value at September 30, 2016</w:t>
            </w: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1340" w:type="dxa"/>
            <w:vAlign w:val="bottom"/>
            <w:gridSpan w:val="2"/>
          </w:tcPr>
          <w:p>
            <w:pPr>
              <w:jc w:val="right"/>
              <w:ind w:right="840"/>
              <w:spacing w:after="0" w:line="142" w:lineRule="exact"/>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2"/>
                <w:szCs w:val="12"/>
                <w:color w:val="auto"/>
              </w:rPr>
            </w:pPr>
          </w:p>
        </w:tc>
        <w:tc>
          <w:tcPr>
            <w:tcW w:w="74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Level 2</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6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1,000,146,681</w:t>
            </w:r>
          </w:p>
        </w:tc>
        <w:tc>
          <w:tcPr>
            <w:tcW w:w="7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1,000,146,681</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90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153,532,994</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2,758,757</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25,141,220</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125,633,017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9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w w:val="91"/>
              </w:rPr>
              <w:t>1,153,679,675</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2,758,757</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25,141,220</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1,125,779,698</w:t>
            </w:r>
          </w:p>
        </w:tc>
        <w:tc>
          <w:tcPr>
            <w:tcW w:w="0" w:type="dxa"/>
            <w:vAlign w:val="bottom"/>
          </w:tcPr>
          <w:p>
            <w:pPr>
              <w:spacing w:after="0"/>
              <w:rPr>
                <w:sz w:val="1"/>
                <w:szCs w:val="1"/>
                <w:color w:val="auto"/>
              </w:rPr>
            </w:pPr>
          </w:p>
        </w:tc>
      </w:tr>
      <w:tr>
        <w:trPr>
          <w:trHeight w:val="156"/>
        </w:trPr>
        <w:tc>
          <w:tcPr>
            <w:tcW w:w="5900" w:type="dxa"/>
            <w:vAlign w:val="bottom"/>
            <w:gridSpan w:val="2"/>
          </w:tcPr>
          <w:p>
            <w:pPr>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tcPr>
          <w:p>
            <w:pPr>
              <w:spacing w:after="0"/>
              <w:rPr>
                <w:sz w:val="13"/>
                <w:szCs w:val="13"/>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75,608,113</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w w:val="88"/>
              </w:rPr>
              <w:t>75,608,113</w:t>
            </w:r>
          </w:p>
        </w:tc>
        <w:tc>
          <w:tcPr>
            <w:tcW w:w="80" w:type="dxa"/>
            <w:vAlign w:val="bottom"/>
          </w:tcPr>
          <w:p>
            <w:pPr>
              <w:spacing w:after="0"/>
              <w:rPr>
                <w:sz w:val="13"/>
                <w:szCs w:val="13"/>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9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1,229,287,788</w:t>
            </w:r>
          </w:p>
        </w:tc>
        <w:tc>
          <w:tcPr>
            <w:tcW w:w="7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78,366,870</w:t>
            </w:r>
          </w:p>
        </w:tc>
        <w:tc>
          <w:tcPr>
            <w:tcW w:w="7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25,141,220</w:t>
            </w:r>
          </w:p>
        </w:tc>
        <w:tc>
          <w:tcPr>
            <w:tcW w:w="7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1,125,779,698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00" w:type="dxa"/>
            <w:vAlign w:val="bottom"/>
            <w:gridSpan w:val="2"/>
            <w:vMerge w:val="continue"/>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39,551,187</w:t>
            </w:r>
          </w:p>
        </w:tc>
        <w:tc>
          <w:tcPr>
            <w:tcW w:w="7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39,551,187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254,175,000</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254,175,000</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900" w:type="dxa"/>
            <w:vAlign w:val="bottom"/>
            <w:gridSpan w:val="2"/>
          </w:tcPr>
          <w:p>
            <w:pPr>
              <w:spacing w:after="0" w:line="149" w:lineRule="exact"/>
              <w:rPr>
                <w:sz w:val="20"/>
                <w:szCs w:val="20"/>
                <w:color w:val="auto"/>
              </w:rPr>
            </w:pPr>
            <w:r>
              <w:rPr>
                <w:rFonts w:ascii="Arial" w:cs="Arial" w:eastAsia="Arial" w:hAnsi="Arial"/>
                <w:sz w:val="14"/>
                <w:szCs w:val="14"/>
                <w:color w:val="auto"/>
              </w:rPr>
              <w:t>2025 Notes</w:t>
            </w: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72,618,000</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8"/>
              </w:rPr>
              <w:t>72,618,000</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9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debt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366,344,187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72,618,000</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254,175,000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39,551,187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w w:val="93"/>
              </w:rPr>
              <w:t>Fair Value at September 30, 2015</w:t>
            </w: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64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Level 1</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Level 2</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6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1,194,257,869</w:t>
            </w:r>
          </w:p>
        </w:tc>
        <w:tc>
          <w:tcPr>
            <w:tcW w:w="7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1,194,257,869</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24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6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104,789,964</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1,620,378</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103,169,586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w w:val="91"/>
              </w:rPr>
              <w:t>1,299,047,833</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1,620,378</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1,297,427,455</w:t>
            </w:r>
          </w:p>
        </w:tc>
        <w:tc>
          <w:tcPr>
            <w:tcW w:w="0" w:type="dxa"/>
            <w:vAlign w:val="bottom"/>
          </w:tcPr>
          <w:p>
            <w:pPr>
              <w:spacing w:after="0"/>
              <w:rPr>
                <w:sz w:val="1"/>
                <w:szCs w:val="1"/>
                <w:color w:val="auto"/>
              </w:rPr>
            </w:pPr>
          </w:p>
        </w:tc>
      </w:tr>
      <w:tr>
        <w:trPr>
          <w:trHeight w:val="156"/>
        </w:trPr>
        <w:tc>
          <w:tcPr>
            <w:tcW w:w="524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6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49,619,256</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8"/>
              </w:rPr>
              <w:t>49,619,256</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w w:val="91"/>
              </w:rPr>
              <w:t>1,348,667,089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49,619,256</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1,620,378</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1,297,427,455</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4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132,356,860</w:t>
            </w:r>
          </w:p>
        </w:tc>
        <w:tc>
          <w:tcPr>
            <w:tcW w:w="7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132,356,860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253,102,500</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253,102,500</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240" w:type="dxa"/>
            <w:vAlign w:val="bottom"/>
          </w:tcPr>
          <w:p>
            <w:pPr>
              <w:spacing w:after="0" w:line="149" w:lineRule="exact"/>
              <w:rPr>
                <w:sz w:val="20"/>
                <w:szCs w:val="20"/>
                <w:color w:val="auto"/>
              </w:rPr>
            </w:pPr>
            <w:r>
              <w:rPr>
                <w:rFonts w:ascii="Arial" w:cs="Arial" w:eastAsia="Arial" w:hAnsi="Arial"/>
                <w:sz w:val="14"/>
                <w:szCs w:val="14"/>
                <w:color w:val="auto"/>
              </w:rPr>
              <w:t>2025 Notes</w:t>
            </w:r>
          </w:p>
        </w:tc>
        <w:tc>
          <w:tcPr>
            <w:tcW w:w="6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71,136,000</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8"/>
              </w:rPr>
              <w:t>71,136,000</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debt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456,595,360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71,136,000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253,102,500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132,356,860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5240" w:type="dxa"/>
            <w:vAlign w:val="bottom"/>
          </w:tcPr>
          <w:p>
            <w:pPr>
              <w:spacing w:after="0"/>
              <w:rPr>
                <w:sz w:val="24"/>
                <w:szCs w:val="24"/>
                <w:color w:val="auto"/>
              </w:rPr>
            </w:pPr>
          </w:p>
        </w:tc>
        <w:tc>
          <w:tcPr>
            <w:tcW w:w="740" w:type="dxa"/>
            <w:vAlign w:val="bottom"/>
            <w:gridSpan w:val="2"/>
          </w:tcPr>
          <w:p>
            <w:pPr>
              <w:jc w:val="right"/>
              <w:ind w:right="69"/>
              <w:spacing w:after="0"/>
              <w:rPr>
                <w:sz w:val="20"/>
                <w:szCs w:val="20"/>
                <w:color w:val="auto"/>
              </w:rPr>
            </w:pPr>
            <w:r>
              <w:rPr>
                <w:rFonts w:ascii="Arial" w:cs="Arial" w:eastAsia="Arial" w:hAnsi="Arial"/>
                <w:sz w:val="14"/>
                <w:szCs w:val="14"/>
                <w:color w:val="auto"/>
              </w:rPr>
              <w:t>F-43</w:t>
            </w: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tables below show a reconciliation of the beginning and ending balances for fair valued investments measured using significant unobservable inputs (Level 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2"/>
              </w:rPr>
              <w:t>Year Ended September 30, 2016</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0"/>
                <w:szCs w:val="10"/>
                <w:color w:val="auto"/>
              </w:rPr>
            </w:pPr>
          </w:p>
        </w:tc>
        <w:tc>
          <w:tcPr>
            <w:tcW w:w="108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Debt</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2"/>
          </w:tcPr>
          <w:p>
            <w:pPr>
              <w:jc w:val="right"/>
              <w:ind w:right="820"/>
              <w:spacing w:after="0" w:line="119" w:lineRule="exact"/>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9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investments</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5"/>
              </w:rPr>
              <w:t>investments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4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1,194,257,869</w:t>
            </w:r>
          </w:p>
        </w:tc>
        <w:tc>
          <w:tcPr>
            <w:tcW w:w="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103,169,586</w:t>
            </w:r>
          </w:p>
        </w:tc>
        <w:tc>
          <w:tcPr>
            <w:tcW w:w="4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1,297,427,455</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Net realized (losses) gains</w:t>
            </w:r>
          </w:p>
        </w:tc>
        <w:tc>
          <w:tcPr>
            <w:tcW w:w="14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(91,185,306)</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5,717,455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(85,467,851)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Net unrealized appreciation</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9,948,715</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15,492,038</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25,440,753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302,824,970</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48,102,684</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350,927,654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(415,699,567)</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(19,857,743)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(435,557,310)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(26,991,003)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(26,991,003)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1,000,146,681</w:t>
            </w:r>
          </w:p>
        </w:tc>
        <w:tc>
          <w:tcPr>
            <w:tcW w:w="6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125,633,017</w:t>
            </w:r>
          </w:p>
        </w:tc>
        <w:tc>
          <w:tcPr>
            <w:tcW w:w="4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1,125,779,698</w:t>
            </w:r>
          </w:p>
        </w:tc>
        <w:tc>
          <w:tcPr>
            <w:tcW w:w="0" w:type="dxa"/>
            <w:vAlign w:val="bottom"/>
          </w:tcPr>
          <w:p>
            <w:pPr>
              <w:spacing w:after="0"/>
              <w:rPr>
                <w:sz w:val="1"/>
                <w:szCs w:val="1"/>
                <w:color w:val="auto"/>
              </w:rPr>
            </w:pPr>
          </w:p>
        </w:tc>
      </w:tr>
      <w:tr>
        <w:trPr>
          <w:trHeight w:val="20"/>
        </w:trPr>
        <w:tc>
          <w:tcPr>
            <w:tcW w:w="6920" w:type="dxa"/>
            <w:vAlign w:val="bottom"/>
            <w:gridSpan w:val="3"/>
            <w:vMerge w:val="restart"/>
          </w:tcPr>
          <w:p>
            <w:pPr>
              <w:spacing w:after="0"/>
              <w:rPr>
                <w:sz w:val="20"/>
                <w:szCs w:val="20"/>
                <w:color w:val="auto"/>
              </w:rPr>
            </w:pPr>
            <w:r>
              <w:rPr>
                <w:rFonts w:ascii="Arial" w:cs="Arial" w:eastAsia="Arial" w:hAnsi="Arial"/>
                <w:sz w:val="14"/>
                <w:szCs w:val="14"/>
                <w:color w:val="auto"/>
              </w:rPr>
              <w:t>Net change in unrealized (depreciation) appreciation reported within the net change in unrealized appreciation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9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8"/>
              </w:rPr>
              <w:t>on investments in our Consolidated Statements of Operations attributable to our Level 3 assets still held at the</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00" w:type="dxa"/>
            <w:vAlign w:val="bottom"/>
            <w:gridSpan w:val="2"/>
          </w:tcPr>
          <w:p>
            <w:pPr>
              <w:ind w:left="140"/>
              <w:spacing w:after="0"/>
              <w:rPr>
                <w:sz w:val="20"/>
                <w:szCs w:val="20"/>
                <w:color w:val="auto"/>
              </w:rPr>
            </w:pPr>
            <w:r>
              <w:rPr>
                <w:rFonts w:ascii="Arial" w:cs="Arial" w:eastAsia="Arial" w:hAnsi="Arial"/>
                <w:sz w:val="14"/>
                <w:szCs w:val="14"/>
                <w:color w:val="auto"/>
              </w:rPr>
              <w:t>reporting date.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(38,844,736)</w:t>
            </w:r>
          </w:p>
        </w:tc>
        <w:tc>
          <w:tcPr>
            <w:tcW w:w="60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3,040,478</w:t>
            </w:r>
          </w:p>
        </w:tc>
        <w:tc>
          <w:tcPr>
            <w:tcW w:w="440" w:type="dxa"/>
            <w:vAlign w:val="bottom"/>
          </w:tcPr>
          <w:p>
            <w:pPr>
              <w:spacing w:after="0"/>
              <w:rPr>
                <w:sz w:val="14"/>
                <w:szCs w:val="14"/>
                <w:color w:val="auto"/>
              </w:rPr>
            </w:pPr>
          </w:p>
        </w:tc>
        <w:tc>
          <w:tcPr>
            <w:tcW w:w="2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(35,804,258)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2"/>
              </w:rPr>
              <w:t>Year Ended September 30, 2015</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0"/>
                <w:szCs w:val="10"/>
                <w:color w:val="auto"/>
              </w:rPr>
            </w:pPr>
          </w:p>
        </w:tc>
        <w:tc>
          <w:tcPr>
            <w:tcW w:w="108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Debt</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2"/>
          </w:tcPr>
          <w:p>
            <w:pPr>
              <w:jc w:val="right"/>
              <w:ind w:right="820"/>
              <w:spacing w:after="0" w:line="119" w:lineRule="exact"/>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9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investments</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5"/>
              </w:rPr>
              <w:t>investments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4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1,161,475,899</w:t>
            </w:r>
          </w:p>
        </w:tc>
        <w:tc>
          <w:tcPr>
            <w:tcW w:w="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111,862,237</w:t>
            </w:r>
          </w:p>
        </w:tc>
        <w:tc>
          <w:tcPr>
            <w:tcW w:w="4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1,273,338,136</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Net realized (losses) gains</w:t>
            </w:r>
          </w:p>
        </w:tc>
        <w:tc>
          <w:tcPr>
            <w:tcW w:w="14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(3,035,810)</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32,996,191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29,960,381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Net unrealized depreciation</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(76,638,642)</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(43,251,477)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(119,890,119)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402,165,393</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59,927,977</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462,093,370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(333,344,376)</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(57,130,358)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(390,474,734)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43,635,405</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(1,234,984)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42,400,421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1,194,257,869</w:t>
            </w:r>
          </w:p>
        </w:tc>
        <w:tc>
          <w:tcPr>
            <w:tcW w:w="6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103,169,586</w:t>
            </w:r>
          </w:p>
        </w:tc>
        <w:tc>
          <w:tcPr>
            <w:tcW w:w="4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1,297,427,455</w:t>
            </w:r>
          </w:p>
        </w:tc>
        <w:tc>
          <w:tcPr>
            <w:tcW w:w="0" w:type="dxa"/>
            <w:vAlign w:val="bottom"/>
          </w:tcPr>
          <w:p>
            <w:pPr>
              <w:spacing w:after="0"/>
              <w:rPr>
                <w:sz w:val="1"/>
                <w:szCs w:val="1"/>
                <w:color w:val="auto"/>
              </w:rPr>
            </w:pPr>
          </w:p>
        </w:tc>
      </w:tr>
      <w:tr>
        <w:trPr>
          <w:trHeight w:val="20"/>
        </w:trPr>
        <w:tc>
          <w:tcPr>
            <w:tcW w:w="6920" w:type="dxa"/>
            <w:vAlign w:val="bottom"/>
            <w:gridSpan w:val="3"/>
            <w:vMerge w:val="restart"/>
          </w:tcPr>
          <w:p>
            <w:pPr>
              <w:spacing w:after="0"/>
              <w:rPr>
                <w:sz w:val="20"/>
                <w:szCs w:val="20"/>
                <w:color w:val="auto"/>
              </w:rPr>
            </w:pPr>
            <w:r>
              <w:rPr>
                <w:rFonts w:ascii="Arial" w:cs="Arial" w:eastAsia="Arial" w:hAnsi="Arial"/>
                <w:sz w:val="14"/>
                <w:szCs w:val="14"/>
                <w:color w:val="auto"/>
              </w:rPr>
              <w:t>Net change in unrealized depreciation reported within the net change in unrealized appreciation on investments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9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00" w:type="dxa"/>
            <w:vAlign w:val="bottom"/>
            <w:gridSpan w:val="2"/>
          </w:tcPr>
          <w:p>
            <w:pPr>
              <w:ind w:left="140"/>
              <w:spacing w:after="0"/>
              <w:rPr>
                <w:sz w:val="20"/>
                <w:szCs w:val="20"/>
                <w:color w:val="auto"/>
              </w:rPr>
            </w:pPr>
            <w:r>
              <w:rPr>
                <w:rFonts w:ascii="Arial" w:cs="Arial" w:eastAsia="Arial" w:hAnsi="Arial"/>
                <w:sz w:val="14"/>
                <w:szCs w:val="14"/>
                <w:color w:val="auto"/>
                <w:w w:val="99"/>
              </w:rPr>
              <w:t>in our Consolidated Statements of Operations attributable to our Level 3 assets still held at the reporting date.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(72,798,807)</w:t>
            </w:r>
          </w:p>
        </w:tc>
        <w:tc>
          <w:tcPr>
            <w:tcW w:w="60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400"/>
              <w:spacing w:after="0"/>
              <w:rPr>
                <w:sz w:val="20"/>
                <w:szCs w:val="20"/>
                <w:color w:val="auto"/>
              </w:rPr>
            </w:pPr>
            <w:r>
              <w:rPr>
                <w:rFonts w:ascii="Arial" w:cs="Arial" w:eastAsia="Arial" w:hAnsi="Arial"/>
                <w:sz w:val="14"/>
                <w:szCs w:val="14"/>
                <w:color w:val="auto"/>
              </w:rPr>
              <w:t>(25,858,358)</w:t>
            </w:r>
          </w:p>
        </w:tc>
        <w:tc>
          <w:tcPr>
            <w:tcW w:w="2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(98,657,165)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table below shows a reconciliation of the beginning and ending balances for carrying/fair valued liabilities measured using significant unobservable inputs (Level 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Carrying/Fair Value</w:t>
            </w:r>
          </w:p>
        </w:tc>
        <w:tc>
          <w:tcPr>
            <w:tcW w:w="0" w:type="dxa"/>
            <w:vAlign w:val="bottom"/>
          </w:tcPr>
          <w:p>
            <w:pPr>
              <w:spacing w:after="0"/>
              <w:rPr>
                <w:sz w:val="1"/>
                <w:szCs w:val="1"/>
                <w:color w:val="auto"/>
              </w:rPr>
            </w:pPr>
          </w:p>
        </w:tc>
      </w:tr>
      <w:tr>
        <w:trPr>
          <w:trHeight w:val="171"/>
        </w:trPr>
        <w:tc>
          <w:tcPr>
            <w:tcW w:w="8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Credit Facility and 2019 Notes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42"/>
        </w:trPr>
        <w:tc>
          <w:tcPr>
            <w:tcW w:w="87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6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 (cost – $106,864,300 and $305,226,300, respectively)</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102,356,860</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304,847,870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7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Total unrealized depreciation included in earnings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(6,281,073)</w:t>
            </w:r>
          </w:p>
        </w:tc>
        <w:tc>
          <w:tcPr>
            <w:tcW w:w="24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(1,026,510)</w:t>
            </w:r>
          </w:p>
        </w:tc>
        <w:tc>
          <w:tcPr>
            <w:tcW w:w="0" w:type="dxa"/>
            <w:vAlign w:val="bottom"/>
          </w:tcPr>
          <w:p>
            <w:pPr>
              <w:spacing w:after="0"/>
              <w:rPr>
                <w:sz w:val="1"/>
                <w:szCs w:val="1"/>
                <w:color w:val="auto"/>
              </w:rPr>
            </w:pPr>
          </w:p>
        </w:tc>
      </w:tr>
      <w:tr>
        <w:trPr>
          <w:trHeight w:val="149"/>
        </w:trPr>
        <w:tc>
          <w:tcPr>
            <w:tcW w:w="87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(1)</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272,664,923</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349,000,000</w:t>
            </w:r>
          </w:p>
        </w:tc>
        <w:tc>
          <w:tcPr>
            <w:tcW w:w="0" w:type="dxa"/>
            <w:vAlign w:val="bottom"/>
          </w:tcPr>
          <w:p>
            <w:pPr>
              <w:spacing w:after="0"/>
              <w:rPr>
                <w:sz w:val="1"/>
                <w:szCs w:val="1"/>
                <w:color w:val="auto"/>
              </w:rPr>
            </w:pPr>
          </w:p>
        </w:tc>
      </w:tr>
      <w:tr>
        <w:trPr>
          <w:trHeight w:val="149"/>
        </w:trPr>
        <w:tc>
          <w:tcPr>
            <w:tcW w:w="87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(329,189,523)</w:t>
            </w:r>
          </w:p>
        </w:tc>
        <w:tc>
          <w:tcPr>
            <w:tcW w:w="24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(297,362,000)</w:t>
            </w:r>
          </w:p>
        </w:tc>
        <w:tc>
          <w:tcPr>
            <w:tcW w:w="0" w:type="dxa"/>
            <w:vAlign w:val="bottom"/>
          </w:tcPr>
          <w:p>
            <w:pPr>
              <w:spacing w:after="0"/>
              <w:rPr>
                <w:sz w:val="1"/>
                <w:szCs w:val="1"/>
                <w:color w:val="auto"/>
              </w:rPr>
            </w:pPr>
          </w:p>
        </w:tc>
      </w:tr>
      <w:tr>
        <w:trPr>
          <w:trHeight w:val="149"/>
        </w:trPr>
        <w:tc>
          <w:tcPr>
            <w:tcW w:w="87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(253,102,500)</w:t>
            </w:r>
          </w:p>
        </w:tc>
        <w:tc>
          <w:tcPr>
            <w:tcW w:w="0" w:type="dxa"/>
            <w:vAlign w:val="bottom"/>
          </w:tcPr>
          <w:p>
            <w:pPr>
              <w:spacing w:after="0"/>
              <w:rPr>
                <w:sz w:val="1"/>
                <w:szCs w:val="1"/>
                <w:color w:val="auto"/>
              </w:rPr>
            </w:pPr>
          </w:p>
        </w:tc>
      </w:tr>
      <w:tr>
        <w:trPr>
          <w:trHeight w:val="156"/>
        </w:trPr>
        <w:tc>
          <w:tcPr>
            <w:tcW w:w="878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$50,339,700 and $106,864,300, respectively)</w:t>
            </w:r>
          </w:p>
        </w:tc>
        <w:tc>
          <w:tcPr>
            <w:tcW w:w="20" w:type="dxa"/>
            <w:vAlign w:val="bottom"/>
          </w:tcPr>
          <w:p>
            <w:pPr>
              <w:spacing w:after="0"/>
              <w:rPr>
                <w:sz w:val="13"/>
                <w:szCs w:val="13"/>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39,551,187</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top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102,356,860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7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Temporary draws outstanding, at cost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30,000,000</w:t>
            </w:r>
          </w:p>
        </w:tc>
        <w:tc>
          <w:tcPr>
            <w:tcW w:w="0" w:type="dxa"/>
            <w:vAlign w:val="bottom"/>
          </w:tcPr>
          <w:p>
            <w:pPr>
              <w:spacing w:after="0"/>
              <w:rPr>
                <w:sz w:val="1"/>
                <w:szCs w:val="1"/>
                <w:color w:val="auto"/>
              </w:rPr>
            </w:pPr>
          </w:p>
        </w:tc>
      </w:tr>
      <w:tr>
        <w:trPr>
          <w:trHeight w:val="156"/>
        </w:trPr>
        <w:tc>
          <w:tcPr>
            <w:tcW w:w="878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$50,339,700 and $136,864,300, respectively)</w:t>
            </w:r>
          </w:p>
        </w:tc>
        <w:tc>
          <w:tcPr>
            <w:tcW w:w="2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39,551,187</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132,356,860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8658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64"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Excludes temporary draws.</w:t>
      </w:r>
    </w:p>
    <w:p>
      <w:pPr>
        <w:spacing w:after="0" w:line="20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We had outstanding non-USD borrowing on our Credit Facility. Net change in fair value on foreign currency translating on outstanding borrowings is listed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Foreign Currency</w:t>
            </w: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Local Currency</w:t>
            </w:r>
          </w:p>
        </w:tc>
        <w:tc>
          <w:tcPr>
            <w:tcW w:w="160" w:type="dxa"/>
            <w:vAlign w:val="bottom"/>
          </w:tcPr>
          <w:p>
            <w:pPr>
              <w:spacing w:after="0"/>
              <w:rPr>
                <w:sz w:val="14"/>
                <w:szCs w:val="14"/>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Original</w:t>
            </w:r>
          </w:p>
        </w:tc>
        <w:tc>
          <w:tcPr>
            <w:tcW w:w="340" w:type="dxa"/>
            <w:vAlign w:val="bottom"/>
          </w:tcPr>
          <w:p>
            <w:pPr>
              <w:spacing w:after="0"/>
              <w:rPr>
                <w:sz w:val="14"/>
                <w:szCs w:val="14"/>
                <w:color w:val="auto"/>
              </w:rPr>
            </w:pPr>
          </w:p>
        </w:tc>
        <w:tc>
          <w:tcPr>
            <w:tcW w:w="122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3"/>
              </w:rPr>
              <w:t>Current Value</w:t>
            </w: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Reset Date</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6"/>
              </w:rPr>
              <w:t>Net Change in Fair</w:t>
            </w:r>
          </w:p>
        </w:tc>
        <w:tc>
          <w:tcPr>
            <w:tcW w:w="0" w:type="dxa"/>
            <w:vAlign w:val="bottom"/>
          </w:tcPr>
          <w:p>
            <w:pPr>
              <w:spacing w:after="0"/>
              <w:rPr>
                <w:sz w:val="1"/>
                <w:szCs w:val="1"/>
                <w:color w:val="auto"/>
              </w:rPr>
            </w:pPr>
          </w:p>
        </w:tc>
      </w:tr>
      <w:tr>
        <w:trPr>
          <w:trHeight w:val="176"/>
        </w:trPr>
        <w:tc>
          <w:tcPr>
            <w:tcW w:w="3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400" w:type="dxa"/>
            <w:vAlign w:val="bottom"/>
            <w:gridSpan w:val="2"/>
            <w:vMerge w:val="continue"/>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Borrowing Cost</w:t>
            </w:r>
          </w:p>
        </w:tc>
        <w:tc>
          <w:tcPr>
            <w:tcW w:w="34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2"/>
        </w:trPr>
        <w:tc>
          <w:tcPr>
            <w:tcW w:w="34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9"/>
              </w:rPr>
              <w:t>2016</w:t>
            </w:r>
          </w:p>
        </w:tc>
        <w:tc>
          <w:tcPr>
            <w:tcW w:w="30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British Pound</w:t>
            </w:r>
          </w:p>
        </w:tc>
        <w:tc>
          <w:tcPr>
            <w:tcW w:w="3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31,000,000</w:t>
            </w:r>
          </w:p>
        </w:tc>
        <w:tc>
          <w:tcPr>
            <w:tcW w:w="3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50,339,700</w:t>
            </w:r>
          </w:p>
        </w:tc>
        <w:tc>
          <w:tcPr>
            <w:tcW w:w="3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40,180,433</w:t>
            </w:r>
          </w:p>
        </w:tc>
        <w:tc>
          <w:tcPr>
            <w:tcW w:w="3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October 3, 2016</w:t>
            </w:r>
          </w:p>
        </w:tc>
        <w:tc>
          <w:tcPr>
            <w:tcW w:w="3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(10,159,267)</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40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300" w:type="dxa"/>
            <w:vAlign w:val="bottom"/>
          </w:tcPr>
          <w:p>
            <w:pPr>
              <w:spacing w:after="0"/>
              <w:rPr>
                <w:sz w:val="15"/>
                <w:szCs w:val="15"/>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British Pound</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28,000,000</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46,864,300</w:t>
            </w:r>
          </w:p>
        </w:tc>
        <w:tc>
          <w:tcPr>
            <w:tcW w:w="500" w:type="dxa"/>
            <w:vAlign w:val="bottom"/>
            <w:gridSpan w:val="2"/>
          </w:tcPr>
          <w:p>
            <w:pPr>
              <w:jc w:val="right"/>
              <w:ind w:right="3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w w:val="99"/>
              </w:rPr>
              <w:t>42,356,860</w:t>
            </w: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October 1, 2015</w:t>
            </w: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(4,507,440)</w:t>
            </w:r>
          </w:p>
        </w:tc>
        <w:tc>
          <w:tcPr>
            <w:tcW w:w="0" w:type="dxa"/>
            <w:vAlign w:val="bottom"/>
          </w:tcPr>
          <w:p>
            <w:pPr>
              <w:spacing w:after="0"/>
              <w:rPr>
                <w:sz w:val="1"/>
                <w:szCs w:val="1"/>
                <w:color w:val="auto"/>
              </w:rPr>
            </w:pPr>
          </w:p>
        </w:tc>
      </w:tr>
      <w:tr>
        <w:trPr>
          <w:trHeight w:val="278"/>
        </w:trPr>
        <w:tc>
          <w:tcPr>
            <w:tcW w:w="3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80"/>
              <w:spacing w:after="0"/>
              <w:rPr>
                <w:sz w:val="20"/>
                <w:szCs w:val="20"/>
                <w:color w:val="auto"/>
              </w:rPr>
            </w:pPr>
            <w:r>
              <w:rPr>
                <w:rFonts w:ascii="Arial" w:cs="Arial" w:eastAsia="Arial" w:hAnsi="Arial"/>
                <w:sz w:val="14"/>
                <w:szCs w:val="14"/>
                <w:color w:val="auto"/>
              </w:rPr>
              <w:t>F-44</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24" w:lineRule="exact"/>
        <w:rPr>
          <w:sz w:val="20"/>
          <w:szCs w:val="20"/>
          <w:color w:val="auto"/>
        </w:rPr>
      </w:pPr>
    </w:p>
    <w:p>
      <w:pPr>
        <w:ind w:firstLine="685"/>
        <w:spacing w:after="0" w:line="225" w:lineRule="auto"/>
        <w:rPr>
          <w:sz w:val="20"/>
          <w:szCs w:val="20"/>
          <w:color w:val="auto"/>
        </w:rPr>
      </w:pPr>
      <w:r>
        <w:rPr>
          <w:rFonts w:ascii="Arial" w:cs="Arial" w:eastAsia="Arial" w:hAnsi="Arial"/>
          <w:sz w:val="14"/>
          <w:szCs w:val="14"/>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our Notes. We elected to use the fair value option for the Credit Facility and our Notes to align the measurement attributes of both our assets and liabilities while mitigating volatility in earnings from using different measurement attributes. Due to that election and in accordance with GAAP, we incurred zero, zero and $8.3 million relating to debt issuance costs during the years ended September 30, 2016, 2015 and 2014,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our Notes are reported in our Consolidated Statement of Operations. We elected not to apply ASC 825-10 to any other financial assets or liabilities, including the SBA debentures. For the fiscal years ended September 30, 2016, 2015 and 2014, our Credit Facility and our Notes had a net change in unrealized depreciation (appreciation) of $3.7 million, $1.7 million and $(3.0) million, respectively. As of September 30, 2016 and 2015, net unrealized depreciation on our Credit Facility and our Notes totaled $5.2 million and $1.5 million, respectively. We use a nationally recognized independent valuation service to measure the fair value of our Credit Facility and 2019 Notes in a manner consistent with the valuation process that the board of directors uses to value investments. Our 2025 Notes trade on the NYSE under the ticker “PNTA” and we use the closing price on the exchange to determine their fair value.</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40" w:lineRule="exact"/>
        <w:rPr>
          <w:sz w:val="20"/>
          <w:szCs w:val="20"/>
          <w:color w:val="auto"/>
        </w:rPr>
      </w:pPr>
    </w:p>
    <w:p>
      <w:pPr>
        <w:ind w:right="360" w:firstLine="685"/>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year ended September 30, 2016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Fair Value at</w:t>
            </w: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Purchases of /</w:t>
            </w:r>
          </w:p>
        </w:tc>
        <w:tc>
          <w:tcPr>
            <w:tcW w:w="10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Sale of /</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Income</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Fair Value at</w:t>
            </w:r>
          </w:p>
        </w:tc>
        <w:tc>
          <w:tcPr>
            <w:tcW w:w="14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8"/>
              </w:rPr>
              <w:t>Advances to</w:t>
            </w:r>
          </w:p>
        </w:tc>
        <w:tc>
          <w:tcPr>
            <w:tcW w:w="10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Realized Gains</w:t>
            </w:r>
          </w:p>
        </w:tc>
        <w:tc>
          <w:tcPr>
            <w:tcW w:w="0" w:type="dxa"/>
            <w:vAlign w:val="bottom"/>
          </w:tcPr>
          <w:p>
            <w:pPr>
              <w:spacing w:after="0"/>
              <w:rPr>
                <w:sz w:val="1"/>
                <w:szCs w:val="1"/>
                <w:color w:val="auto"/>
              </w:rPr>
            </w:pPr>
          </w:p>
        </w:tc>
      </w:tr>
      <w:tr>
        <w:trPr>
          <w:trHeight w:val="171"/>
        </w:trPr>
        <w:tc>
          <w:tcPr>
            <w:tcW w:w="3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w w:val="99"/>
              </w:rPr>
              <w:t xml:space="preserve">September 30, 2015 </w:t>
            </w:r>
            <w:r>
              <w:rPr>
                <w:rFonts w:ascii="Arial" w:cs="Arial" w:eastAsia="Arial" w:hAnsi="Arial"/>
                <w:sz w:val="12"/>
                <w:szCs w:val="12"/>
                <w:b w:val="1"/>
                <w:bCs w:val="1"/>
                <w:color w:val="auto"/>
                <w:w w:val="99"/>
              </w:rPr>
              <w:t>(1)</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Affiliates </w:t>
            </w:r>
            <w:r>
              <w:rPr>
                <w:rFonts w:ascii="Arial" w:cs="Arial" w:eastAsia="Arial" w:hAnsi="Arial"/>
                <w:sz w:val="12"/>
                <w:szCs w:val="12"/>
                <w:b w:val="1"/>
                <w:bCs w:val="1"/>
                <w:color w:val="auto"/>
              </w:rPr>
              <w:t>(1), (2)</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from Affiliates </w:t>
            </w:r>
            <w:r>
              <w:rPr>
                <w:rFonts w:ascii="Arial" w:cs="Arial" w:eastAsia="Arial" w:hAnsi="Arial"/>
                <w:sz w:val="12"/>
                <w:szCs w:val="12"/>
                <w:b w:val="1"/>
                <w:bCs w:val="1"/>
                <w:color w:val="auto"/>
              </w:rPr>
              <w:t>(1)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Accrued</w:t>
            </w:r>
          </w:p>
        </w:tc>
        <w:tc>
          <w:tcPr>
            <w:tcW w:w="6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w w:val="99"/>
              </w:rPr>
              <w:t xml:space="preserve">September 30, 2016 </w:t>
            </w:r>
            <w:r>
              <w:rPr>
                <w:rFonts w:ascii="Arial" w:cs="Arial" w:eastAsia="Arial" w:hAnsi="Arial"/>
                <w:sz w:val="12"/>
                <w:szCs w:val="12"/>
                <w:b w:val="1"/>
                <w:bCs w:val="1"/>
                <w:color w:val="auto"/>
                <w:w w:val="99"/>
              </w:rPr>
              <w:t>(1)</w:t>
            </w:r>
          </w:p>
        </w:tc>
        <w:tc>
          <w:tcPr>
            <w:tcW w:w="1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(Losses)</w:t>
            </w:r>
          </w:p>
        </w:tc>
        <w:tc>
          <w:tcPr>
            <w:tcW w:w="0" w:type="dxa"/>
            <w:vAlign w:val="bottom"/>
          </w:tcPr>
          <w:p>
            <w:pPr>
              <w:spacing w:after="0"/>
              <w:rPr>
                <w:sz w:val="1"/>
                <w:szCs w:val="1"/>
                <w:color w:val="auto"/>
              </w:rPr>
            </w:pPr>
          </w:p>
        </w:tc>
      </w:tr>
      <w:tr>
        <w:trPr>
          <w:trHeight w:val="142"/>
        </w:trPr>
        <w:tc>
          <w:tcPr>
            <w:tcW w:w="38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Controlled Affiliates</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840" w:type="dxa"/>
            <w:vAlign w:val="bottom"/>
          </w:tcPr>
          <w:p>
            <w:pPr>
              <w:spacing w:after="0" w:line="130" w:lineRule="exact"/>
              <w:rPr>
                <w:sz w:val="20"/>
                <w:szCs w:val="20"/>
                <w:color w:val="auto"/>
              </w:rPr>
            </w:pPr>
            <w:r>
              <w:rPr>
                <w:rFonts w:ascii="Arial" w:cs="Arial" w:eastAsia="Arial" w:hAnsi="Arial"/>
                <w:sz w:val="14"/>
                <w:szCs w:val="14"/>
                <w:color w:val="auto"/>
              </w:rPr>
              <w:t>MidOcean JF Holdings Corp.</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40" w:type="dxa"/>
            <w:vAlign w:val="bottom"/>
          </w:tcPr>
          <w:p>
            <w:pPr>
              <w:ind w:left="160"/>
              <w:spacing w:after="0"/>
              <w:rPr>
                <w:sz w:val="20"/>
                <w:szCs w:val="20"/>
                <w:color w:val="auto"/>
              </w:rPr>
            </w:pPr>
            <w:r>
              <w:rPr>
                <w:rFonts w:ascii="Arial" w:cs="Arial" w:eastAsia="Arial" w:hAnsi="Arial"/>
                <w:sz w:val="14"/>
                <w:szCs w:val="14"/>
                <w:color w:val="auto"/>
              </w:rPr>
              <w:t>(JF Acquisition, LLC)</w:t>
            </w:r>
          </w:p>
        </w:tc>
        <w:tc>
          <w:tcPr>
            <w:tcW w:w="2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6,900,207</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14,318,325</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22,837,602</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RAM Energy LLC</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72,759,582</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8,181,067</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8,445,233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68,319,399</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Superior Digital Displays Holdings, Inc.</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27,165,861</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10,674,296</w:t>
            </w:r>
          </w:p>
        </w:tc>
        <w:tc>
          <w:tcPr>
            <w:tcW w:w="10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5,036,450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33,862,636</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Non-Controlled Affiliates</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 xml:space="preserve">Affinion Group Holdings, Inc. </w:t>
            </w:r>
            <w:r>
              <w:rPr>
                <w:rFonts w:ascii="Arial" w:cs="Arial" w:eastAsia="Arial" w:hAnsi="Arial"/>
                <w:sz w:val="12"/>
                <w:szCs w:val="12"/>
                <w:color w:val="auto"/>
              </w:rPr>
              <w:t>(3)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341,025</w:t>
            </w:r>
          </w:p>
        </w:tc>
        <w:tc>
          <w:tcPr>
            <w:tcW w:w="10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2,369,417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57,109,394</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Corfin Industries LLC </w:t>
            </w:r>
            <w:r>
              <w:rPr>
                <w:rFonts w:ascii="Arial" w:cs="Arial" w:eastAsia="Arial" w:hAnsi="Arial"/>
                <w:sz w:val="12"/>
                <w:szCs w:val="12"/>
                <w:color w:val="auto"/>
              </w:rPr>
              <w:t>(3)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24,351,000</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(177,750)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2,325,887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25,853,063</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DirectBuy Holdings, Inc.</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6,284,194</w:t>
            </w:r>
          </w:p>
        </w:tc>
        <w:tc>
          <w:tcPr>
            <w:tcW w:w="8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(751,537)</w:t>
            </w:r>
          </w:p>
        </w:tc>
        <w:tc>
          <w:tcPr>
            <w:tcW w:w="10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2,799,695</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EnviroSolutions Holdings, Inc.</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20,464,829</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931,525</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22,522,000</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840" w:type="dxa"/>
            <w:vAlign w:val="bottom"/>
          </w:tcPr>
          <w:p>
            <w:pPr>
              <w:spacing w:after="0" w:line="130" w:lineRule="exact"/>
              <w:rPr>
                <w:sz w:val="20"/>
                <w:szCs w:val="20"/>
                <w:color w:val="auto"/>
              </w:rPr>
            </w:pPr>
            <w:r>
              <w:rPr>
                <w:rFonts w:ascii="Arial" w:cs="Arial" w:eastAsia="Arial" w:hAnsi="Arial"/>
                <w:sz w:val="14"/>
                <w:szCs w:val="14"/>
                <w:color w:val="auto"/>
              </w:rPr>
              <w:t xml:space="preserve">ETX Energy, LLC </w:t>
            </w:r>
            <w:r>
              <w:rPr>
                <w:rFonts w:ascii="Arial" w:cs="Arial" w:eastAsia="Arial" w:hAnsi="Arial"/>
                <w:sz w:val="12"/>
                <w:szCs w:val="12"/>
                <w:color w:val="auto"/>
              </w:rPr>
              <w:t>(4)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40" w:type="dxa"/>
            <w:vAlign w:val="bottom"/>
          </w:tcPr>
          <w:p>
            <w:pPr>
              <w:ind w:left="160"/>
              <w:spacing w:after="0"/>
              <w:rPr>
                <w:sz w:val="20"/>
                <w:szCs w:val="20"/>
                <w:color w:val="auto"/>
              </w:rPr>
            </w:pPr>
            <w:r>
              <w:rPr>
                <w:rFonts w:ascii="Arial" w:cs="Arial" w:eastAsia="Arial" w:hAnsi="Arial"/>
                <w:sz w:val="14"/>
                <w:szCs w:val="14"/>
                <w:color w:val="auto"/>
              </w:rPr>
              <w:t>(f/k/a New Gulf Resources, LLC)</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766,596</w:t>
            </w:r>
          </w:p>
        </w:tc>
        <w:tc>
          <w:tcPr>
            <w:tcW w:w="1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185,836</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35,416,730</w:t>
            </w:r>
          </w:p>
        </w:tc>
        <w:tc>
          <w:tcPr>
            <w:tcW w:w="14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NCP-Performance, L.P.</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(3,750,000)</w:t>
            </w: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11,432,674</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2,811,733</w:t>
            </w:r>
          </w:p>
        </w:tc>
        <w:tc>
          <w:tcPr>
            <w:tcW w:w="10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(22,265)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682,190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8,233,630</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Champ, Inc.</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32,388,562</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3,673,874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34,898,025</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TRAK Acquisition Corp.</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24,932,845</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24,000,000</w:t>
            </w:r>
          </w:p>
        </w:tc>
        <w:tc>
          <w:tcPr>
            <w:tcW w:w="10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(21,750,000)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2,967,159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28,360,010</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6"/>
        </w:trPr>
        <w:tc>
          <w:tcPr>
            <w:tcW w:w="384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Total Controlled and Non-Controlled</w:t>
            </w: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84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Affiliates</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202,328,754</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84,692,505</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(21,950,015)</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26,617,571</w:t>
            </w:r>
          </w:p>
        </w:tc>
        <w:tc>
          <w:tcPr>
            <w:tcW w:w="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340,212,184</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(3,750,000)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8658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0" w:lineRule="exact"/>
        <w:rPr>
          <w:sz w:val="20"/>
          <w:szCs w:val="20"/>
          <w:color w:val="auto"/>
        </w:rPr>
      </w:pPr>
    </w:p>
    <w:p>
      <w:pPr>
        <w:ind w:left="580" w:hanging="572"/>
        <w:spacing w:after="0"/>
        <w:tabs>
          <w:tab w:leader="none" w:pos="580" w:val="left"/>
        </w:tabs>
        <w:numPr>
          <w:ilvl w:val="0"/>
          <w:numId w:val="106"/>
        </w:numPr>
        <w:rPr>
          <w:rFonts w:ascii="Arial" w:cs="Arial" w:eastAsia="Arial" w:hAnsi="Arial"/>
          <w:sz w:val="12"/>
          <w:szCs w:val="12"/>
          <w:color w:val="auto"/>
        </w:rPr>
      </w:pPr>
      <w:r>
        <w:rPr>
          <w:rFonts w:ascii="Arial" w:cs="Arial" w:eastAsia="Arial" w:hAnsi="Arial"/>
          <w:sz w:val="14"/>
          <w:szCs w:val="14"/>
          <w:color w:val="auto"/>
        </w:rPr>
        <w:t>Excluding delayed draw investments.</w:t>
      </w:r>
    </w:p>
    <w:p>
      <w:pPr>
        <w:ind w:left="580" w:hanging="572"/>
        <w:spacing w:after="0" w:line="221" w:lineRule="auto"/>
        <w:tabs>
          <w:tab w:leader="none" w:pos="580" w:val="left"/>
        </w:tabs>
        <w:numPr>
          <w:ilvl w:val="0"/>
          <w:numId w:val="106"/>
        </w:numPr>
        <w:rPr>
          <w:rFonts w:ascii="Arial" w:cs="Arial" w:eastAsia="Arial" w:hAnsi="Arial"/>
          <w:sz w:val="12"/>
          <w:szCs w:val="12"/>
          <w:color w:val="auto"/>
        </w:rPr>
      </w:pPr>
      <w:r>
        <w:rPr>
          <w:rFonts w:ascii="Arial" w:cs="Arial" w:eastAsia="Arial" w:hAnsi="Arial"/>
          <w:sz w:val="14"/>
          <w:szCs w:val="14"/>
          <w:color w:val="auto"/>
        </w:rPr>
        <w:t>Includes PIK and PIK adjustments.</w:t>
      </w:r>
    </w:p>
    <w:p>
      <w:pPr>
        <w:ind w:left="580" w:hanging="572"/>
        <w:spacing w:after="0" w:line="221" w:lineRule="auto"/>
        <w:tabs>
          <w:tab w:leader="none" w:pos="580" w:val="left"/>
        </w:tabs>
        <w:numPr>
          <w:ilvl w:val="0"/>
          <w:numId w:val="106"/>
        </w:numPr>
        <w:rPr>
          <w:rFonts w:ascii="Arial" w:cs="Arial" w:eastAsia="Arial" w:hAnsi="Arial"/>
          <w:sz w:val="12"/>
          <w:szCs w:val="12"/>
          <w:color w:val="auto"/>
        </w:rPr>
      </w:pPr>
      <w:r>
        <w:rPr>
          <w:rFonts w:ascii="Arial" w:cs="Arial" w:eastAsia="Arial" w:hAnsi="Arial"/>
          <w:sz w:val="14"/>
          <w:szCs w:val="14"/>
          <w:color w:val="auto"/>
        </w:rPr>
        <w:t>Became a non-controlled affiliate during the three months ended December 31, 2015.</w:t>
      </w:r>
    </w:p>
    <w:p>
      <w:pPr>
        <w:ind w:left="580" w:hanging="572"/>
        <w:spacing w:after="0"/>
        <w:tabs>
          <w:tab w:leader="none" w:pos="580" w:val="left"/>
        </w:tabs>
        <w:numPr>
          <w:ilvl w:val="0"/>
          <w:numId w:val="106"/>
        </w:numPr>
        <w:rPr>
          <w:rFonts w:ascii="Arial" w:cs="Arial" w:eastAsia="Arial" w:hAnsi="Arial"/>
          <w:sz w:val="12"/>
          <w:szCs w:val="12"/>
          <w:color w:val="auto"/>
        </w:rPr>
      </w:pPr>
      <w:r>
        <w:rPr>
          <w:rFonts w:ascii="Arial" w:cs="Arial" w:eastAsia="Arial" w:hAnsi="Arial"/>
          <w:sz w:val="14"/>
          <w:szCs w:val="14"/>
          <w:color w:val="auto"/>
        </w:rPr>
        <w:t>Became a non-controlled affiliate during the three months ended June 30, 2016.</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Years Ended September 30,</w:t>
            </w: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CCEEFF"/>
            </w:tcBorders>
          </w:tcPr>
          <w:p>
            <w:pPr>
              <w:spacing w:after="0"/>
              <w:rPr>
                <w:sz w:val="12"/>
                <w:szCs w:val="12"/>
                <w:color w:val="auto"/>
              </w:rPr>
            </w:pPr>
          </w:p>
        </w:tc>
      </w:tr>
      <w:tr>
        <w:trPr>
          <w:trHeight w:val="142"/>
        </w:trPr>
        <w:tc>
          <w:tcPr>
            <w:tcW w:w="53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(decrease) in net assets resulting from operations</w:t>
            </w:r>
          </w:p>
        </w:tc>
        <w:tc>
          <w:tcPr>
            <w:tcW w:w="28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18,736,706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(10,245,652)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110,983,477</w:t>
            </w:r>
          </w:p>
        </w:tc>
        <w:tc>
          <w:tcPr>
            <w:tcW w:w="40" w:type="dxa"/>
            <w:vAlign w:val="bottom"/>
            <w:shd w:val="clear" w:color="auto" w:fill="CCEEFF"/>
          </w:tcPr>
          <w:p>
            <w:pPr>
              <w:spacing w:after="0"/>
              <w:rPr>
                <w:sz w:val="12"/>
                <w:szCs w:val="12"/>
                <w:color w:val="auto"/>
              </w:rPr>
            </w:pPr>
          </w:p>
        </w:tc>
      </w:tr>
      <w:tr>
        <w:trPr>
          <w:trHeight w:val="149"/>
        </w:trPr>
        <w:tc>
          <w:tcPr>
            <w:tcW w:w="5360" w:type="dxa"/>
            <w:vAlign w:val="bottom"/>
          </w:tcPr>
          <w:p>
            <w:pPr>
              <w:spacing w:after="0" w:line="149" w:lineRule="exact"/>
              <w:rPr>
                <w:sz w:val="20"/>
                <w:szCs w:val="20"/>
                <w:color w:val="auto"/>
              </w:rPr>
            </w:pPr>
            <w:r>
              <w:rPr>
                <w:rFonts w:ascii="Arial" w:cs="Arial" w:eastAsia="Arial" w:hAnsi="Arial"/>
                <w:sz w:val="14"/>
                <w:szCs w:val="14"/>
                <w:color w:val="auto"/>
              </w:rPr>
              <w:t>Denominator for basic and diluted and weighted average shares</w:t>
            </w:r>
          </w:p>
        </w:tc>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71,621,530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74,755,139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67,058,474</w:t>
            </w:r>
          </w:p>
        </w:tc>
        <w:tc>
          <w:tcPr>
            <w:tcW w:w="40" w:type="dxa"/>
            <w:vAlign w:val="bottom"/>
          </w:tcPr>
          <w:p>
            <w:pPr>
              <w:spacing w:after="0"/>
              <w:rPr>
                <w:sz w:val="12"/>
                <w:szCs w:val="12"/>
                <w:color w:val="auto"/>
              </w:rPr>
            </w:pPr>
          </w:p>
        </w:tc>
      </w:tr>
      <w:tr>
        <w:trPr>
          <w:trHeight w:val="149"/>
        </w:trPr>
        <w:tc>
          <w:tcPr>
            <w:tcW w:w="5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Basic and diluted net increase (decrease) in net assets per share resulting from operations</w:t>
            </w:r>
          </w:p>
        </w:tc>
        <w:tc>
          <w:tcPr>
            <w:tcW w:w="29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0.26</w:t>
            </w:r>
          </w:p>
        </w:tc>
        <w:tc>
          <w:tcPr>
            <w:tcW w:w="2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(0.14)</w:t>
            </w:r>
          </w:p>
        </w:tc>
        <w:tc>
          <w:tcPr>
            <w:tcW w:w="28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1.66</w:t>
            </w:r>
          </w:p>
        </w:tc>
      </w:tr>
      <w:tr>
        <w:trPr>
          <w:trHeight w:val="312"/>
        </w:trPr>
        <w:tc>
          <w:tcPr>
            <w:tcW w:w="5360" w:type="dxa"/>
            <w:vAlign w:val="bottom"/>
          </w:tcPr>
          <w:p>
            <w:pPr>
              <w:spacing w:after="0"/>
              <w:rPr>
                <w:sz w:val="24"/>
                <w:szCs w:val="24"/>
                <w:color w:val="auto"/>
              </w:rPr>
            </w:pPr>
          </w:p>
        </w:tc>
        <w:tc>
          <w:tcPr>
            <w:tcW w:w="2980" w:type="dxa"/>
            <w:vAlign w:val="bottom"/>
            <w:gridSpan w:val="2"/>
          </w:tcPr>
          <w:p>
            <w:pPr>
              <w:jc w:val="right"/>
              <w:ind w:right="2429"/>
              <w:spacing w:after="0"/>
              <w:rPr>
                <w:sz w:val="20"/>
                <w:szCs w:val="20"/>
                <w:color w:val="auto"/>
              </w:rPr>
            </w:pPr>
            <w:r>
              <w:rPr>
                <w:rFonts w:ascii="Arial" w:cs="Arial" w:eastAsia="Arial" w:hAnsi="Arial"/>
                <w:sz w:val="14"/>
                <w:szCs w:val="14"/>
                <w:color w:val="auto"/>
              </w:rPr>
              <w:t>F-45</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TAXES AND DISTRIBUTIONS</w:t>
      </w:r>
    </w:p>
    <w:p>
      <w:pPr>
        <w:spacing w:after="0" w:line="140" w:lineRule="exact"/>
        <w:rPr>
          <w:sz w:val="20"/>
          <w:szCs w:val="20"/>
          <w:color w:val="auto"/>
        </w:rPr>
      </w:pPr>
    </w:p>
    <w:p>
      <w:pPr>
        <w:ind w:right="40" w:firstLine="685"/>
        <w:spacing w:after="0" w:line="234" w:lineRule="auto"/>
        <w:rPr>
          <w:sz w:val="20"/>
          <w:szCs w:val="20"/>
          <w:color w:val="auto"/>
        </w:rPr>
      </w:pPr>
      <w:r>
        <w:rPr>
          <w:rFonts w:ascii="Arial" w:cs="Arial" w:eastAsia="Arial" w:hAnsi="Arial"/>
          <w:sz w:val="14"/>
          <w:szCs w:val="14"/>
          <w:color w:val="auto"/>
        </w:rPr>
        <w:t>Distributions from net investment income and from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115" w:lineRule="exact"/>
        <w:rPr>
          <w:sz w:val="20"/>
          <w:szCs w:val="20"/>
          <w:color w:val="auto"/>
        </w:rPr>
      </w:pPr>
    </w:p>
    <w:p>
      <w:pPr>
        <w:ind w:right="360" w:firstLine="685"/>
        <w:spacing w:after="0" w:line="253" w:lineRule="auto"/>
        <w:rPr>
          <w:sz w:val="20"/>
          <w:szCs w:val="20"/>
          <w:color w:val="auto"/>
        </w:rPr>
      </w:pPr>
      <w:r>
        <w:rPr>
          <w:rFonts w:ascii="Arial" w:cs="Arial" w:eastAsia="Arial" w:hAnsi="Arial"/>
          <w:sz w:val="14"/>
          <w:szCs w:val="14"/>
          <w:color w:val="auto"/>
        </w:rPr>
        <w:t>As of September 30, 2016 and 2015, the cost of investments for federal income tax purposes was $1,254.1 million and $1,422.5 million, respectively, resulting in a gross unrealized appreciation of $75.1 million and $57.9 million, respectively, and depreciation of $175.5 million and $181.1 million, respectively.</w:t>
      </w:r>
    </w:p>
    <w:p>
      <w:pPr>
        <w:spacing w:after="0" w:line="9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following amounts were reclassified for tax purposes: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center"/>
              <w:ind w:left="548"/>
              <w:spacing w:after="0"/>
              <w:rPr>
                <w:sz w:val="20"/>
                <w:szCs w:val="20"/>
                <w:color w:val="auto"/>
              </w:rPr>
            </w:pPr>
            <w:r>
              <w:rPr>
                <w:rFonts w:ascii="Arial" w:cs="Arial" w:eastAsia="Arial" w:hAnsi="Arial"/>
                <w:sz w:val="14"/>
                <w:szCs w:val="14"/>
                <w:b w:val="1"/>
                <w:bCs w:val="1"/>
                <w:color w:val="auto"/>
                <w:w w:val="91"/>
              </w:rPr>
              <w:t>Years Ended September 30,</w:t>
            </w:r>
          </w:p>
        </w:tc>
        <w:tc>
          <w:tcPr>
            <w:tcW w:w="8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r>
      <w:tr>
        <w:trPr>
          <w:trHeight w:val="142"/>
        </w:trPr>
        <w:tc>
          <w:tcPr>
            <w:tcW w:w="7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08"/>
              <w:spacing w:after="0" w:line="142" w:lineRule="exact"/>
              <w:rPr>
                <w:sz w:val="20"/>
                <w:szCs w:val="20"/>
                <w:color w:val="auto"/>
              </w:rPr>
            </w:pPr>
            <w:r>
              <w:rPr>
                <w:rFonts w:ascii="Arial" w:cs="Arial" w:eastAsia="Arial" w:hAnsi="Arial"/>
                <w:sz w:val="14"/>
                <w:szCs w:val="14"/>
                <w:b w:val="1"/>
                <w:bCs w:val="1"/>
                <w:color w:val="auto"/>
                <w:w w:val="89"/>
              </w:rPr>
              <w:t>2015</w:t>
            </w:r>
          </w:p>
        </w:tc>
        <w:tc>
          <w:tcPr>
            <w:tcW w:w="3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2"/>
                <w:szCs w:val="12"/>
                <w:color w:val="auto"/>
              </w:rPr>
            </w:pPr>
          </w:p>
        </w:tc>
      </w:tr>
      <w:tr>
        <w:trPr>
          <w:trHeight w:val="142"/>
        </w:trPr>
        <w:tc>
          <w:tcPr>
            <w:tcW w:w="7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(Decrease) increase in paid-in capital</w:t>
            </w:r>
          </w:p>
        </w:tc>
        <w:tc>
          <w:tcPr>
            <w:tcW w:w="2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(2,548,967)</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142,244</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(1,161)</w:t>
            </w:r>
          </w:p>
        </w:tc>
        <w:tc>
          <w:tcPr>
            <w:tcW w:w="580" w:type="dxa"/>
            <w:vAlign w:val="bottom"/>
            <w:shd w:val="clear" w:color="auto" w:fill="CCEEFF"/>
          </w:tcPr>
          <w:p>
            <w:pPr>
              <w:spacing w:after="0"/>
              <w:rPr>
                <w:sz w:val="12"/>
                <w:szCs w:val="12"/>
                <w:color w:val="auto"/>
              </w:rPr>
            </w:pPr>
          </w:p>
        </w:tc>
      </w:tr>
      <w:tr>
        <w:trPr>
          <w:trHeight w:val="149"/>
        </w:trPr>
        <w:tc>
          <w:tcPr>
            <w:tcW w:w="7200" w:type="dxa"/>
            <w:vAlign w:val="bottom"/>
          </w:tcPr>
          <w:p>
            <w:pPr>
              <w:spacing w:after="0" w:line="149" w:lineRule="exact"/>
              <w:rPr>
                <w:sz w:val="20"/>
                <w:szCs w:val="20"/>
                <w:color w:val="auto"/>
              </w:rPr>
            </w:pPr>
            <w:r>
              <w:rPr>
                <w:rFonts w:ascii="Arial" w:cs="Arial" w:eastAsia="Arial" w:hAnsi="Arial"/>
                <w:sz w:val="14"/>
                <w:szCs w:val="14"/>
                <w:color w:val="auto"/>
              </w:rPr>
              <w:t>(Decrease) increase in accumulated net realized gain</w:t>
            </w:r>
          </w:p>
        </w:tc>
        <w:tc>
          <w:tcPr>
            <w:tcW w:w="20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(1,449,411)</w:t>
            </w:r>
          </w:p>
        </w:tc>
        <w:tc>
          <w:tcPr>
            <w:tcW w:w="1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462,913</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1,519,280</w:t>
            </w:r>
          </w:p>
        </w:tc>
        <w:tc>
          <w:tcPr>
            <w:tcW w:w="580" w:type="dxa"/>
            <w:vAlign w:val="bottom"/>
          </w:tcPr>
          <w:p>
            <w:pPr>
              <w:spacing w:after="0"/>
              <w:rPr>
                <w:sz w:val="12"/>
                <w:szCs w:val="12"/>
                <w:color w:val="auto"/>
              </w:rPr>
            </w:pPr>
          </w:p>
        </w:tc>
      </w:tr>
      <w:tr>
        <w:trPr>
          <w:trHeight w:val="149"/>
        </w:trPr>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(decrease) in undistributed net investment income</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3,998,378</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(605,157)</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(1,518,119)</w:t>
            </w:r>
          </w:p>
        </w:tc>
      </w:tr>
      <w:tr>
        <w:trPr>
          <w:trHeight w:val="380"/>
        </w:trPr>
        <w:tc>
          <w:tcPr>
            <w:tcW w:w="7200" w:type="dxa"/>
            <w:vAlign w:val="bottom"/>
          </w:tcPr>
          <w:p>
            <w:pPr>
              <w:ind w:left="540"/>
              <w:spacing w:after="0"/>
              <w:rPr>
                <w:sz w:val="20"/>
                <w:szCs w:val="20"/>
                <w:color w:val="auto"/>
              </w:rPr>
            </w:pPr>
            <w:r>
              <w:rPr>
                <w:rFonts w:ascii="Arial" w:cs="Arial" w:eastAsia="Arial" w:hAnsi="Arial"/>
                <w:sz w:val="14"/>
                <w:szCs w:val="14"/>
                <w:color w:val="auto"/>
              </w:rPr>
              <w:t>The following reconciles net increase (decrease) in net assets resulting from operations to taxable income:</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50"/>
        </w:trPr>
        <w:tc>
          <w:tcPr>
            <w:tcW w:w="7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center"/>
              <w:ind w:left="548"/>
              <w:spacing w:after="0"/>
              <w:rPr>
                <w:sz w:val="20"/>
                <w:szCs w:val="20"/>
                <w:color w:val="auto"/>
              </w:rPr>
            </w:pPr>
            <w:r>
              <w:rPr>
                <w:rFonts w:ascii="Arial" w:cs="Arial" w:eastAsia="Arial" w:hAnsi="Arial"/>
                <w:sz w:val="14"/>
                <w:szCs w:val="14"/>
                <w:b w:val="1"/>
                <w:bCs w:val="1"/>
                <w:color w:val="auto"/>
                <w:w w:val="91"/>
              </w:rPr>
              <w:t>Years Ended September 30,</w:t>
            </w:r>
          </w:p>
        </w:tc>
        <w:tc>
          <w:tcPr>
            <w:tcW w:w="82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r>
      <w:tr>
        <w:trPr>
          <w:trHeight w:val="142"/>
        </w:trPr>
        <w:tc>
          <w:tcPr>
            <w:tcW w:w="7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08"/>
              <w:spacing w:after="0" w:line="142" w:lineRule="exact"/>
              <w:rPr>
                <w:sz w:val="20"/>
                <w:szCs w:val="20"/>
                <w:color w:val="auto"/>
              </w:rPr>
            </w:pPr>
            <w:r>
              <w:rPr>
                <w:rFonts w:ascii="Arial" w:cs="Arial" w:eastAsia="Arial" w:hAnsi="Arial"/>
                <w:sz w:val="14"/>
                <w:szCs w:val="14"/>
                <w:b w:val="1"/>
                <w:bCs w:val="1"/>
                <w:color w:val="auto"/>
                <w:w w:val="89"/>
              </w:rPr>
              <w:t>2015</w:t>
            </w:r>
          </w:p>
        </w:tc>
        <w:tc>
          <w:tcPr>
            <w:tcW w:w="3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2"/>
                <w:szCs w:val="12"/>
                <w:color w:val="auto"/>
              </w:rPr>
            </w:pPr>
          </w:p>
        </w:tc>
      </w:tr>
      <w:tr>
        <w:trPr>
          <w:trHeight w:val="142"/>
        </w:trPr>
        <w:tc>
          <w:tcPr>
            <w:tcW w:w="7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increase (decrease) in net assets resulting from operations</w:t>
            </w:r>
          </w:p>
        </w:tc>
        <w:tc>
          <w:tcPr>
            <w:tcW w:w="2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18,736,706</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(10,245,652)</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110,983,477</w:t>
            </w:r>
          </w:p>
        </w:tc>
        <w:tc>
          <w:tcPr>
            <w:tcW w:w="580" w:type="dxa"/>
            <w:vAlign w:val="bottom"/>
            <w:shd w:val="clear" w:color="auto" w:fill="CCEEFF"/>
          </w:tcPr>
          <w:p>
            <w:pPr>
              <w:spacing w:after="0"/>
              <w:rPr>
                <w:sz w:val="12"/>
                <w:szCs w:val="12"/>
                <w:color w:val="auto"/>
              </w:rPr>
            </w:pPr>
          </w:p>
        </w:tc>
      </w:tr>
      <w:tr>
        <w:trPr>
          <w:trHeight w:val="149"/>
        </w:trPr>
        <w:tc>
          <w:tcPr>
            <w:tcW w:w="7200" w:type="dxa"/>
            <w:vAlign w:val="bottom"/>
          </w:tcPr>
          <w:p>
            <w:pPr>
              <w:spacing w:after="0" w:line="149" w:lineRule="exact"/>
              <w:rPr>
                <w:sz w:val="20"/>
                <w:szCs w:val="20"/>
                <w:color w:val="auto"/>
              </w:rPr>
            </w:pPr>
            <w:r>
              <w:rPr>
                <w:rFonts w:ascii="Arial" w:cs="Arial" w:eastAsia="Arial" w:hAnsi="Arial"/>
                <w:sz w:val="14"/>
                <w:szCs w:val="14"/>
                <w:color w:val="auto"/>
              </w:rPr>
              <w:t>Net realized loss (gain) on investments</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80,530,707</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(8,249,375)</w:t>
            </w:r>
          </w:p>
        </w:tc>
        <w:tc>
          <w:tcPr>
            <w:tcW w:w="200" w:type="dxa"/>
            <w:vAlign w:val="bottom"/>
          </w:tcPr>
          <w:p>
            <w:pPr>
              <w:spacing w:after="0"/>
              <w:rPr>
                <w:sz w:val="12"/>
                <w:szCs w:val="12"/>
                <w:color w:val="auto"/>
              </w:rPr>
            </w:pPr>
          </w:p>
        </w:tc>
        <w:tc>
          <w:tcPr>
            <w:tcW w:w="14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(30,235,265)</w:t>
            </w:r>
          </w:p>
        </w:tc>
      </w:tr>
      <w:tr>
        <w:trPr>
          <w:trHeight w:val="149"/>
        </w:trPr>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(appreciation) depreciation on investments and debt</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(28,652,631)</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122,615,435</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(9,419,695)</w:t>
            </w:r>
          </w:p>
        </w:tc>
      </w:tr>
      <w:tr>
        <w:trPr>
          <w:trHeight w:val="149"/>
        </w:trPr>
        <w:tc>
          <w:tcPr>
            <w:tcW w:w="7200" w:type="dxa"/>
            <w:vAlign w:val="bottom"/>
          </w:tcPr>
          <w:p>
            <w:pPr>
              <w:spacing w:after="0" w:line="149" w:lineRule="exact"/>
              <w:rPr>
                <w:sz w:val="20"/>
                <w:szCs w:val="20"/>
                <w:color w:val="auto"/>
              </w:rPr>
            </w:pPr>
            <w:r>
              <w:rPr>
                <w:rFonts w:ascii="Arial" w:cs="Arial" w:eastAsia="Arial" w:hAnsi="Arial"/>
                <w:sz w:val="14"/>
                <w:szCs w:val="14"/>
                <w:color w:val="auto"/>
              </w:rPr>
              <w:t>Other book-to-tax differences</w:t>
            </w:r>
          </w:p>
        </w:tc>
        <w:tc>
          <w:tcPr>
            <w:tcW w:w="20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(1,438,839)</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2,294,934</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3,877,560</w:t>
            </w:r>
          </w:p>
        </w:tc>
        <w:tc>
          <w:tcPr>
            <w:tcW w:w="580" w:type="dxa"/>
            <w:vAlign w:val="bottom"/>
          </w:tcPr>
          <w:p>
            <w:pPr>
              <w:spacing w:after="0"/>
              <w:rPr>
                <w:sz w:val="12"/>
                <w:szCs w:val="12"/>
                <w:color w:val="auto"/>
              </w:rPr>
            </w:pPr>
          </w:p>
        </w:tc>
      </w:tr>
      <w:tr>
        <w:trPr>
          <w:trHeight w:val="149"/>
        </w:trPr>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non-deductible expenses</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3,648,098</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82,151</w:t>
            </w:r>
          </w:p>
        </w:tc>
      </w:tr>
      <w:tr>
        <w:trPr>
          <w:trHeight w:val="156"/>
        </w:trPr>
        <w:tc>
          <w:tcPr>
            <w:tcW w:w="7200" w:type="dxa"/>
            <w:vAlign w:val="bottom"/>
          </w:tcPr>
          <w:p>
            <w:pPr>
              <w:spacing w:after="0" w:line="155" w:lineRule="exact"/>
              <w:rPr>
                <w:sz w:val="20"/>
                <w:szCs w:val="20"/>
                <w:color w:val="auto"/>
              </w:rPr>
            </w:pPr>
            <w:r>
              <w:rPr>
                <w:rFonts w:ascii="Arial" w:cs="Arial" w:eastAsia="Arial" w:hAnsi="Arial"/>
                <w:sz w:val="14"/>
                <w:szCs w:val="14"/>
                <w:color w:val="auto"/>
              </w:rPr>
              <w:t>Taxable income before dividends paid deduction</w:t>
            </w: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72,824,041</w:t>
            </w:r>
          </w:p>
        </w:tc>
        <w:tc>
          <w:tcPr>
            <w:tcW w:w="3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106,415,342</w:t>
            </w:r>
          </w:p>
        </w:tc>
        <w:tc>
          <w:tcPr>
            <w:tcW w:w="3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75,288,228</w:t>
            </w:r>
          </w:p>
        </w:tc>
        <w:tc>
          <w:tcPr>
            <w:tcW w:w="580" w:type="dxa"/>
            <w:vAlign w:val="bottom"/>
          </w:tcPr>
          <w:p>
            <w:pPr>
              <w:spacing w:after="0"/>
              <w:rPr>
                <w:sz w:val="13"/>
                <w:szCs w:val="13"/>
                <w:color w:val="auto"/>
              </w:rPr>
            </w:pP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1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The components of undistributed taxable income on a tax basis and reconciliation to accumulated deficit on a book basis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5"/>
              </w:rPr>
              <w:t>As of September 30,</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Undistributed ordinary income – tax basis</w:t>
            </w:r>
          </w:p>
        </w:tc>
        <w:tc>
          <w:tcPr>
            <w:tcW w:w="23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31,137,312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w w:val="88"/>
              </w:rPr>
              <w:t>16,915,624</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16,082,048</w:t>
            </w: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Undistributed long-term capital (loss carryforward) gain</w:t>
            </w: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(81,242,318)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21,711,007</w:t>
            </w:r>
          </w:p>
        </w:tc>
        <w:tc>
          <w:tcPr>
            <w:tcW w:w="200" w:type="dxa"/>
            <w:vAlign w:val="bottom"/>
          </w:tcPr>
          <w:p>
            <w:pPr>
              <w:spacing w:after="0"/>
              <w:rPr>
                <w:sz w:val="12"/>
                <w:szCs w:val="12"/>
                <w:color w:val="auto"/>
              </w:rPr>
            </w:pPr>
          </w:p>
        </w:tc>
        <w:tc>
          <w:tcPr>
            <w:tcW w:w="14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(8,518,111)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payable and other book to tax differences</w:t>
            </w:r>
          </w:p>
        </w:tc>
        <w:tc>
          <w:tcPr>
            <w:tcW w:w="2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(31,547,434)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(33,132,212)</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(31,021,819)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Net unrealized depreciation of investments and debt</w:t>
            </w: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(95,035,441)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(123,688,072)</w:t>
            </w:r>
          </w:p>
        </w:tc>
        <w:tc>
          <w:tcPr>
            <w:tcW w:w="200" w:type="dxa"/>
            <w:vAlign w:val="bottom"/>
          </w:tcPr>
          <w:p>
            <w:pPr>
              <w:spacing w:after="0"/>
              <w:rPr>
                <w:sz w:val="12"/>
                <w:szCs w:val="12"/>
                <w:color w:val="auto"/>
              </w:rPr>
            </w:pPr>
          </w:p>
        </w:tc>
        <w:tc>
          <w:tcPr>
            <w:tcW w:w="14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(1,072,637)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accumulated deficit – book basis</w:t>
            </w:r>
          </w:p>
        </w:tc>
        <w:tc>
          <w:tcPr>
            <w:tcW w:w="23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(176,687,881)</w:t>
            </w:r>
          </w:p>
        </w:tc>
        <w:tc>
          <w:tcPr>
            <w:tcW w:w="34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(118,193,653)</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(24,530,519)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520"/>
              <w:spacing w:after="0"/>
              <w:rPr>
                <w:sz w:val="20"/>
                <w:szCs w:val="20"/>
                <w:color w:val="auto"/>
              </w:rPr>
            </w:pPr>
            <w:r>
              <w:rPr>
                <w:rFonts w:ascii="Arial" w:cs="Arial" w:eastAsia="Arial" w:hAnsi="Arial"/>
                <w:sz w:val="14"/>
                <w:szCs w:val="14"/>
                <w:color w:val="auto"/>
              </w:rPr>
              <w:t>The tax characteristics of distributions declared are as follows:</w:t>
            </w:r>
          </w:p>
        </w:tc>
        <w:tc>
          <w:tcPr>
            <w:tcW w:w="2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2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7"/>
          </w:tcPr>
          <w:p>
            <w:pPr>
              <w:jc w:val="right"/>
              <w:ind w:right="88"/>
              <w:spacing w:after="0"/>
              <w:rPr>
                <w:sz w:val="20"/>
                <w:szCs w:val="20"/>
                <w:color w:val="auto"/>
              </w:rPr>
            </w:pPr>
            <w:r>
              <w:rPr>
                <w:rFonts w:ascii="Arial" w:cs="Arial" w:eastAsia="Arial" w:hAnsi="Arial"/>
                <w:sz w:val="14"/>
                <w:szCs w:val="14"/>
                <w:b w:val="1"/>
                <w:bCs w:val="1"/>
                <w:color w:val="auto"/>
              </w:rPr>
              <w:t>Years Ended September 30,</w:t>
            </w:r>
          </w:p>
        </w:tc>
        <w:tc>
          <w:tcPr>
            <w:tcW w:w="82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Ordinary income</w:t>
            </w:r>
          </w:p>
        </w:tc>
        <w:tc>
          <w:tcPr>
            <w:tcW w:w="23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58,068,894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w w:val="88"/>
              </w:rPr>
              <w:t>83,275,238</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76,937,761</w:t>
            </w: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Long-term capital gain</w:t>
            </w: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21,711,007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distributions</w:t>
            </w:r>
          </w:p>
        </w:tc>
        <w:tc>
          <w:tcPr>
            <w:tcW w:w="23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79,779,901</w:t>
            </w:r>
          </w:p>
        </w:tc>
        <w:tc>
          <w:tcPr>
            <w:tcW w:w="1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88"/>
              </w:rPr>
              <w:t>83,275,238</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76,937,761</w:t>
            </w: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60" w:type="dxa"/>
            <w:vAlign w:val="bottom"/>
            <w:gridSpan w:val="2"/>
          </w:tcPr>
          <w:p>
            <w:pPr>
              <w:spacing w:after="0" w:line="155" w:lineRule="exact"/>
              <w:rPr>
                <w:sz w:val="20"/>
                <w:szCs w:val="20"/>
                <w:color w:val="auto"/>
              </w:rPr>
            </w:pPr>
            <w:r>
              <w:rPr>
                <w:rFonts w:ascii="Arial" w:cs="Arial" w:eastAsia="Arial" w:hAnsi="Arial"/>
                <w:sz w:val="14"/>
                <w:szCs w:val="14"/>
                <w:color w:val="auto"/>
              </w:rPr>
              <w:t>Total distributions per share based on weighted average shares</w:t>
            </w:r>
          </w:p>
        </w:tc>
        <w:tc>
          <w:tcPr>
            <w:tcW w:w="23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ind w:left="600"/>
              <w:spacing w:after="0" w:line="155" w:lineRule="exact"/>
              <w:rPr>
                <w:sz w:val="20"/>
                <w:szCs w:val="20"/>
                <w:color w:val="auto"/>
              </w:rPr>
            </w:pPr>
            <w:r>
              <w:rPr>
                <w:rFonts w:ascii="Arial" w:cs="Arial" w:eastAsia="Arial" w:hAnsi="Arial"/>
                <w:sz w:val="14"/>
                <w:szCs w:val="14"/>
                <w:color w:val="auto"/>
                <w:w w:val="80"/>
              </w:rPr>
              <w:t>1.11</w:t>
            </w:r>
          </w:p>
        </w:tc>
        <w:tc>
          <w:tcPr>
            <w:tcW w:w="3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500" w:type="dxa"/>
            <w:vAlign w:val="bottom"/>
            <w:gridSpan w:val="2"/>
          </w:tcPr>
          <w:p>
            <w:pPr>
              <w:jc w:val="right"/>
              <w:ind w:right="1428"/>
              <w:spacing w:after="0"/>
              <w:rPr>
                <w:sz w:val="20"/>
                <w:szCs w:val="20"/>
                <w:color w:val="auto"/>
              </w:rPr>
            </w:pPr>
            <w:r>
              <w:rPr>
                <w:rFonts w:ascii="Arial" w:cs="Arial" w:eastAsia="Arial" w:hAnsi="Arial"/>
                <w:sz w:val="14"/>
                <w:szCs w:val="14"/>
                <w:color w:val="auto"/>
              </w:rPr>
              <w:t>F-46</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CASH EQUIVALENTS</w:t>
      </w:r>
    </w:p>
    <w:p>
      <w:pPr>
        <w:spacing w:after="0" w:line="140" w:lineRule="exact"/>
        <w:rPr>
          <w:sz w:val="20"/>
          <w:szCs w:val="20"/>
          <w:color w:val="auto"/>
        </w:rPr>
      </w:pPr>
    </w:p>
    <w:p>
      <w:pPr>
        <w:ind w:right="40" w:firstLine="685"/>
        <w:spacing w:after="0" w:line="227" w:lineRule="auto"/>
        <w:rPr>
          <w:sz w:val="20"/>
          <w:szCs w:val="20"/>
          <w:color w:val="auto"/>
        </w:rPr>
      </w:pPr>
      <w:r>
        <w:rPr>
          <w:rFonts w:ascii="Arial" w:cs="Arial" w:eastAsia="Arial" w:hAnsi="Arial"/>
          <w:sz w:val="14"/>
          <w:szCs w:val="14"/>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September 30, 2016 and 2015, cash and cash equivalents consisted of $75.6 million and $49.6 million at fair value,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FINANCIAL HIGHLIGHTS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240" w:type="dxa"/>
            <w:vAlign w:val="bottom"/>
          </w:tcPr>
          <w:p>
            <w:pPr>
              <w:ind w:left="680"/>
              <w:spacing w:after="0"/>
              <w:rPr>
                <w:sz w:val="20"/>
                <w:szCs w:val="20"/>
                <w:color w:val="auto"/>
              </w:rPr>
            </w:pPr>
            <w:r>
              <w:rPr>
                <w:rFonts w:ascii="Arial" w:cs="Arial" w:eastAsia="Arial" w:hAnsi="Arial"/>
                <w:sz w:val="14"/>
                <w:szCs w:val="14"/>
                <w:color w:val="auto"/>
              </w:rPr>
              <w:t>Below are the financial highlights for the years ended September 30:</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52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12"/>
                <w:szCs w:val="12"/>
                <w:b w:val="1"/>
                <w:bCs w:val="1"/>
                <w:color w:val="auto"/>
              </w:rPr>
              <w:t>(9)</w:t>
            </w:r>
          </w:p>
        </w:tc>
        <w:tc>
          <w:tcPr>
            <w:tcW w:w="3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xml:space="preserve">2012 </w:t>
            </w:r>
            <w:r>
              <w:rPr>
                <w:rFonts w:ascii="Arial" w:cs="Arial" w:eastAsia="Arial" w:hAnsi="Arial"/>
                <w:sz w:val="12"/>
                <w:szCs w:val="12"/>
                <w:b w:val="1"/>
                <w:bCs w:val="1"/>
                <w:color w:val="auto"/>
              </w:rPr>
              <w:t>(9)</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year</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9.82</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11.03</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10.49</w:t>
            </w:r>
          </w:p>
        </w:tc>
        <w:tc>
          <w:tcPr>
            <w:tcW w:w="2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10.22</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0.99</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1.10</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1.01</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Arial" w:cs="Arial" w:eastAsia="Arial" w:hAnsi="Arial"/>
                <w:sz w:val="14"/>
                <w:szCs w:val="14"/>
                <w:color w:val="auto"/>
              </w:rPr>
              <w:t xml:space="preserve">Net realized and unrealized (loss) gain </w:t>
            </w:r>
            <w:r>
              <w:rPr>
                <w:rFonts w:ascii="Arial" w:cs="Arial" w:eastAsia="Arial" w:hAnsi="Arial"/>
                <w:sz w:val="12"/>
                <w:szCs w:val="12"/>
                <w:color w:val="auto"/>
              </w:rPr>
              <w:t>(1)</w:t>
            </w:r>
          </w:p>
        </w:tc>
        <w:tc>
          <w:tcPr>
            <w:tcW w:w="16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(0.73)</w:t>
            </w:r>
          </w:p>
        </w:tc>
        <w:tc>
          <w:tcPr>
            <w:tcW w:w="140" w:type="dxa"/>
            <w:vAlign w:val="bottom"/>
          </w:tcPr>
          <w:p>
            <w:pPr>
              <w:spacing w:after="0"/>
              <w:rPr>
                <w:sz w:val="12"/>
                <w:szCs w:val="12"/>
                <w:color w:val="auto"/>
              </w:rPr>
            </w:pP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(1.24)</w:t>
            </w:r>
          </w:p>
        </w:tc>
        <w:tc>
          <w:tcPr>
            <w:tcW w:w="14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0.60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0.38</w:t>
            </w:r>
          </w:p>
        </w:tc>
        <w:tc>
          <w:tcPr>
            <w:tcW w:w="14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increase (decrease) in net assets resulting from operations </w:t>
            </w:r>
            <w:r>
              <w:rPr>
                <w:rFonts w:ascii="Arial" w:cs="Arial" w:eastAsia="Arial" w:hAnsi="Arial"/>
                <w:sz w:val="12"/>
                <w:szCs w:val="12"/>
                <w:color w:val="auto"/>
              </w:rPr>
              <w:t>(1)</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0.26</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(0.14)</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1.39</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Distribution of net investment income</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(0.81)</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(1.11)</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(1.12)</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ind w:left="280"/>
              <w:spacing w:after="0" w:line="149" w:lineRule="exact"/>
              <w:rPr>
                <w:sz w:val="20"/>
                <w:szCs w:val="20"/>
                <w:color w:val="auto"/>
              </w:rPr>
            </w:pPr>
            <w:r>
              <w:rPr>
                <w:rFonts w:ascii="Arial" w:cs="Arial" w:eastAsia="Arial" w:hAnsi="Arial"/>
                <w:sz w:val="14"/>
                <w:szCs w:val="14"/>
                <w:color w:val="auto"/>
              </w:rPr>
              <w:t>Distribution of realized gains</w:t>
            </w:r>
          </w:p>
        </w:tc>
        <w:tc>
          <w:tcPr>
            <w:tcW w:w="16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(0.30)</w:t>
            </w:r>
          </w:p>
        </w:tc>
        <w:tc>
          <w:tcPr>
            <w:tcW w:w="14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distributions to stockholders</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(1.11)</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(1.11)</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(1.12)</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Arial" w:cs="Arial" w:eastAsia="Arial" w:hAnsi="Arial"/>
                <w:sz w:val="14"/>
                <w:szCs w:val="14"/>
                <w:color w:val="auto"/>
              </w:rPr>
              <w:t xml:space="preserve">Repurchase of common stock </w:t>
            </w:r>
            <w:r>
              <w:rPr>
                <w:rFonts w:ascii="Arial" w:cs="Arial" w:eastAsia="Arial" w:hAnsi="Arial"/>
                <w:sz w:val="12"/>
                <w:szCs w:val="12"/>
                <w:color w:val="auto"/>
              </w:rPr>
              <w:t>(1)</w:t>
            </w:r>
          </w:p>
        </w:tc>
        <w:tc>
          <w:tcPr>
            <w:tcW w:w="16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0.08</w:t>
            </w:r>
          </w:p>
        </w:tc>
        <w:tc>
          <w:tcPr>
            <w:tcW w:w="14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0.04</w:t>
            </w:r>
          </w:p>
        </w:tc>
        <w:tc>
          <w:tcPr>
            <w:tcW w:w="14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Accretive (dilutive) effect of common stock issuance </w:t>
            </w:r>
            <w:r>
              <w:rPr>
                <w:rFonts w:ascii="Arial" w:cs="Arial" w:eastAsia="Arial" w:hAnsi="Arial"/>
                <w:sz w:val="12"/>
                <w:szCs w:val="12"/>
                <w:color w:val="auto"/>
              </w:rPr>
              <w:t>(1)</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56"/>
        </w:trPr>
        <w:tc>
          <w:tcPr>
            <w:tcW w:w="5260" w:type="dxa"/>
            <w:vAlign w:val="bottom"/>
            <w:gridSpan w:val="2"/>
          </w:tcPr>
          <w:p>
            <w:pPr>
              <w:spacing w:after="0" w:line="155" w:lineRule="exact"/>
              <w:rPr>
                <w:sz w:val="20"/>
                <w:szCs w:val="20"/>
                <w:color w:val="auto"/>
              </w:rPr>
            </w:pPr>
            <w:r>
              <w:rPr>
                <w:rFonts w:ascii="Arial" w:cs="Arial" w:eastAsia="Arial" w:hAnsi="Arial"/>
                <w:sz w:val="14"/>
                <w:szCs w:val="14"/>
                <w:color w:val="auto"/>
              </w:rPr>
              <w:t>Net asset value, end of year</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9.05</w:t>
            </w:r>
          </w:p>
        </w:tc>
        <w:tc>
          <w:tcPr>
            <w:tcW w:w="3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9.82</w:t>
            </w:r>
          </w:p>
        </w:tc>
        <w:tc>
          <w:tcPr>
            <w:tcW w:w="3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10.49</w:t>
            </w:r>
          </w:p>
        </w:tc>
        <w:tc>
          <w:tcPr>
            <w:tcW w:w="3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2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Per share market value, end of year</w:t>
            </w:r>
          </w:p>
        </w:tc>
        <w:tc>
          <w:tcPr>
            <w:tcW w:w="16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7.52</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6.47</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10.91</w:t>
            </w:r>
          </w:p>
        </w:tc>
        <w:tc>
          <w:tcPr>
            <w:tcW w:w="260" w:type="dxa"/>
            <w:vAlign w:val="bottom"/>
            <w:gridSpan w:val="2"/>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11.28</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10.61</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36.64%</w:t>
            </w:r>
          </w:p>
        </w:tc>
        <w:tc>
          <w:tcPr>
            <w:tcW w:w="140" w:type="dxa"/>
            <w:vAlign w:val="bottom"/>
          </w:tcPr>
          <w:p>
            <w:pPr>
              <w:spacing w:after="0"/>
              <w:rPr>
                <w:sz w:val="12"/>
                <w:szCs w:val="12"/>
                <w:color w:val="auto"/>
              </w:rPr>
            </w:pPr>
          </w:p>
        </w:tc>
        <w:tc>
          <w:tcPr>
            <w:tcW w:w="11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(32.51)%</w:t>
            </w:r>
          </w:p>
        </w:tc>
        <w:tc>
          <w:tcPr>
            <w:tcW w:w="140" w:type="dxa"/>
            <w:vAlign w:val="bottom"/>
          </w:tcPr>
          <w:p>
            <w:pPr>
              <w:spacing w:after="0"/>
              <w:rPr>
                <w:sz w:val="12"/>
                <w:szCs w:val="12"/>
                <w:color w:val="auto"/>
              </w:rPr>
            </w:pPr>
          </w:p>
        </w:tc>
        <w:tc>
          <w:tcPr>
            <w:tcW w:w="102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6.76%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17.37%</w:t>
            </w:r>
          </w:p>
        </w:tc>
        <w:tc>
          <w:tcPr>
            <w:tcW w:w="140" w:type="dxa"/>
            <w:vAlign w:val="bottom"/>
          </w:tcPr>
          <w:p>
            <w:pPr>
              <w:spacing w:after="0"/>
              <w:rPr>
                <w:sz w:val="12"/>
                <w:szCs w:val="12"/>
                <w:color w:val="auto"/>
              </w:rPr>
            </w:pPr>
          </w:p>
        </w:tc>
        <w:tc>
          <w:tcPr>
            <w:tcW w:w="96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28.71%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outstanding at end of year</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71,060,836</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72,966,043</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75,092,911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66,499,327</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65,514,503</w:t>
            </w:r>
          </w:p>
        </w:tc>
        <w:tc>
          <w:tcPr>
            <w:tcW w:w="0" w:type="dxa"/>
            <w:vAlign w:val="bottom"/>
          </w:tcPr>
          <w:p>
            <w:pPr>
              <w:spacing w:after="0"/>
              <w:rPr>
                <w:sz w:val="1"/>
                <w:szCs w:val="1"/>
                <w:color w:val="auto"/>
              </w:rPr>
            </w:pPr>
          </w:p>
        </w:tc>
      </w:tr>
      <w:tr>
        <w:trPr>
          <w:trHeight w:val="156"/>
        </w:trPr>
        <w:tc>
          <w:tcPr>
            <w:tcW w:w="52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Ratio / Supplemental Data:</w:t>
            </w: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 (5)</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6.65%</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6.81%</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6.31%</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Arial" w:cs="Arial" w:eastAsia="Arial" w:hAnsi="Arial"/>
                <w:sz w:val="14"/>
                <w:szCs w:val="14"/>
                <w:color w:val="auto"/>
              </w:rPr>
              <w:t xml:space="preserve">Ratio of Credit Facility related expenses to average net assets </w:t>
            </w:r>
            <w:r>
              <w:rPr>
                <w:rFonts w:ascii="Arial" w:cs="Arial" w:eastAsia="Arial" w:hAnsi="Arial"/>
                <w:sz w:val="12"/>
                <w:szCs w:val="12"/>
                <w:color w:val="auto"/>
              </w:rPr>
              <w:t>(6)</w:t>
            </w:r>
          </w:p>
        </w:tc>
        <w:tc>
          <w:tcPr>
            <w:tcW w:w="16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4.18%</w:t>
            </w:r>
          </w:p>
        </w:tc>
        <w:tc>
          <w:tcPr>
            <w:tcW w:w="14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3.39%</w:t>
            </w:r>
          </w:p>
        </w:tc>
        <w:tc>
          <w:tcPr>
            <w:tcW w:w="14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2.60%</w:t>
            </w:r>
          </w:p>
        </w:tc>
        <w:tc>
          <w:tcPr>
            <w:tcW w:w="14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 (6)</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10.83%</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10.20%</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8.91%</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16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10.70%</w:t>
            </w:r>
          </w:p>
        </w:tc>
        <w:tc>
          <w:tcPr>
            <w:tcW w:w="14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10.57%</w:t>
            </w:r>
          </w:p>
        </w:tc>
        <w:tc>
          <w:tcPr>
            <w:tcW w:w="14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9.60%</w:t>
            </w:r>
          </w:p>
        </w:tc>
        <w:tc>
          <w:tcPr>
            <w:tcW w:w="14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assets at end of year</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7"/>
              </w:rPr>
              <w:t>643,366,856</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716,590,542</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828,009,949</w:t>
            </w:r>
          </w:p>
        </w:tc>
        <w:tc>
          <w:tcPr>
            <w:tcW w:w="2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697,506,199</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669,717,047</w:t>
            </w:r>
          </w:p>
        </w:tc>
        <w:tc>
          <w:tcPr>
            <w:tcW w:w="0" w:type="dxa"/>
            <w:vAlign w:val="bottom"/>
          </w:tcPr>
          <w:p>
            <w:pPr>
              <w:spacing w:after="0"/>
              <w:rPr>
                <w:sz w:val="1"/>
                <w:szCs w:val="1"/>
                <w:color w:val="auto"/>
              </w:rPr>
            </w:pPr>
          </w:p>
        </w:tc>
      </w:tr>
      <w:tr>
        <w:trPr>
          <w:trHeight w:val="163"/>
        </w:trPr>
        <w:tc>
          <w:tcPr>
            <w:tcW w:w="5260" w:type="dxa"/>
            <w:vAlign w:val="bottom"/>
            <w:gridSpan w:val="2"/>
          </w:tcPr>
          <w:p>
            <w:pPr>
              <w:spacing w:after="0" w:line="155"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(6)</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634,769,508</w:t>
            </w:r>
          </w:p>
        </w:tc>
        <w:tc>
          <w:tcPr>
            <w:tcW w:w="3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580,367,750</w:t>
            </w:r>
          </w:p>
        </w:tc>
        <w:tc>
          <w:tcPr>
            <w:tcW w:w="3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526,252,068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363,246,849</w:t>
            </w:r>
          </w:p>
        </w:tc>
        <w:tc>
          <w:tcPr>
            <w:tcW w:w="3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340,868,033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 (6)</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8.86</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7.76</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7.85</w:t>
            </w:r>
          </w:p>
        </w:tc>
        <w:tc>
          <w:tcPr>
            <w:tcW w:w="2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5.47</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(7)</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2,756</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2,569</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3,198</w:t>
            </w:r>
          </w:p>
        </w:tc>
        <w:tc>
          <w:tcPr>
            <w:tcW w:w="2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4,261</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Average market value per unit </w:t>
            </w:r>
            <w:r>
              <w:rPr>
                <w:rFonts w:ascii="Arial" w:cs="Arial" w:eastAsia="Arial" w:hAnsi="Arial"/>
                <w:sz w:val="12"/>
                <w:szCs w:val="12"/>
                <w:color w:val="auto"/>
              </w:rPr>
              <w:t>(8)</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24.68</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25.13</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24.51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24.79</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16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26.50%</w:t>
            </w:r>
          </w:p>
        </w:tc>
        <w:tc>
          <w:tcPr>
            <w:tcW w:w="14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30.17%</w:t>
            </w:r>
          </w:p>
        </w:tc>
        <w:tc>
          <w:tcPr>
            <w:tcW w:w="14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50.66%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40.91%</w:t>
            </w:r>
          </w:p>
        </w:tc>
        <w:tc>
          <w:tcPr>
            <w:tcW w:w="14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22.81%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88658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51" w:lineRule="exact"/>
        <w:rPr>
          <w:sz w:val="20"/>
          <w:szCs w:val="20"/>
          <w:color w:val="auto"/>
        </w:rPr>
      </w:pPr>
    </w:p>
    <w:p>
      <w:pPr>
        <w:ind w:left="580" w:hanging="572"/>
        <w:spacing w:after="0"/>
        <w:tabs>
          <w:tab w:leader="none" w:pos="580" w:val="left"/>
        </w:tabs>
        <w:numPr>
          <w:ilvl w:val="0"/>
          <w:numId w:val="107"/>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580" w:right="300" w:hanging="572"/>
        <w:spacing w:after="0" w:line="221" w:lineRule="auto"/>
        <w:tabs>
          <w:tab w:leader="none" w:pos="580" w:val="left"/>
        </w:tabs>
        <w:numPr>
          <w:ilvl w:val="0"/>
          <w:numId w:val="107"/>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580" w:hanging="572"/>
        <w:spacing w:after="0" w:line="221" w:lineRule="auto"/>
        <w:tabs>
          <w:tab w:leader="none" w:pos="580" w:val="left"/>
        </w:tabs>
        <w:numPr>
          <w:ilvl w:val="0"/>
          <w:numId w:val="107"/>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ind w:left="580" w:hanging="572"/>
        <w:spacing w:after="0" w:line="221" w:lineRule="auto"/>
        <w:tabs>
          <w:tab w:leader="none" w:pos="580" w:val="left"/>
        </w:tabs>
        <w:numPr>
          <w:ilvl w:val="0"/>
          <w:numId w:val="107"/>
        </w:numPr>
        <w:rPr>
          <w:rFonts w:ascii="Arial" w:cs="Arial" w:eastAsia="Arial" w:hAnsi="Arial"/>
          <w:sz w:val="12"/>
          <w:szCs w:val="12"/>
          <w:color w:val="auto"/>
        </w:rPr>
      </w:pPr>
      <w:r>
        <w:rPr>
          <w:rFonts w:ascii="Arial" w:cs="Arial" w:eastAsia="Arial" w:hAnsi="Arial"/>
          <w:sz w:val="14"/>
          <w:szCs w:val="14"/>
          <w:color w:val="auto"/>
        </w:rPr>
        <w:t>Excludes debt related costs.</w:t>
      </w:r>
    </w:p>
    <w:p>
      <w:pPr>
        <w:ind w:left="580" w:right="200" w:hanging="572"/>
        <w:spacing w:after="0" w:line="221" w:lineRule="auto"/>
        <w:tabs>
          <w:tab w:leader="none" w:pos="580" w:val="left"/>
        </w:tabs>
        <w:numPr>
          <w:ilvl w:val="0"/>
          <w:numId w:val="107"/>
        </w:numPr>
        <w:rPr>
          <w:rFonts w:ascii="Arial" w:cs="Arial" w:eastAsia="Arial" w:hAnsi="Arial"/>
          <w:sz w:val="12"/>
          <w:szCs w:val="12"/>
          <w:color w:val="auto"/>
        </w:rPr>
      </w:pPr>
      <w:r>
        <w:rPr>
          <w:rFonts w:ascii="Arial" w:cs="Arial" w:eastAsia="Arial" w:hAnsi="Arial"/>
          <w:sz w:val="14"/>
          <w:szCs w:val="14"/>
          <w:color w:val="auto"/>
        </w:rPr>
        <w:t>For the year ended September 30, 2016, the ratio of operating expenses before the waiver of Management Fees to average net assets was 7.64% and the ratio of total expenses before the waiver of Management Fees to average net assets was 11.82%.</w:t>
      </w:r>
    </w:p>
    <w:p>
      <w:pPr>
        <w:ind w:left="580" w:hanging="572"/>
        <w:spacing w:after="0" w:line="221" w:lineRule="auto"/>
        <w:tabs>
          <w:tab w:leader="none" w:pos="580" w:val="left"/>
        </w:tabs>
        <w:numPr>
          <w:ilvl w:val="0"/>
          <w:numId w:val="107"/>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ind w:left="580" w:right="80" w:hanging="572"/>
        <w:spacing w:after="0" w:line="238" w:lineRule="auto"/>
        <w:tabs>
          <w:tab w:leader="none" w:pos="580" w:val="left"/>
        </w:tabs>
        <w:numPr>
          <w:ilvl w:val="0"/>
          <w:numId w:val="107"/>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This asset coverage ratio is multiplied by $1,000 to determine the asset coverage per unit. These amounts exclude SBA debentures from our asset coverage per unit computation pursuant to an exemptive relief letter provided by the SEC in June 2011.</w:t>
      </w:r>
    </w:p>
    <w:p>
      <w:pPr>
        <w:ind w:left="580" w:right="140" w:hanging="572"/>
        <w:spacing w:after="0" w:line="221" w:lineRule="auto"/>
        <w:tabs>
          <w:tab w:leader="none" w:pos="580" w:val="left"/>
        </w:tabs>
        <w:numPr>
          <w:ilvl w:val="0"/>
          <w:numId w:val="107"/>
        </w:numPr>
        <w:rPr>
          <w:rFonts w:ascii="Arial" w:cs="Arial" w:eastAsia="Arial" w:hAnsi="Arial"/>
          <w:sz w:val="12"/>
          <w:szCs w:val="12"/>
          <w:color w:val="auto"/>
        </w:rPr>
      </w:pPr>
      <w:r>
        <w:rPr>
          <w:rFonts w:ascii="Arial" w:cs="Arial" w:eastAsia="Arial" w:hAnsi="Arial"/>
          <w:sz w:val="14"/>
          <w:szCs w:val="14"/>
          <w:color w:val="auto"/>
        </w:rPr>
        <w:t>The average market value per unit is derived based on the monthly average closing price of the 2025 Notes trading on NYSE under the symbol “PNTA,” which were issued in increments of $25 per unit.</w:t>
      </w:r>
    </w:p>
    <w:p>
      <w:pPr>
        <w:ind w:left="580" w:hanging="572"/>
        <w:spacing w:after="0"/>
        <w:tabs>
          <w:tab w:leader="none" w:pos="580" w:val="left"/>
        </w:tabs>
        <w:numPr>
          <w:ilvl w:val="0"/>
          <w:numId w:val="107"/>
        </w:numPr>
        <w:rPr>
          <w:rFonts w:ascii="Arial" w:cs="Arial" w:eastAsia="Arial" w:hAnsi="Arial"/>
          <w:sz w:val="12"/>
          <w:szCs w:val="12"/>
          <w:color w:val="auto"/>
        </w:rPr>
      </w:pPr>
      <w:r>
        <w:rPr>
          <w:rFonts w:ascii="Arial" w:cs="Arial" w:eastAsia="Arial" w:hAnsi="Arial"/>
          <w:sz w:val="14"/>
          <w:szCs w:val="14"/>
          <w:color w:val="auto"/>
        </w:rPr>
        <w:t>Audited by predecessor auditors.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F-47</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2016</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DEBT</w:t>
      </w:r>
    </w:p>
    <w:p>
      <w:pPr>
        <w:spacing w:after="0" w:line="73" w:lineRule="exact"/>
        <w:rPr>
          <w:sz w:val="20"/>
          <w:szCs w:val="20"/>
          <w:color w:val="auto"/>
        </w:rPr>
      </w:pPr>
    </w:p>
    <w:p>
      <w:pPr>
        <w:ind w:right="280" w:firstLine="685"/>
        <w:spacing w:after="0" w:line="234" w:lineRule="auto"/>
        <w:rPr>
          <w:sz w:val="20"/>
          <w:szCs w:val="20"/>
          <w:color w:val="auto"/>
        </w:rPr>
      </w:pPr>
      <w:r>
        <w:rPr>
          <w:rFonts w:ascii="Arial" w:cs="Arial" w:eastAsia="Arial" w:hAnsi="Arial"/>
          <w:sz w:val="14"/>
          <w:szCs w:val="14"/>
          <w:color w:val="auto"/>
        </w:rPr>
        <w:t>Our annualized weighted average cost of debt for the fiscal years ended September 30, 2016 and 2015, inclusive of the fee on the undrawn commitment on the Credit Facility and amortized upfront fees on SBA debentures but excluding debt issuance costs, was 4.35% and 4.54%, respectively. In accordance with the 1940 Act, with certain limited exceptions, we are only allowed to borrow amounts such that we are in compliance with our asset coverage ratio after such borrowing, excluding SBA debentures, pursuant to exemptive relief from the SEC received in June 2011.</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55" w:lineRule="exact"/>
        <w:rPr>
          <w:sz w:val="20"/>
          <w:szCs w:val="20"/>
          <w:color w:val="auto"/>
        </w:rPr>
      </w:pPr>
    </w:p>
    <w:p>
      <w:pPr>
        <w:ind w:right="120" w:firstLine="685"/>
        <w:spacing w:after="0" w:line="231" w:lineRule="auto"/>
        <w:rPr>
          <w:sz w:val="20"/>
          <w:szCs w:val="20"/>
          <w:color w:val="auto"/>
        </w:rPr>
      </w:pPr>
      <w:r>
        <w:rPr>
          <w:rFonts w:ascii="Arial" w:cs="Arial" w:eastAsia="Arial" w:hAnsi="Arial"/>
          <w:sz w:val="14"/>
          <w:szCs w:val="14"/>
          <w:color w:val="auto"/>
        </w:rPr>
        <w:t>As of September 30, 2016, we had a $545 million multi-currency Credit Facility with certain lenders and SunTrust Bank, acting as administrative agent, and JPMorgan Chase Bank, N.A., acting as syndication agent for the lenders. As of September 30, 2016 and 2015, there was $50.3 million and $136.9 million (including a temporary draw of $30.0 million), respectively, in outstanding borrowings under the Credit Facility. The Credit Facility had a weighted average interest rate at the time of 2.76% and 3.07%, respectively, exclusive of the fee on undrawn commitments of 0.375%. The Credit Facility is a five-year revolving facility with a stated maturity date of June 25, 2019, a one-year term-out period following its fourth year and pricing set at 225 basis points over LIBOR. The Credit Facility is secured by substantially all of our assets excluding assets held by our SBIC Funds.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55" w:lineRule="exact"/>
        <w:rPr>
          <w:sz w:val="20"/>
          <w:szCs w:val="20"/>
          <w:color w:val="auto"/>
        </w:rPr>
      </w:pPr>
    </w:p>
    <w:p>
      <w:pPr>
        <w:ind w:right="20" w:firstLine="685"/>
        <w:spacing w:after="0" w:line="249" w:lineRule="auto"/>
        <w:rPr>
          <w:sz w:val="20"/>
          <w:szCs w:val="20"/>
          <w:color w:val="auto"/>
        </w:rPr>
      </w:pPr>
      <w:r>
        <w:rPr>
          <w:rFonts w:ascii="Arial" w:cs="Arial" w:eastAsia="Arial" w:hAnsi="Arial"/>
          <w:sz w:val="13"/>
          <w:szCs w:val="13"/>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SBA debentures outstanding of $150.0 million as of September 30, 2016. We have funded SBIC II with $52.5 million of equity capital, and it had SBA debentures outstanding of $47.5 million and commitments from the SBA for another $27.5 million of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per recent regulatory changes, as part of a group of SBICs under common control may borrow a maximum of $350.0 million in the aggregate.</w:t>
      </w:r>
    </w:p>
    <w:p>
      <w:pPr>
        <w:spacing w:after="0" w:line="28" w:lineRule="exact"/>
        <w:rPr>
          <w:sz w:val="20"/>
          <w:szCs w:val="20"/>
          <w:color w:val="auto"/>
        </w:rPr>
      </w:pPr>
    </w:p>
    <w:p>
      <w:pPr>
        <w:ind w:firstLine="685"/>
        <w:spacing w:after="0" w:line="238" w:lineRule="auto"/>
        <w:rPr>
          <w:sz w:val="20"/>
          <w:szCs w:val="20"/>
          <w:color w:val="auto"/>
        </w:rPr>
      </w:pPr>
      <w:r>
        <w:rPr>
          <w:rFonts w:ascii="Arial" w:cs="Arial" w:eastAsia="Arial" w:hAnsi="Arial"/>
          <w:sz w:val="14"/>
          <w:szCs w:val="14"/>
          <w:color w:val="auto"/>
        </w:rPr>
        <w:t>As of September 30, 2016 and 2015, our SBIC Funds had $225.0 million in debt commitments, of which $197.5 million and $150.0 million was drawn, respectively. As of September 30, 2016 and 2015, the unamortized fees on the SBA debentures was $4.3 million and $3.7 million, respectively. The SBA debentures’ upfront fees of 3.43% consist of a commitment fee of 1.00% and an issuance discount of 2.43%, which are being amortized.</w:t>
      </w:r>
    </w:p>
    <w:p>
      <w:pPr>
        <w:spacing w:after="0" w:line="4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Our fixed-rate SBA debentures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Issuance Dates</w:t>
            </w:r>
          </w:p>
        </w:tc>
        <w:tc>
          <w:tcPr>
            <w:tcW w:w="740" w:type="dxa"/>
            <w:vAlign w:val="bottom"/>
            <w:vMerge w:val="restart"/>
          </w:tcPr>
          <w:p>
            <w:pPr>
              <w:spacing w:after="0"/>
              <w:rPr>
                <w:sz w:val="14"/>
                <w:szCs w:val="14"/>
                <w:color w:val="auto"/>
              </w:rPr>
            </w:pPr>
          </w:p>
        </w:tc>
        <w:tc>
          <w:tcPr>
            <w:tcW w:w="11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Maturity</w:t>
            </w:r>
          </w:p>
        </w:tc>
        <w:tc>
          <w:tcPr>
            <w:tcW w:w="720" w:type="dxa"/>
            <w:vAlign w:val="bottom"/>
            <w:vMerge w:val="restart"/>
          </w:tcPr>
          <w:p>
            <w:pPr>
              <w:spacing w:after="0"/>
              <w:rPr>
                <w:sz w:val="14"/>
                <w:szCs w:val="14"/>
                <w:color w:val="auto"/>
              </w:rPr>
            </w:pPr>
          </w:p>
        </w:tc>
        <w:tc>
          <w:tcPr>
            <w:tcW w:w="2000" w:type="dxa"/>
            <w:vAlign w:val="bottom"/>
            <w:gridSpan w:val="2"/>
          </w:tcPr>
          <w:p>
            <w:pPr>
              <w:ind w:left="180"/>
              <w:spacing w:after="0"/>
              <w:rPr>
                <w:sz w:val="20"/>
                <w:szCs w:val="20"/>
                <w:color w:val="auto"/>
              </w:rPr>
            </w:pPr>
            <w:r>
              <w:rPr>
                <w:rFonts w:ascii="Arial" w:cs="Arial" w:eastAsia="Arial" w:hAnsi="Arial"/>
                <w:sz w:val="14"/>
                <w:szCs w:val="14"/>
                <w:b w:val="1"/>
                <w:bCs w:val="1"/>
                <w:color w:val="auto"/>
              </w:rPr>
              <w:t>Fixed All-in</w:t>
            </w:r>
          </w:p>
        </w:tc>
        <w:tc>
          <w:tcPr>
            <w:tcW w:w="2320" w:type="dxa"/>
            <w:vAlign w:val="bottom"/>
            <w:gridSpan w:val="3"/>
          </w:tcPr>
          <w:p>
            <w:pPr>
              <w:spacing w:after="0"/>
              <w:rPr>
                <w:sz w:val="20"/>
                <w:szCs w:val="20"/>
                <w:color w:val="auto"/>
              </w:rPr>
            </w:pPr>
            <w:r>
              <w:rPr>
                <w:rFonts w:ascii="Arial" w:cs="Arial" w:eastAsia="Arial" w:hAnsi="Arial"/>
                <w:sz w:val="14"/>
                <w:szCs w:val="14"/>
                <w:b w:val="1"/>
                <w:bCs w:val="1"/>
                <w:color w:val="auto"/>
              </w:rPr>
              <w:t>As of September 30, 2016</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w w:val="93"/>
              </w:rPr>
              <w:t>As of September 30, 2015</w:t>
            </w:r>
          </w:p>
        </w:tc>
        <w:tc>
          <w:tcPr>
            <w:tcW w:w="0" w:type="dxa"/>
            <w:vAlign w:val="bottom"/>
          </w:tcPr>
          <w:p>
            <w:pPr>
              <w:spacing w:after="0"/>
              <w:rPr>
                <w:sz w:val="1"/>
                <w:szCs w:val="1"/>
                <w:color w:val="auto"/>
              </w:rPr>
            </w:pPr>
          </w:p>
        </w:tc>
      </w:tr>
      <w:tr>
        <w:trPr>
          <w:trHeight w:val="171"/>
        </w:trPr>
        <w:tc>
          <w:tcPr>
            <w:tcW w:w="24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b w:val="1"/>
                <w:bCs w:val="1"/>
                <w:color w:val="auto"/>
              </w:rPr>
              <w:t>coupon rate</w:t>
            </w:r>
            <w:r>
              <w:rPr>
                <w:rFonts w:ascii="Arial" w:cs="Arial" w:eastAsia="Arial" w:hAnsi="Arial"/>
                <w:sz w:val="12"/>
                <w:szCs w:val="12"/>
                <w:b w:val="1"/>
                <w:bCs w:val="1"/>
                <w:color w:val="auto"/>
              </w:rPr>
              <w:t>(1), (2)</w:t>
            </w:r>
          </w:p>
        </w:tc>
        <w:tc>
          <w:tcPr>
            <w:tcW w:w="140" w:type="dxa"/>
            <w:vAlign w:val="bottom"/>
          </w:tcPr>
          <w:p>
            <w:pPr>
              <w:spacing w:after="0"/>
              <w:rPr>
                <w:sz w:val="14"/>
                <w:szCs w:val="14"/>
                <w:color w:val="auto"/>
              </w:rPr>
            </w:pPr>
          </w:p>
        </w:tc>
        <w:tc>
          <w:tcPr>
            <w:tcW w:w="2180" w:type="dxa"/>
            <w:vAlign w:val="bottom"/>
            <w:gridSpan w:val="2"/>
          </w:tcPr>
          <w:p>
            <w:pPr>
              <w:ind w:left="80"/>
              <w:spacing w:after="0"/>
              <w:rPr>
                <w:sz w:val="20"/>
                <w:szCs w:val="20"/>
                <w:color w:val="auto"/>
              </w:rPr>
            </w:pPr>
            <w:r>
              <w:rPr>
                <w:rFonts w:ascii="Arial" w:cs="Arial" w:eastAsia="Arial" w:hAnsi="Arial"/>
                <w:sz w:val="14"/>
                <w:szCs w:val="14"/>
                <w:b w:val="1"/>
                <w:bCs w:val="1"/>
                <w:color w:val="auto"/>
              </w:rPr>
              <w:t>Principal Balance</w:t>
            </w:r>
          </w:p>
        </w:tc>
        <w:tc>
          <w:tcPr>
            <w:tcW w:w="16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Principal Balance</w:t>
            </w:r>
          </w:p>
        </w:tc>
        <w:tc>
          <w:tcPr>
            <w:tcW w:w="0" w:type="dxa"/>
            <w:vAlign w:val="bottom"/>
          </w:tcPr>
          <w:p>
            <w:pPr>
              <w:spacing w:after="0"/>
              <w:rPr>
                <w:sz w:val="1"/>
                <w:szCs w:val="1"/>
                <w:color w:val="auto"/>
              </w:rPr>
            </w:pPr>
          </w:p>
        </w:tc>
      </w:tr>
      <w:tr>
        <w:trPr>
          <w:trHeight w:val="20"/>
        </w:trPr>
        <w:tc>
          <w:tcPr>
            <w:tcW w:w="242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September 22, 2010</w:t>
            </w:r>
          </w:p>
        </w:tc>
        <w:tc>
          <w:tcPr>
            <w:tcW w:w="740" w:type="dxa"/>
            <w:vAlign w:val="bottom"/>
            <w:vMerge w:val="continue"/>
            <w:shd w:val="clear" w:color="auto" w:fill="CCEEFF"/>
          </w:tcPr>
          <w:p>
            <w:pPr>
              <w:spacing w:after="0"/>
              <w:rPr>
                <w:sz w:val="12"/>
                <w:szCs w:val="12"/>
                <w:color w:val="auto"/>
              </w:rPr>
            </w:pPr>
          </w:p>
        </w:tc>
        <w:tc>
          <w:tcPr>
            <w:tcW w:w="1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5"/>
              </w:rPr>
              <w:t>September 1, 2020</w:t>
            </w:r>
          </w:p>
        </w:tc>
        <w:tc>
          <w:tcPr>
            <w:tcW w:w="720" w:type="dxa"/>
            <w:vAlign w:val="bottom"/>
            <w:vMerge w:val="continue"/>
            <w:shd w:val="clear" w:color="auto" w:fill="CCEEFF"/>
          </w:tcPr>
          <w:p>
            <w:pPr>
              <w:spacing w:after="0"/>
              <w:rPr>
                <w:sz w:val="12"/>
                <w:szCs w:val="12"/>
                <w:color w:val="auto"/>
              </w:rPr>
            </w:pPr>
          </w:p>
        </w:tc>
        <w:tc>
          <w:tcPr>
            <w:tcW w:w="2000" w:type="dxa"/>
            <w:vAlign w:val="bottom"/>
            <w:gridSpan w:val="2"/>
            <w:shd w:val="clear" w:color="auto" w:fill="CCEEFF"/>
          </w:tcPr>
          <w:p>
            <w:pPr>
              <w:ind w:left="840"/>
              <w:spacing w:after="0" w:line="142" w:lineRule="exact"/>
              <w:rPr>
                <w:sz w:val="20"/>
                <w:szCs w:val="20"/>
                <w:color w:val="auto"/>
              </w:rPr>
            </w:pPr>
            <w:r>
              <w:rPr>
                <w:rFonts w:ascii="Arial" w:cs="Arial" w:eastAsia="Arial" w:hAnsi="Arial"/>
                <w:sz w:val="14"/>
                <w:szCs w:val="14"/>
                <w:color w:val="auto"/>
              </w:rPr>
              <w:t>3.50%</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78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March 29, 2011</w:t>
            </w:r>
          </w:p>
        </w:tc>
        <w:tc>
          <w:tcPr>
            <w:tcW w:w="1880" w:type="dxa"/>
            <w:vAlign w:val="bottom"/>
            <w:gridSpan w:val="2"/>
          </w:tcPr>
          <w:p>
            <w:pPr>
              <w:spacing w:after="0" w:line="149" w:lineRule="exact"/>
              <w:rPr>
                <w:sz w:val="20"/>
                <w:szCs w:val="20"/>
                <w:color w:val="auto"/>
              </w:rPr>
            </w:pPr>
            <w:r>
              <w:rPr>
                <w:rFonts w:ascii="Arial" w:cs="Arial" w:eastAsia="Arial" w:hAnsi="Arial"/>
                <w:sz w:val="14"/>
                <w:szCs w:val="14"/>
                <w:color w:val="auto"/>
              </w:rPr>
              <w:t>March 1, 2021</w:t>
            </w:r>
          </w:p>
        </w:tc>
        <w:tc>
          <w:tcPr>
            <w:tcW w:w="200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4.46</w:t>
            </w:r>
          </w:p>
        </w:tc>
        <w:tc>
          <w:tcPr>
            <w:tcW w:w="14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44,500,000</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44,500,000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September 21, 2011</w:t>
            </w:r>
          </w:p>
        </w:tc>
        <w:tc>
          <w:tcPr>
            <w:tcW w:w="1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September 1, 2021</w:t>
            </w:r>
          </w:p>
        </w:tc>
        <w:tc>
          <w:tcPr>
            <w:tcW w:w="20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3.38</w:t>
            </w: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105,000,000</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March 23, 2016</w:t>
            </w:r>
          </w:p>
        </w:tc>
        <w:tc>
          <w:tcPr>
            <w:tcW w:w="1880" w:type="dxa"/>
            <w:vAlign w:val="bottom"/>
            <w:gridSpan w:val="2"/>
          </w:tcPr>
          <w:p>
            <w:pPr>
              <w:spacing w:after="0" w:line="149" w:lineRule="exact"/>
              <w:rPr>
                <w:sz w:val="20"/>
                <w:szCs w:val="20"/>
                <w:color w:val="auto"/>
              </w:rPr>
            </w:pPr>
            <w:r>
              <w:rPr>
                <w:rFonts w:ascii="Arial" w:cs="Arial" w:eastAsia="Arial" w:hAnsi="Arial"/>
                <w:sz w:val="14"/>
                <w:szCs w:val="14"/>
                <w:color w:val="auto"/>
              </w:rPr>
              <w:t>March 1, 2026</w:t>
            </w:r>
          </w:p>
        </w:tc>
        <w:tc>
          <w:tcPr>
            <w:tcW w:w="200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2.86</w:t>
            </w:r>
          </w:p>
        </w:tc>
        <w:tc>
          <w:tcPr>
            <w:tcW w:w="14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September 21, 2016</w:t>
            </w:r>
          </w:p>
        </w:tc>
        <w:tc>
          <w:tcPr>
            <w:tcW w:w="1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September 1, 2026</w:t>
            </w:r>
          </w:p>
        </w:tc>
        <w:tc>
          <w:tcPr>
            <w:tcW w:w="20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2.41</w:t>
            </w: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25,000,000</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4"/>
                <w:szCs w:val="14"/>
                <w:color w:val="auto"/>
              </w:rPr>
              <w:t>Weighted Average Rate / Total</w:t>
            </w: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0" w:type="dxa"/>
            <w:vAlign w:val="bottom"/>
            <w:gridSpan w:val="2"/>
          </w:tcPr>
          <w:p>
            <w:pPr>
              <w:ind w:left="840"/>
              <w:spacing w:after="0" w:line="142" w:lineRule="exact"/>
              <w:rPr>
                <w:sz w:val="20"/>
                <w:szCs w:val="20"/>
                <w:color w:val="auto"/>
              </w:rPr>
            </w:pPr>
            <w:r>
              <w:rPr>
                <w:rFonts w:ascii="Arial" w:cs="Arial" w:eastAsia="Arial" w:hAnsi="Arial"/>
                <w:sz w:val="14"/>
                <w:szCs w:val="14"/>
                <w:color w:val="auto"/>
              </w:rPr>
              <w:t>3.44%</w:t>
            </w:r>
          </w:p>
        </w:tc>
        <w:tc>
          <w:tcPr>
            <w:tcW w:w="1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1400" w:type="dxa"/>
            <w:vAlign w:val="bottom"/>
          </w:tcPr>
          <w:p>
            <w:pPr>
              <w:jc w:val="right"/>
              <w:spacing w:after="0" w:line="142" w:lineRule="exact"/>
              <w:rPr>
                <w:sz w:val="20"/>
                <w:szCs w:val="20"/>
                <w:color w:val="auto"/>
              </w:rPr>
            </w:pPr>
            <w:r>
              <w:rPr>
                <w:rFonts w:ascii="Arial" w:cs="Arial" w:eastAsia="Arial" w:hAnsi="Arial"/>
                <w:sz w:val="14"/>
                <w:szCs w:val="14"/>
                <w:color w:val="auto"/>
              </w:rPr>
              <w:t>197,500,000</w:t>
            </w:r>
          </w:p>
        </w:tc>
        <w:tc>
          <w:tcPr>
            <w:tcW w:w="780" w:type="dxa"/>
            <w:vAlign w:val="bottom"/>
          </w:tcPr>
          <w:p>
            <w:pPr>
              <w:spacing w:after="0"/>
              <w:rPr>
                <w:sz w:val="12"/>
                <w:szCs w:val="12"/>
                <w:color w:val="auto"/>
              </w:rPr>
            </w:pPr>
          </w:p>
        </w:tc>
        <w:tc>
          <w:tcPr>
            <w:tcW w:w="16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1400" w:type="dxa"/>
            <w:vAlign w:val="bottom"/>
          </w:tcPr>
          <w:p>
            <w:pPr>
              <w:jc w:val="right"/>
              <w:spacing w:after="0" w:line="142" w:lineRule="exact"/>
              <w:rPr>
                <w:sz w:val="20"/>
                <w:szCs w:val="20"/>
                <w:color w:val="auto"/>
              </w:rPr>
            </w:pPr>
            <w:r>
              <w:rPr>
                <w:rFonts w:ascii="Arial" w:cs="Arial" w:eastAsia="Arial" w:hAnsi="Arial"/>
                <w:sz w:val="14"/>
                <w:szCs w:val="14"/>
                <w:color w:val="auto"/>
              </w:rPr>
              <w:t>150,000,000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8658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0" w:lineRule="exact"/>
        <w:rPr>
          <w:sz w:val="20"/>
          <w:szCs w:val="20"/>
          <w:color w:val="auto"/>
        </w:rPr>
      </w:pPr>
    </w:p>
    <w:p>
      <w:pPr>
        <w:ind w:left="580" w:hanging="572"/>
        <w:spacing w:after="0"/>
        <w:tabs>
          <w:tab w:leader="none" w:pos="580" w:val="left"/>
        </w:tabs>
        <w:numPr>
          <w:ilvl w:val="0"/>
          <w:numId w:val="108"/>
        </w:numPr>
        <w:rPr>
          <w:rFonts w:ascii="Arial" w:cs="Arial" w:eastAsia="Arial" w:hAnsi="Arial"/>
          <w:sz w:val="12"/>
          <w:szCs w:val="12"/>
          <w:color w:val="auto"/>
        </w:rPr>
      </w:pPr>
      <w:r>
        <w:rPr>
          <w:rFonts w:ascii="Arial" w:cs="Arial" w:eastAsia="Arial" w:hAnsi="Arial"/>
          <w:sz w:val="14"/>
          <w:szCs w:val="14"/>
          <w:color w:val="auto"/>
        </w:rPr>
        <w:t>Excluding 3.43% of upfront fees.</w:t>
      </w:r>
    </w:p>
    <w:p>
      <w:pPr>
        <w:ind w:left="580" w:hanging="572"/>
        <w:spacing w:after="0"/>
        <w:tabs>
          <w:tab w:leader="none" w:pos="580" w:val="left"/>
        </w:tabs>
        <w:numPr>
          <w:ilvl w:val="0"/>
          <w:numId w:val="108"/>
        </w:numPr>
        <w:rPr>
          <w:rFonts w:ascii="Arial" w:cs="Arial" w:eastAsia="Arial" w:hAnsi="Arial"/>
          <w:sz w:val="12"/>
          <w:szCs w:val="12"/>
          <w:color w:val="auto"/>
        </w:rPr>
      </w:pPr>
      <w:r>
        <w:rPr>
          <w:rFonts w:ascii="Arial" w:cs="Arial" w:eastAsia="Arial" w:hAnsi="Arial"/>
          <w:sz w:val="14"/>
          <w:szCs w:val="14"/>
          <w:color w:val="auto"/>
        </w:rPr>
        <w:t>As of September 30, 2015, the fixed all-in coupon rate was 3.70%.</w:t>
      </w:r>
    </w:p>
    <w:p>
      <w:pPr>
        <w:spacing w:after="0" w:line="57" w:lineRule="exact"/>
        <w:rPr>
          <w:sz w:val="20"/>
          <w:szCs w:val="20"/>
          <w:color w:val="auto"/>
        </w:rPr>
      </w:pPr>
    </w:p>
    <w:p>
      <w:pPr>
        <w:ind w:right="20" w:firstLine="685"/>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September 30, 2016, our SBIC Funds were in compliance with their regulatory requirements.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Notes</w:t>
      </w:r>
    </w:p>
    <w:p>
      <w:pPr>
        <w:spacing w:after="0" w:line="55" w:lineRule="exact"/>
        <w:rPr>
          <w:sz w:val="20"/>
          <w:szCs w:val="20"/>
          <w:color w:val="auto"/>
        </w:rPr>
      </w:pPr>
    </w:p>
    <w:p>
      <w:pPr>
        <w:ind w:right="20" w:firstLine="685"/>
        <w:spacing w:after="0" w:line="264" w:lineRule="auto"/>
        <w:rPr>
          <w:sz w:val="20"/>
          <w:szCs w:val="20"/>
          <w:color w:val="auto"/>
        </w:rPr>
      </w:pPr>
      <w:r>
        <w:rPr>
          <w:rFonts w:ascii="Arial" w:cs="Arial" w:eastAsia="Arial" w:hAnsi="Arial"/>
          <w:sz w:val="13"/>
          <w:szCs w:val="13"/>
          <w:color w:val="auto"/>
        </w:rPr>
        <w:t>As of September 2016 and 2015, we had $250.0 million in aggregate principal amount of 2019 Notes.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Notes</w:t>
      </w:r>
    </w:p>
    <w:p>
      <w:pPr>
        <w:spacing w:after="0" w:line="55" w:lineRule="exact"/>
        <w:rPr>
          <w:sz w:val="20"/>
          <w:szCs w:val="20"/>
          <w:color w:val="auto"/>
        </w:rPr>
      </w:pPr>
    </w:p>
    <w:p>
      <w:pPr>
        <w:ind w:right="120" w:firstLine="685"/>
        <w:spacing w:after="0" w:line="264" w:lineRule="auto"/>
        <w:rPr>
          <w:sz w:val="20"/>
          <w:szCs w:val="20"/>
          <w:color w:val="auto"/>
        </w:rPr>
      </w:pPr>
      <w:r>
        <w:rPr>
          <w:rFonts w:ascii="Arial" w:cs="Arial" w:eastAsia="Arial" w:hAnsi="Arial"/>
          <w:sz w:val="13"/>
          <w:szCs w:val="13"/>
          <w:color w:val="auto"/>
        </w:rPr>
        <w:t>As of September 2016 and 2015, we had $71.3 million in aggregate principal amount of 2025 Notes. Interest on the 2025 Notes is paid quarterly on 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COMMITMENTS AND CONTINGENCIES</w:t>
      </w:r>
    </w:p>
    <w:p>
      <w:pPr>
        <w:spacing w:after="0" w:line="73" w:lineRule="exact"/>
        <w:rPr>
          <w:sz w:val="20"/>
          <w:szCs w:val="20"/>
          <w:color w:val="auto"/>
        </w:rPr>
      </w:pPr>
    </w:p>
    <w:p>
      <w:pPr>
        <w:ind w:firstLine="685"/>
        <w:spacing w:after="0" w:line="234"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September 30, 2016 and 2015, we had $3.1 million and $19.7 million, respectively, in commitments to fund investments.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F-48</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79"/>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SEPTEMBER 30, 2016</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STOCK REPURCHASE PROGRAM</w:t>
      </w:r>
    </w:p>
    <w:p>
      <w:pPr>
        <w:spacing w:after="0" w:line="140" w:lineRule="exact"/>
        <w:rPr>
          <w:sz w:val="20"/>
          <w:szCs w:val="20"/>
          <w:color w:val="auto"/>
        </w:rPr>
      </w:pPr>
    </w:p>
    <w:p>
      <w:pPr>
        <w:ind w:firstLine="685"/>
        <w:spacing w:after="0" w:line="256" w:lineRule="auto"/>
        <w:rPr>
          <w:sz w:val="20"/>
          <w:szCs w:val="20"/>
          <w:color w:val="auto"/>
        </w:rPr>
      </w:pPr>
      <w:r>
        <w:rPr>
          <w:rFonts w:ascii="Arial" w:cs="Arial" w:eastAsia="Arial" w:hAnsi="Arial"/>
          <w:sz w:val="13"/>
          <w:szCs w:val="13"/>
          <w:color w:val="auto"/>
        </w:rPr>
        <w:t>On May 6, 2015, we announced a share repurchase plan which allowed us to repurchase up to $35.0 million of our outstanding common stock in the open market at prices below our net asset value as reported in our then most recently published consolidated financial statements. The program expired on May 6, 2016. During the year ended September 30, 2016, we repurchased 1.9 million shares of common stock, respectively, in open market transactions for an aggregate cost (including transaction costs) of $12.2 million. From May 6, 2015 through the program’s expiration, we purchased 4.0 million shares of common stock in open market transactions for an aggregate cost (including transaction costs) of $30.1 million.</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UNCONSOLIDATED SIGNIFICANT SUBSIDIARIES</w:t>
      </w:r>
    </w:p>
    <w:p>
      <w:pPr>
        <w:spacing w:after="0" w:line="127" w:lineRule="exact"/>
        <w:rPr>
          <w:sz w:val="20"/>
          <w:szCs w:val="20"/>
          <w:color w:val="auto"/>
        </w:rPr>
      </w:pPr>
    </w:p>
    <w:p>
      <w:pPr>
        <w:ind w:firstLine="685"/>
        <w:spacing w:after="0" w:line="231" w:lineRule="auto"/>
        <w:rPr>
          <w:sz w:val="20"/>
          <w:szCs w:val="20"/>
          <w:color w:val="auto"/>
        </w:rPr>
      </w:pPr>
      <w:r>
        <w:rPr>
          <w:rFonts w:ascii="Arial" w:cs="Arial" w:eastAsia="Arial" w:hAnsi="Arial"/>
          <w:sz w:val="14"/>
          <w:szCs w:val="14"/>
          <w:color w:val="auto"/>
        </w:rPr>
        <w:t>We must determine which, if any, of our unconsolidated controlled portfolio companies is a “significant subsidiary” within the meaning of Regulation S-X. We have determined that, as of September 30, 2016, RAM Energy Holdings LLC triggered at least one of the significance tests. RAM Energy Holdings LLC became a controlled affiliated investment as of September 30, 2015. As a result and in accordance with Rule 4-08(g) of Regulation S-K, presented below is summarized unaudited financial information for RAM Energy Holdings LLC as of September 30, 2016 and 2015 as well as for the year ended September 30, 2016. In addition, we will include the audited financial statements of RAM Energy Holdings LLC within the timeframe specified within Rule 3-09 of Regulation S-X.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Balance Sheet </w:t>
            </w:r>
            <w:r>
              <w:rPr>
                <w:rFonts w:ascii="Arial" w:cs="Arial" w:eastAsia="Arial" w:hAnsi="Arial"/>
                <w:sz w:val="12"/>
                <w:szCs w:val="12"/>
                <w:b w:val="1"/>
                <w:bCs w:val="1"/>
                <w:color w:val="auto"/>
              </w:rPr>
              <w:t>(1)</w:t>
            </w:r>
          </w:p>
        </w:tc>
        <w:tc>
          <w:tcPr>
            <w:tcW w:w="180" w:type="dxa"/>
            <w:vAlign w:val="bottom"/>
          </w:tcPr>
          <w:p>
            <w:pPr>
              <w:spacing w:after="0"/>
              <w:rPr>
                <w:sz w:val="14"/>
                <w:szCs w:val="14"/>
                <w:color w:val="auto"/>
              </w:rPr>
            </w:pPr>
          </w:p>
        </w:tc>
        <w:tc>
          <w:tcPr>
            <w:tcW w:w="20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346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Current assets</w:t>
            </w:r>
          </w:p>
        </w:tc>
        <w:tc>
          <w:tcPr>
            <w:tcW w:w="24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2,326.4</w:t>
            </w:r>
          </w:p>
        </w:tc>
        <w:tc>
          <w:tcPr>
            <w:tcW w:w="4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3,868.9</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Noncurrent assets</w:t>
            </w:r>
          </w:p>
        </w:tc>
        <w:tc>
          <w:tcPr>
            <w:tcW w:w="18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33,678.1</w:t>
            </w:r>
          </w:p>
        </w:tc>
        <w:tc>
          <w:tcPr>
            <w:tcW w:w="1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64,236.3</w:t>
            </w:r>
          </w:p>
        </w:tc>
        <w:tc>
          <w:tcPr>
            <w:tcW w:w="0" w:type="dxa"/>
            <w:vAlign w:val="bottom"/>
          </w:tcPr>
          <w:p>
            <w:pPr>
              <w:spacing w:after="0"/>
              <w:rPr>
                <w:sz w:val="1"/>
                <w:szCs w:val="1"/>
                <w:color w:val="auto"/>
              </w:rPr>
            </w:pP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4,338.0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5,598.0</w:t>
            </w:r>
          </w:p>
        </w:tc>
        <w:tc>
          <w:tcPr>
            <w:tcW w:w="0" w:type="dxa"/>
            <w:vAlign w:val="bottom"/>
          </w:tcPr>
          <w:p>
            <w:pPr>
              <w:spacing w:after="0"/>
              <w:rPr>
                <w:sz w:val="1"/>
                <w:szCs w:val="1"/>
                <w:color w:val="auto"/>
              </w:rPr>
            </w:pPr>
          </w:p>
        </w:tc>
      </w:tr>
      <w:tr>
        <w:trPr>
          <w:trHeight w:val="182"/>
        </w:trPr>
        <w:tc>
          <w:tcPr>
            <w:tcW w:w="3460" w:type="dxa"/>
            <w:vAlign w:val="bottom"/>
            <w:gridSpan w:val="2"/>
          </w:tcPr>
          <w:p>
            <w:pPr>
              <w:spacing w:after="0"/>
              <w:rPr>
                <w:sz w:val="20"/>
                <w:szCs w:val="20"/>
                <w:color w:val="auto"/>
              </w:rPr>
            </w:pPr>
            <w:r>
              <w:rPr>
                <w:rFonts w:ascii="Arial" w:cs="Arial" w:eastAsia="Arial" w:hAnsi="Arial"/>
                <w:sz w:val="14"/>
                <w:szCs w:val="14"/>
                <w:color w:val="auto"/>
              </w:rPr>
              <w:t>Noncurrent liabilities</w:t>
            </w:r>
          </w:p>
        </w:tc>
        <w:tc>
          <w:tcPr>
            <w:tcW w:w="180" w:type="dxa"/>
            <w:vAlign w:val="bottom"/>
          </w:tcPr>
          <w:p>
            <w:pPr>
              <w:spacing w:after="0"/>
              <w:rPr>
                <w:sz w:val="15"/>
                <w:szCs w:val="15"/>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color w:val="auto"/>
              </w:rPr>
              <w:t>90,726.3</w:t>
            </w:r>
          </w:p>
        </w:tc>
        <w:tc>
          <w:tcPr>
            <w:tcW w:w="18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82,228.4</w:t>
            </w:r>
          </w:p>
        </w:tc>
        <w:tc>
          <w:tcPr>
            <w:tcW w:w="0" w:type="dxa"/>
            <w:vAlign w:val="bottom"/>
          </w:tcPr>
          <w:p>
            <w:pPr>
              <w:spacing w:after="0"/>
              <w:rPr>
                <w:sz w:val="1"/>
                <w:szCs w:val="1"/>
                <w:color w:val="auto"/>
              </w:rPr>
            </w:pPr>
          </w:p>
        </w:tc>
      </w:tr>
    </w:tbl>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47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 xml:space="preserve">Income Statement </w:t>
            </w:r>
            <w:r>
              <w:rPr>
                <w:rFonts w:ascii="Arial" w:cs="Arial" w:eastAsia="Arial" w:hAnsi="Arial"/>
                <w:sz w:val="12"/>
                <w:szCs w:val="12"/>
                <w:b w:val="1"/>
                <w:bCs w:val="1"/>
                <w:color w:val="auto"/>
              </w:rPr>
              <w:t>(1)</w:t>
            </w:r>
          </w:p>
        </w:tc>
        <w:tc>
          <w:tcPr>
            <w:tcW w:w="9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478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8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Total revenue</w:t>
            </w:r>
          </w:p>
        </w:tc>
        <w:tc>
          <w:tcPr>
            <w:tcW w:w="3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7,388.4</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60" w:type="dxa"/>
            <w:vAlign w:val="bottom"/>
            <w:gridSpan w:val="4"/>
          </w:tcPr>
          <w:p>
            <w:pPr>
              <w:spacing w:after="0" w:line="149" w:lineRule="exact"/>
              <w:rPr>
                <w:sz w:val="20"/>
                <w:szCs w:val="20"/>
                <w:color w:val="auto"/>
              </w:rPr>
            </w:pPr>
            <w:r>
              <w:rPr>
                <w:rFonts w:ascii="Arial" w:cs="Arial" w:eastAsia="Arial" w:hAnsi="Arial"/>
                <w:sz w:val="14"/>
                <w:szCs w:val="14"/>
                <w:color w:val="auto"/>
              </w:rPr>
              <w:t>Total expenses</w:t>
            </w: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46,284.7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Net loss</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(38,896.3)</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62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520" w:type="dxa"/>
            <w:vAlign w:val="bottom"/>
            <w:gridSpan w:val="2"/>
          </w:tcPr>
          <w:p>
            <w:pPr>
              <w:spacing w:after="0"/>
              <w:rPr>
                <w:sz w:val="20"/>
                <w:szCs w:val="20"/>
                <w:color w:val="auto"/>
              </w:rPr>
            </w:pPr>
            <w:r>
              <w:rPr>
                <w:rFonts w:ascii="Arial" w:cs="Arial" w:eastAsia="Arial" w:hAnsi="Arial"/>
                <w:sz w:val="12"/>
                <w:szCs w:val="12"/>
                <w:color w:val="auto"/>
              </w:rPr>
              <w:t>(1)</w:t>
            </w:r>
          </w:p>
        </w:tc>
        <w:tc>
          <w:tcPr>
            <w:tcW w:w="4260" w:type="dxa"/>
            <w:vAlign w:val="bottom"/>
            <w:gridSpan w:val="3"/>
          </w:tcPr>
          <w:p>
            <w:pPr>
              <w:ind w:left="60"/>
              <w:spacing w:after="0"/>
              <w:rPr>
                <w:sz w:val="20"/>
                <w:szCs w:val="20"/>
                <w:color w:val="auto"/>
              </w:rPr>
            </w:pPr>
            <w:r>
              <w:rPr>
                <w:rFonts w:ascii="Arial" w:cs="Arial" w:eastAsia="Arial" w:hAnsi="Arial"/>
                <w:sz w:val="14"/>
                <w:szCs w:val="14"/>
                <w:color w:val="auto"/>
              </w:rPr>
              <w:t>All amounts are in thousands and unaudited.</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F-49</w:t>
      </w:r>
    </w:p>
    <w:p>
      <w:pPr>
        <w:sectPr>
          <w:pgSz w:w="11900" w:h="16838" w:orient="portrait"/>
          <w:cols w:equalWidth="0" w:num="1">
            <w:col w:w="11340"/>
          </w:cols>
          <w:pgMar w:left="240" w:top="459" w:right="3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INFORMATION</w:t>
      </w:r>
    </w:p>
    <w:p>
      <w:pPr>
        <w:spacing w:after="0" w:line="19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21" w:lineRule="exact"/>
        <w:rPr>
          <w:sz w:val="20"/>
          <w:szCs w:val="20"/>
          <w:color w:val="auto"/>
        </w:rPr>
      </w:pPr>
    </w:p>
    <w:p>
      <w:pPr>
        <w:ind w:left="720" w:hanging="506"/>
        <w:spacing w:after="0"/>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110"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The Index to Consolidated Financial Statements on page F-1 of this Registration Statement is hereby incorporated by reference.</w:t>
      </w:r>
    </w:p>
    <w:p>
      <w:pPr>
        <w:spacing w:after="0" w:line="117" w:lineRule="exact"/>
        <w:rPr>
          <w:sz w:val="20"/>
          <w:szCs w:val="20"/>
          <w:color w:val="auto"/>
        </w:rPr>
      </w:pPr>
    </w:p>
    <w:p>
      <w:pPr>
        <w:ind w:left="720" w:hanging="506"/>
        <w:spacing w:after="0"/>
        <w:tabs>
          <w:tab w:leader="none" w:pos="7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720" w:right="300" w:hanging="560"/>
        <w:spacing w:after="0" w:line="268" w:lineRule="auto"/>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Articles of Amendment and Restatement of the Registrant (Incorporated by reference to Exhibit 99(a) to the Registrant’s Pre-Effective Amendment No. 3 to the Registration Statement on Form N-2/A (File No. 333-140092), filed on April 5, 2007).</w:t>
      </w:r>
    </w:p>
    <w:p>
      <w:pPr>
        <w:spacing w:after="0" w:line="77" w:lineRule="exact"/>
        <w:rPr>
          <w:rFonts w:ascii="Arial" w:cs="Arial" w:eastAsia="Arial" w:hAnsi="Arial"/>
          <w:sz w:val="18"/>
          <w:szCs w:val="18"/>
          <w:color w:val="auto"/>
        </w:rPr>
      </w:pPr>
    </w:p>
    <w:p>
      <w:pPr>
        <w:ind w:left="720" w:right="280" w:hanging="564"/>
        <w:spacing w:after="0" w:line="268" w:lineRule="auto"/>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Amended and Restated Bylaws of the Registrant (Incorporated by reference to Exhibit 3.1 to the Registrant’s Current Report on Form 8-K (File No. 814-00736), filed on December 2, 2015).</w:t>
      </w:r>
    </w:p>
    <w:p>
      <w:pPr>
        <w:spacing w:after="0" w:line="78" w:lineRule="exact"/>
        <w:rPr>
          <w:sz w:val="20"/>
          <w:szCs w:val="20"/>
          <w:color w:val="auto"/>
        </w:rPr>
      </w:pPr>
    </w:p>
    <w:p>
      <w:pPr>
        <w:ind w:left="720" w:right="560" w:hanging="659"/>
        <w:spacing w:after="0" w:line="268" w:lineRule="auto"/>
        <w:tabs>
          <w:tab w:leader="none" w:pos="700" w:val="left"/>
        </w:tabs>
        <w:rPr>
          <w:sz w:val="20"/>
          <w:szCs w:val="20"/>
          <w:color w:val="auto"/>
        </w:rPr>
      </w:pPr>
      <w:r>
        <w:rPr>
          <w:rFonts w:ascii="Arial" w:cs="Arial" w:eastAsia="Arial" w:hAnsi="Arial"/>
          <w:sz w:val="18"/>
          <w:szCs w:val="18"/>
          <w:color w:val="auto"/>
        </w:rPr>
        <w:t>(d)(1)</w:t>
        <w:tab/>
        <w:t>Form of Share Certificate (Incorporated by reference to Exhibit 99.(d)(1) to the Registrant’s Registration Statement on Form N-2 (File No. 333-150033), filed on April 2, 2008).</w:t>
      </w:r>
    </w:p>
    <w:p>
      <w:pPr>
        <w:spacing w:after="0" w:line="78" w:lineRule="exact"/>
        <w:rPr>
          <w:sz w:val="20"/>
          <w:szCs w:val="20"/>
          <w:color w:val="auto"/>
        </w:rPr>
      </w:pPr>
    </w:p>
    <w:p>
      <w:pPr>
        <w:ind w:left="720" w:right="500" w:hanging="659"/>
        <w:spacing w:after="0" w:line="268" w:lineRule="auto"/>
        <w:tabs>
          <w:tab w:leader="none" w:pos="700" w:val="left"/>
        </w:tabs>
        <w:rPr>
          <w:sz w:val="20"/>
          <w:szCs w:val="20"/>
          <w:color w:val="auto"/>
        </w:rPr>
      </w:pPr>
      <w:r>
        <w:rPr>
          <w:rFonts w:ascii="Arial" w:cs="Arial" w:eastAsia="Arial" w:hAnsi="Arial"/>
          <w:sz w:val="18"/>
          <w:szCs w:val="18"/>
          <w:color w:val="auto"/>
        </w:rPr>
        <w:t>(d)(2)</w:t>
        <w:tab/>
        <w:t>Form of Subscription Certificate (Incorporated by reference to Exhibit 99.(d)(2) to the Registrant’s Pre-Effective Amendment to the Registration Statement on Form N-2/A (File No. 333-150033), filed on May 30, 2008).</w:t>
      </w:r>
    </w:p>
    <w:p>
      <w:pPr>
        <w:spacing w:after="0" w:line="78" w:lineRule="exact"/>
        <w:rPr>
          <w:sz w:val="20"/>
          <w:szCs w:val="20"/>
          <w:color w:val="auto"/>
        </w:rPr>
      </w:pPr>
    </w:p>
    <w:p>
      <w:pPr>
        <w:ind w:left="720" w:hanging="659"/>
        <w:spacing w:after="0" w:line="268" w:lineRule="auto"/>
        <w:tabs>
          <w:tab w:leader="none" w:pos="700" w:val="left"/>
        </w:tabs>
        <w:rPr>
          <w:sz w:val="20"/>
          <w:szCs w:val="20"/>
          <w:color w:val="auto"/>
        </w:rPr>
      </w:pPr>
      <w:r>
        <w:rPr>
          <w:rFonts w:ascii="Arial" w:cs="Arial" w:eastAsia="Arial" w:hAnsi="Arial"/>
          <w:sz w:val="18"/>
          <w:szCs w:val="18"/>
          <w:color w:val="auto"/>
        </w:rPr>
        <w:t>(d)(3)</w:t>
        <w:tab/>
        <w:t>Form of Subscription Agent Agreement (Incorporated by reference to Exhibit 99.(d)(4) to the Registrant’s Pre-Effective Amendment to the Registration Statement on Form N-2/A (File No. 333-150033), filed on May 30, 2008).</w:t>
      </w:r>
    </w:p>
    <w:p>
      <w:pPr>
        <w:spacing w:after="0" w:line="78" w:lineRule="exact"/>
        <w:rPr>
          <w:sz w:val="20"/>
          <w:szCs w:val="20"/>
          <w:color w:val="auto"/>
        </w:rPr>
      </w:pPr>
    </w:p>
    <w:p>
      <w:pPr>
        <w:ind w:left="720" w:right="40" w:hanging="659"/>
        <w:spacing w:after="0" w:line="268" w:lineRule="auto"/>
        <w:tabs>
          <w:tab w:leader="none" w:pos="700" w:val="left"/>
        </w:tabs>
        <w:rPr>
          <w:sz w:val="20"/>
          <w:szCs w:val="20"/>
          <w:color w:val="auto"/>
        </w:rPr>
      </w:pPr>
      <w:r>
        <w:rPr>
          <w:rFonts w:ascii="Arial" w:cs="Arial" w:eastAsia="Arial" w:hAnsi="Arial"/>
          <w:sz w:val="18"/>
          <w:szCs w:val="18"/>
          <w:color w:val="auto"/>
        </w:rPr>
        <w:t>(d)(4)</w:t>
        <w:tab/>
        <w:t>Form of Warrant Agreement (Incorporated by reference to Exhibit 99.(d)(5) to the Registrant’s Pre-Effective Amendment to the Registration Statement on Form N-2/A (File No. 333-150033), filed on May 30, 2008).</w:t>
      </w:r>
    </w:p>
    <w:p>
      <w:pPr>
        <w:spacing w:after="0" w:line="78" w:lineRule="exact"/>
        <w:rPr>
          <w:sz w:val="20"/>
          <w:szCs w:val="20"/>
          <w:color w:val="auto"/>
        </w:rPr>
      </w:pPr>
    </w:p>
    <w:p>
      <w:pPr>
        <w:ind w:left="720" w:right="160" w:hanging="659"/>
        <w:spacing w:after="0" w:line="268" w:lineRule="auto"/>
        <w:tabs>
          <w:tab w:leader="none" w:pos="700" w:val="left"/>
        </w:tabs>
        <w:rPr>
          <w:sz w:val="20"/>
          <w:szCs w:val="20"/>
          <w:color w:val="auto"/>
        </w:rPr>
      </w:pPr>
      <w:r>
        <w:rPr>
          <w:rFonts w:ascii="Arial" w:cs="Arial" w:eastAsia="Arial" w:hAnsi="Arial"/>
          <w:sz w:val="18"/>
          <w:szCs w:val="18"/>
          <w:color w:val="auto"/>
        </w:rPr>
        <w:t>(d)(5)</w:t>
        <w:tab/>
        <w:t>Form T-1 Statement of Eligibility with respect to the Form of Indenture (Incorporated by reference to Exhibit 2(d)(6) to the Registrant’s Pre-Effective Amendment to the Registration Statement on Form N-2/A (File No. 333-172524), filed August 22, 2011).</w:t>
      </w:r>
    </w:p>
    <w:p>
      <w:pPr>
        <w:spacing w:after="0" w:line="78" w:lineRule="exact"/>
        <w:rPr>
          <w:sz w:val="20"/>
          <w:szCs w:val="20"/>
          <w:color w:val="auto"/>
        </w:rPr>
      </w:pPr>
    </w:p>
    <w:p>
      <w:pPr>
        <w:ind w:left="720" w:right="640" w:hanging="659"/>
        <w:spacing w:after="0" w:line="268" w:lineRule="auto"/>
        <w:tabs>
          <w:tab w:leader="none" w:pos="700" w:val="left"/>
        </w:tabs>
        <w:rPr>
          <w:sz w:val="20"/>
          <w:szCs w:val="20"/>
          <w:color w:val="auto"/>
        </w:rPr>
      </w:pPr>
      <w:r>
        <w:rPr>
          <w:rFonts w:ascii="Arial" w:cs="Arial" w:eastAsia="Arial" w:hAnsi="Arial"/>
          <w:sz w:val="18"/>
          <w:szCs w:val="18"/>
          <w:color w:val="auto"/>
        </w:rPr>
        <w:t>(d)(6)</w:t>
        <w:tab/>
        <w:t>Form of Articles Supplementary (Incorporated by reference to Exhibit 2(d)(7) to the Registrant’s Pre-Effective Amendment to the Registration Statement on Form N-2/A (File No. 333-172524), filed August 22, 2011).</w:t>
      </w:r>
    </w:p>
    <w:p>
      <w:pPr>
        <w:spacing w:after="0" w:line="78" w:lineRule="exact"/>
        <w:rPr>
          <w:sz w:val="20"/>
          <w:szCs w:val="20"/>
          <w:color w:val="auto"/>
        </w:rPr>
      </w:pPr>
    </w:p>
    <w:p>
      <w:pPr>
        <w:ind w:left="720" w:right="40" w:hanging="659"/>
        <w:spacing w:after="0" w:line="259" w:lineRule="auto"/>
        <w:tabs>
          <w:tab w:leader="none" w:pos="700" w:val="left"/>
        </w:tabs>
        <w:rPr>
          <w:sz w:val="20"/>
          <w:szCs w:val="20"/>
          <w:color w:val="auto"/>
        </w:rPr>
      </w:pPr>
      <w:r>
        <w:rPr>
          <w:rFonts w:ascii="Arial" w:cs="Arial" w:eastAsia="Arial" w:hAnsi="Arial"/>
          <w:sz w:val="18"/>
          <w:szCs w:val="18"/>
          <w:color w:val="auto"/>
        </w:rPr>
        <w:t>(d)(7)</w:t>
        <w:tab/>
        <w:t>Base Indenture, dated as of January 22, 2013, relating to the 6.25% Senior Notes due 2025, between the Registrant and American Stock Transfer &amp; Trust Company, LLC, as trustee (Incorporated by reference to Exhibit 99.(d)(8) to the Registrant’s Post-Effective Amendment No. 4 to the Registration Statement on Form N-2/A (File No. 333-172524), filed on January 22, 2013).</w:t>
      </w:r>
    </w:p>
    <w:p>
      <w:pPr>
        <w:spacing w:after="0" w:line="86" w:lineRule="exact"/>
        <w:rPr>
          <w:sz w:val="20"/>
          <w:szCs w:val="20"/>
          <w:color w:val="auto"/>
        </w:rPr>
      </w:pPr>
    </w:p>
    <w:p>
      <w:pPr>
        <w:jc w:val="both"/>
        <w:ind w:left="720" w:right="140" w:hanging="659"/>
        <w:spacing w:after="0" w:line="259" w:lineRule="auto"/>
        <w:tabs>
          <w:tab w:leader="none" w:pos="700" w:val="left"/>
        </w:tabs>
        <w:rPr>
          <w:sz w:val="20"/>
          <w:szCs w:val="20"/>
          <w:color w:val="auto"/>
        </w:rPr>
      </w:pPr>
      <w:r>
        <w:rPr>
          <w:rFonts w:ascii="Arial" w:cs="Arial" w:eastAsia="Arial" w:hAnsi="Arial"/>
          <w:sz w:val="18"/>
          <w:szCs w:val="18"/>
          <w:color w:val="auto"/>
        </w:rPr>
        <w:t>(d)(8)</w:t>
        <w:tab/>
        <w:t>First Supplemental Indenture, dated as of January 22, 2013, relating to the 6.25% Senior Notes due 2025, between the Registrant and American Stock Transfer &amp; Trust Company, LLC, as trustee (Incorporated by reference to Exhibit 99.(d)(9) to the Registrant’s Post-Effective Amendment No. 4 to the Registration Statement on Form N-2/A (File No. 333-172524), filed on January 22, 2013).</w:t>
      </w:r>
    </w:p>
    <w:p>
      <w:pPr>
        <w:spacing w:after="0" w:line="86" w:lineRule="exact"/>
        <w:rPr>
          <w:sz w:val="20"/>
          <w:szCs w:val="20"/>
          <w:color w:val="auto"/>
        </w:rPr>
      </w:pPr>
    </w:p>
    <w:p>
      <w:pPr>
        <w:ind w:left="60"/>
        <w:spacing w:after="0"/>
        <w:tabs>
          <w:tab w:leader="none" w:pos="700" w:val="left"/>
        </w:tabs>
        <w:rPr>
          <w:sz w:val="20"/>
          <w:szCs w:val="20"/>
          <w:color w:val="auto"/>
        </w:rPr>
      </w:pPr>
      <w:r>
        <w:rPr>
          <w:rFonts w:ascii="Arial" w:cs="Arial" w:eastAsia="Arial" w:hAnsi="Arial"/>
          <w:sz w:val="18"/>
          <w:szCs w:val="18"/>
          <w:color w:val="auto"/>
        </w:rPr>
        <w:t>(d)(9)</w:t>
        <w:tab/>
        <w:t>Form of 6.25% Senior Notes due 2025 (included as part of Exhibit (d)(8)).</w:t>
      </w:r>
    </w:p>
    <w:p>
      <w:pPr>
        <w:spacing w:after="0" w:line="117" w:lineRule="exact"/>
        <w:rPr>
          <w:sz w:val="20"/>
          <w:szCs w:val="20"/>
          <w:color w:val="auto"/>
        </w:rPr>
      </w:pPr>
    </w:p>
    <w:p>
      <w:pPr>
        <w:jc w:val="both"/>
        <w:ind w:left="720" w:right="240" w:hanging="719"/>
        <w:spacing w:after="0" w:line="259" w:lineRule="auto"/>
        <w:tabs>
          <w:tab w:leader="none" w:pos="700" w:val="left"/>
        </w:tabs>
        <w:rPr>
          <w:sz w:val="20"/>
          <w:szCs w:val="20"/>
          <w:color w:val="auto"/>
        </w:rPr>
      </w:pPr>
      <w:r>
        <w:rPr>
          <w:rFonts w:ascii="Arial" w:cs="Arial" w:eastAsia="Arial" w:hAnsi="Arial"/>
          <w:sz w:val="18"/>
          <w:szCs w:val="18"/>
          <w:color w:val="auto"/>
        </w:rPr>
        <w:t>(d)(10)</w:t>
        <w:tab/>
        <w:t>Second Supplemental Indenture, dated as of September 23, 2014, relating to the 4.50% Notes due 2019, between the Registrant and American Stock Transfer &amp; Trust Company, LLC, as trustee (Incorporated by reference to Exhibit 99 (d)(11) to the Registrant’s Post-Effective Amendment No. 2 to Form N-2 (File No. 333-192782), filed on September 23, 2014.</w:t>
      </w:r>
    </w:p>
    <w:p>
      <w:pPr>
        <w:spacing w:after="0" w:line="86"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(d)(11)</w:t>
        <w:tab/>
        <w:t>Form of 4.50% Senior Notes due 2019 (included as part of Exhibit d(10)).</w:t>
      </w:r>
    </w:p>
    <w:p>
      <w:pPr>
        <w:spacing w:after="0" w:line="117" w:lineRule="exact"/>
        <w:rPr>
          <w:sz w:val="20"/>
          <w:szCs w:val="20"/>
          <w:color w:val="auto"/>
        </w:rPr>
      </w:pPr>
    </w:p>
    <w:p>
      <w:pPr>
        <w:ind w:left="720" w:right="540" w:hanging="560"/>
        <w:spacing w:after="0" w:line="268" w:lineRule="auto"/>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Dividend Reinvestment Plan (Incorporated by reference to Exhibit 99.(E) to the Registrant’s Registration Statement on Form N-2 (File No. 333-150033), filed on April 2, 2008).</w:t>
      </w:r>
    </w:p>
    <w:p>
      <w:pPr>
        <w:spacing w:after="0" w:line="78" w:lineRule="exact"/>
        <w:rPr>
          <w:sz w:val="20"/>
          <w:szCs w:val="20"/>
          <w:color w:val="auto"/>
        </w:rPr>
      </w:pPr>
    </w:p>
    <w:p>
      <w:pPr>
        <w:ind w:left="720" w:right="580" w:hanging="564"/>
        <w:spacing w:after="0" w:line="332" w:lineRule="auto"/>
        <w:tabs>
          <w:tab w:leader="none" w:pos="7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First Amended and Restated Investment Advisory Management Agreement between the Registrant and PennantPark Investment Advisers, LLC (Incorporated by reference to the Registrant’s Quarterly Report on Form 10-Q (File No. 814-00736), filed on February 3, 2016).</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380"/>
          </w:cols>
          <w:pgMar w:left="240" w:top="459" w:right="2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700" w:right="20" w:hanging="659"/>
        <w:spacing w:after="0" w:line="268" w:lineRule="auto"/>
        <w:tabs>
          <w:tab w:leader="none" w:pos="680" w:val="left"/>
        </w:tabs>
        <w:rPr>
          <w:sz w:val="20"/>
          <w:szCs w:val="20"/>
          <w:color w:val="auto"/>
        </w:rPr>
      </w:pPr>
      <w:r>
        <w:rPr>
          <w:rFonts w:ascii="Arial" w:cs="Arial" w:eastAsia="Arial" w:hAnsi="Arial"/>
          <w:sz w:val="18"/>
          <w:szCs w:val="18"/>
          <w:color w:val="auto"/>
        </w:rPr>
        <w:t>(h)(1)</w:t>
        <w:tab/>
        <w:t>Form of Underwriting Agreement for equity (Incorporated by reference to Exhibit 99.(H)(1) to the Registrant’s Post-Effective Amendment No. 4 to the Registration Statement on Form N-2/A (File No. 333-150033), filed on February 22, 2010).</w:t>
      </w:r>
    </w:p>
    <w:p>
      <w:pPr>
        <w:spacing w:after="0" w:line="145" w:lineRule="exact"/>
        <w:rPr>
          <w:sz w:val="20"/>
          <w:szCs w:val="20"/>
          <w:color w:val="auto"/>
        </w:rPr>
      </w:pPr>
    </w:p>
    <w:p>
      <w:pPr>
        <w:ind w:left="700" w:right="660" w:hanging="659"/>
        <w:spacing w:after="0" w:line="268" w:lineRule="auto"/>
        <w:tabs>
          <w:tab w:leader="none" w:pos="680" w:val="left"/>
        </w:tabs>
        <w:rPr>
          <w:sz w:val="20"/>
          <w:szCs w:val="20"/>
          <w:color w:val="auto"/>
        </w:rPr>
      </w:pPr>
      <w:r>
        <w:rPr>
          <w:rFonts w:ascii="Arial" w:cs="Arial" w:eastAsia="Arial" w:hAnsi="Arial"/>
          <w:sz w:val="18"/>
          <w:szCs w:val="18"/>
          <w:color w:val="auto"/>
        </w:rPr>
        <w:t>(h)(2)</w:t>
        <w:tab/>
        <w:t>Form of Underwriting Agreement for debt (Incorporated by reference to Exhibit 99.(H)(2) to the Registrant’s Pre-Effective Amendment to the Registration Statement on Form N-2/A (File No. 333-150033), filed on May 30, 2008).</w:t>
      </w:r>
    </w:p>
    <w:p>
      <w:pPr>
        <w:spacing w:after="0" w:line="145" w:lineRule="exact"/>
        <w:rPr>
          <w:sz w:val="20"/>
          <w:szCs w:val="20"/>
          <w:color w:val="auto"/>
        </w:rPr>
      </w:pPr>
    </w:p>
    <w:p>
      <w:pPr>
        <w:ind w:left="700" w:right="60" w:hanging="545"/>
        <w:spacing w:after="0" w:line="268" w:lineRule="auto"/>
        <w:tabs>
          <w:tab w:leader="none" w:pos="7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Custodian Agreement between the Registrant and PFPC Trust Company (Incorporated by reference to Exhibit 99.(J)(1) to the Registrant’s Registration Statement on Form N-2 (File No. 333-150033), filed on April 2, 2008).</w:t>
      </w:r>
    </w:p>
    <w:p>
      <w:pPr>
        <w:spacing w:after="0" w:line="145" w:lineRule="exact"/>
        <w:rPr>
          <w:sz w:val="20"/>
          <w:szCs w:val="20"/>
          <w:color w:val="auto"/>
        </w:rPr>
      </w:pPr>
    </w:p>
    <w:p>
      <w:pPr>
        <w:ind w:left="700" w:hanging="659"/>
        <w:spacing w:after="0" w:line="268" w:lineRule="auto"/>
        <w:tabs>
          <w:tab w:leader="none" w:pos="680" w:val="left"/>
        </w:tabs>
        <w:rPr>
          <w:sz w:val="20"/>
          <w:szCs w:val="20"/>
          <w:color w:val="auto"/>
        </w:rPr>
      </w:pPr>
      <w:r>
        <w:rPr>
          <w:rFonts w:ascii="Arial" w:cs="Arial" w:eastAsia="Arial" w:hAnsi="Arial"/>
          <w:sz w:val="18"/>
          <w:szCs w:val="18"/>
          <w:color w:val="auto"/>
        </w:rPr>
        <w:t>(k)(1)</w:t>
        <w:tab/>
        <w:t>Administration Agreement between the Registrant and PennantPark Investment Administration, LLC (Incorporated by reference to Exhibit 99.(K)(1) to the Registrant’s Registration Statement on Form N-2 (File No. 333-150033), filed on April 2, 2008).</w:t>
      </w:r>
    </w:p>
    <w:p>
      <w:pPr>
        <w:spacing w:after="0" w:line="145"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6"/>
          <w:szCs w:val="16"/>
          <w:color w:val="auto"/>
        </w:rPr>
        <w:t>(k)(2)</w:t>
      </w:r>
      <w:r>
        <w:rPr>
          <w:sz w:val="20"/>
          <w:szCs w:val="20"/>
          <w:color w:val="auto"/>
        </w:rPr>
        <w:tab/>
      </w:r>
      <w:r>
        <w:rPr>
          <w:rFonts w:ascii="Arial" w:cs="Arial" w:eastAsia="Arial" w:hAnsi="Arial"/>
          <w:sz w:val="16"/>
          <w:szCs w:val="16"/>
          <w:color w:val="auto"/>
        </w:rPr>
        <w:t>Stock Transfer Agency Agreement between the Registrant and American Stock Transfer and Trust Company (Incorporated by reference to Exhibit 99.</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(K)(2) to the Registrant’s Registration Statement on Form N-2 (File No. 333-150033), filed on April 2, 2008).</w:t>
      </w:r>
    </w:p>
    <w:p>
      <w:pPr>
        <w:spacing w:after="0" w:line="178" w:lineRule="exact"/>
        <w:rPr>
          <w:sz w:val="20"/>
          <w:szCs w:val="20"/>
          <w:color w:val="auto"/>
        </w:rPr>
      </w:pPr>
    </w:p>
    <w:p>
      <w:pPr>
        <w:jc w:val="both"/>
        <w:ind w:left="700" w:right="140" w:hanging="659"/>
        <w:spacing w:after="0" w:line="268" w:lineRule="auto"/>
        <w:tabs>
          <w:tab w:leader="none" w:pos="680" w:val="left"/>
        </w:tabs>
        <w:rPr>
          <w:sz w:val="20"/>
          <w:szCs w:val="20"/>
          <w:color w:val="auto"/>
        </w:rPr>
      </w:pPr>
      <w:r>
        <w:rPr>
          <w:rFonts w:ascii="Arial" w:cs="Arial" w:eastAsia="Arial" w:hAnsi="Arial"/>
          <w:sz w:val="18"/>
          <w:szCs w:val="18"/>
          <w:color w:val="auto"/>
        </w:rPr>
        <w:t>(k)(3)</w:t>
        <w:tab/>
        <w:t>Trademark License Agreement (Incorporated by reference to Exhibit 99.(K)(3) to the Registrant’s Registration Statement on Form N-2 (File No. 333-150033), filed on April 2, 2008).</w:t>
      </w:r>
    </w:p>
    <w:p>
      <w:pPr>
        <w:spacing w:after="0" w:line="145" w:lineRule="exact"/>
        <w:rPr>
          <w:sz w:val="20"/>
          <w:szCs w:val="20"/>
          <w:color w:val="auto"/>
        </w:rPr>
      </w:pPr>
    </w:p>
    <w:p>
      <w:pPr>
        <w:jc w:val="both"/>
        <w:ind w:left="700" w:right="140" w:hanging="659"/>
        <w:spacing w:after="0" w:line="259" w:lineRule="auto"/>
        <w:tabs>
          <w:tab w:leader="none" w:pos="680" w:val="left"/>
        </w:tabs>
        <w:rPr>
          <w:sz w:val="20"/>
          <w:szCs w:val="20"/>
          <w:color w:val="auto"/>
        </w:rPr>
      </w:pPr>
      <w:r>
        <w:rPr>
          <w:rFonts w:ascii="Arial" w:cs="Arial" w:eastAsia="Arial" w:hAnsi="Arial"/>
          <w:sz w:val="18"/>
          <w:szCs w:val="18"/>
          <w:color w:val="auto"/>
        </w:rPr>
        <w:t>(k)(4)</w:t>
        <w:tab/>
        <w:t>Second Amended and Restated Senior Secured Revolving Credit Agreement, dated as of June 25, 2014, among PennantPark Investment Corporation, the lenders party hereto, SunTrust Bank, as administrative agent for the lenders (Incorporated by reference to Exhibit 99.2 to the Registrant’s Current Report on Form 8-K (File No. 814-00736), filed on June 30, 2014).</w:t>
      </w:r>
    </w:p>
    <w:p>
      <w:pPr>
        <w:spacing w:after="0" w:line="167" w:lineRule="exact"/>
        <w:rPr>
          <w:sz w:val="20"/>
          <w:szCs w:val="20"/>
          <w:color w:val="auto"/>
        </w:rPr>
      </w:pPr>
    </w:p>
    <w:p>
      <w:pPr>
        <w:jc w:val="both"/>
        <w:ind w:left="700" w:right="20" w:hanging="659"/>
        <w:spacing w:after="0" w:line="259" w:lineRule="auto"/>
        <w:tabs>
          <w:tab w:leader="none" w:pos="680" w:val="left"/>
        </w:tabs>
        <w:rPr>
          <w:sz w:val="20"/>
          <w:szCs w:val="20"/>
          <w:color w:val="auto"/>
        </w:rPr>
      </w:pPr>
      <w:r>
        <w:rPr>
          <w:rFonts w:ascii="Arial" w:cs="Arial" w:eastAsia="Arial" w:hAnsi="Arial"/>
          <w:sz w:val="18"/>
          <w:szCs w:val="18"/>
          <w:color w:val="auto"/>
        </w:rPr>
        <w:t>(k)(5)</w:t>
        <w:tab/>
        <w:t>Indemnification Agreement, dated as of November 15, 2016, between PennantPark Investment Corporation and each of the directors and officers listed on Schedule A attached thereto (Incorporated by reference to Exhibit 10.5 on the Registrant’s Annual Report on Form 10-K (File No. 814-00891), filed on November 21, 2016).</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60"/>
          </w:cols>
          <w:pgMar w:left="240" w:top="460" w:right="2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 (continued)</w:t>
      </w:r>
    </w:p>
    <w:p>
      <w:pPr>
        <w:spacing w:after="0" w:line="326" w:lineRule="exact"/>
        <w:rPr>
          <w:sz w:val="20"/>
          <w:szCs w:val="20"/>
          <w:color w:val="auto"/>
        </w:rPr>
      </w:pPr>
    </w:p>
    <w:p>
      <w:pPr>
        <w:ind w:left="920" w:hanging="578"/>
        <w:spacing w:after="0"/>
        <w:tabs>
          <w:tab w:leader="none" w:pos="92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Exhibits (Continued)</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00" w:type="dxa"/>
            <w:vAlign w:val="bottom"/>
          </w:tcPr>
          <w:p>
            <w:pPr>
              <w:jc w:val="center"/>
              <w:ind w:right="92"/>
              <w:spacing w:after="0"/>
              <w:rPr>
                <w:sz w:val="20"/>
                <w:szCs w:val="20"/>
                <w:color w:val="auto"/>
              </w:rPr>
            </w:pPr>
            <w:r>
              <w:rPr>
                <w:rFonts w:ascii="Arial" w:cs="Arial" w:eastAsia="Arial" w:hAnsi="Arial"/>
                <w:sz w:val="18"/>
                <w:szCs w:val="18"/>
                <w:color w:val="auto"/>
                <w:w w:val="94"/>
              </w:rPr>
              <w:t>(l)(1)</w:t>
            </w:r>
          </w:p>
        </w:tc>
        <w:tc>
          <w:tcPr>
            <w:tcW w:w="10620" w:type="dxa"/>
            <w:vAlign w:val="bottom"/>
          </w:tcPr>
          <w:p>
            <w:pPr>
              <w:ind w:left="180"/>
              <w:spacing w:after="0"/>
              <w:rPr>
                <w:sz w:val="20"/>
                <w:szCs w:val="20"/>
                <w:color w:val="auto"/>
              </w:rPr>
            </w:pPr>
            <w:r>
              <w:rPr>
                <w:rFonts w:ascii="Arial" w:cs="Arial" w:eastAsia="Arial" w:hAnsi="Arial"/>
                <w:sz w:val="18"/>
                <w:szCs w:val="18"/>
                <w:color w:val="auto"/>
                <w:w w:val="89"/>
              </w:rPr>
              <w:t>Opinion and Consent of Venable LLP (Incorporated by reference to Exhibit (l)(1) to the Registration Statement on Form N-2 (File No. 333-216852),</w:t>
            </w:r>
          </w:p>
        </w:tc>
      </w:tr>
      <w:tr>
        <w:trPr>
          <w:trHeight w:val="222"/>
        </w:trPr>
        <w:tc>
          <w:tcPr>
            <w:tcW w:w="700" w:type="dxa"/>
            <w:vAlign w:val="bottom"/>
          </w:tcPr>
          <w:p>
            <w:pPr>
              <w:spacing w:after="0"/>
              <w:rPr>
                <w:sz w:val="19"/>
                <w:szCs w:val="19"/>
                <w:color w:val="auto"/>
              </w:rPr>
            </w:pPr>
          </w:p>
        </w:tc>
        <w:tc>
          <w:tcPr>
            <w:tcW w:w="10620" w:type="dxa"/>
            <w:vAlign w:val="bottom"/>
          </w:tcPr>
          <w:p>
            <w:pPr>
              <w:ind w:left="180"/>
              <w:spacing w:after="0"/>
              <w:rPr>
                <w:sz w:val="20"/>
                <w:szCs w:val="20"/>
                <w:color w:val="auto"/>
              </w:rPr>
            </w:pPr>
            <w:r>
              <w:rPr>
                <w:rFonts w:ascii="Arial" w:cs="Arial" w:eastAsia="Arial" w:hAnsi="Arial"/>
                <w:sz w:val="18"/>
                <w:szCs w:val="18"/>
                <w:color w:val="auto"/>
              </w:rPr>
              <w:t>filed on March 21, 2017)</w:t>
            </w:r>
          </w:p>
        </w:tc>
      </w:tr>
      <w:tr>
        <w:trPr>
          <w:trHeight w:val="385"/>
        </w:trPr>
        <w:tc>
          <w:tcPr>
            <w:tcW w:w="700" w:type="dxa"/>
            <w:vAlign w:val="bottom"/>
          </w:tcPr>
          <w:p>
            <w:pPr>
              <w:jc w:val="center"/>
              <w:ind w:right="92"/>
              <w:spacing w:after="0"/>
              <w:rPr>
                <w:sz w:val="20"/>
                <w:szCs w:val="20"/>
                <w:color w:val="auto"/>
              </w:rPr>
            </w:pPr>
            <w:r>
              <w:rPr>
                <w:rFonts w:ascii="Arial" w:cs="Arial" w:eastAsia="Arial" w:hAnsi="Arial"/>
                <w:sz w:val="18"/>
                <w:szCs w:val="18"/>
                <w:color w:val="auto"/>
                <w:w w:val="94"/>
              </w:rPr>
              <w:t>(l)(2)</w:t>
            </w:r>
          </w:p>
        </w:tc>
        <w:tc>
          <w:tcPr>
            <w:tcW w:w="10620" w:type="dxa"/>
            <w:vAlign w:val="bottom"/>
          </w:tcPr>
          <w:p>
            <w:pPr>
              <w:ind w:left="180"/>
              <w:spacing w:after="0"/>
              <w:rPr>
                <w:sz w:val="20"/>
                <w:szCs w:val="20"/>
                <w:color w:val="auto"/>
              </w:rPr>
            </w:pPr>
            <w:r>
              <w:rPr>
                <w:rFonts w:ascii="Arial" w:cs="Arial" w:eastAsia="Arial" w:hAnsi="Arial"/>
                <w:sz w:val="18"/>
                <w:szCs w:val="18"/>
                <w:color w:val="auto"/>
                <w:w w:val="89"/>
              </w:rPr>
              <w:t>Opinion and Consent of Dechert LLP (Incorporated by reference to Exhibit (l)(2) to the Registration Statement on Form N-2 (File No. 333-216852),</w:t>
            </w:r>
          </w:p>
        </w:tc>
      </w:tr>
      <w:tr>
        <w:trPr>
          <w:trHeight w:val="222"/>
        </w:trPr>
        <w:tc>
          <w:tcPr>
            <w:tcW w:w="700" w:type="dxa"/>
            <w:vAlign w:val="bottom"/>
          </w:tcPr>
          <w:p>
            <w:pPr>
              <w:spacing w:after="0"/>
              <w:rPr>
                <w:sz w:val="19"/>
                <w:szCs w:val="19"/>
                <w:color w:val="auto"/>
              </w:rPr>
            </w:pPr>
          </w:p>
        </w:tc>
        <w:tc>
          <w:tcPr>
            <w:tcW w:w="10620" w:type="dxa"/>
            <w:vAlign w:val="bottom"/>
          </w:tcPr>
          <w:p>
            <w:pPr>
              <w:ind w:left="180"/>
              <w:spacing w:after="0"/>
              <w:rPr>
                <w:sz w:val="20"/>
                <w:szCs w:val="20"/>
                <w:color w:val="auto"/>
              </w:rPr>
            </w:pPr>
            <w:r>
              <w:rPr>
                <w:rFonts w:ascii="Arial" w:cs="Arial" w:eastAsia="Arial" w:hAnsi="Arial"/>
                <w:sz w:val="18"/>
                <w:szCs w:val="18"/>
                <w:color w:val="auto"/>
              </w:rPr>
              <w:t>filed on March 21, 2017</w:t>
            </w:r>
          </w:p>
        </w:tc>
      </w:tr>
      <w:tr>
        <w:trPr>
          <w:trHeight w:val="392"/>
        </w:trPr>
        <w:tc>
          <w:tcPr>
            <w:tcW w:w="700" w:type="dxa"/>
            <w:vAlign w:val="bottom"/>
          </w:tcPr>
          <w:p>
            <w:pPr>
              <w:jc w:val="center"/>
              <w:ind w:right="112"/>
              <w:spacing w:after="0"/>
              <w:rPr>
                <w:sz w:val="20"/>
                <w:szCs w:val="20"/>
                <w:color w:val="auto"/>
              </w:rPr>
            </w:pPr>
            <w:r>
              <w:rPr>
                <w:rFonts w:ascii="Arial" w:cs="Arial" w:eastAsia="Arial" w:hAnsi="Arial"/>
                <w:sz w:val="18"/>
                <w:szCs w:val="18"/>
                <w:color w:val="auto"/>
                <w:w w:val="97"/>
              </w:rPr>
              <w:t>(n)(1)*</w:t>
            </w:r>
          </w:p>
        </w:tc>
        <w:tc>
          <w:tcPr>
            <w:tcW w:w="10620" w:type="dxa"/>
            <w:vAlign w:val="bottom"/>
          </w:tcPr>
          <w:p>
            <w:pPr>
              <w:ind w:left="180"/>
              <w:spacing w:after="0"/>
              <w:rPr>
                <w:sz w:val="20"/>
                <w:szCs w:val="20"/>
                <w:color w:val="auto"/>
              </w:rPr>
            </w:pPr>
            <w:r>
              <w:rPr>
                <w:rFonts w:ascii="Arial" w:cs="Arial" w:eastAsia="Arial" w:hAnsi="Arial"/>
                <w:sz w:val="18"/>
                <w:szCs w:val="18"/>
                <w:color w:val="auto"/>
              </w:rPr>
              <w:t>Consent of RSM US LLP.</w:t>
            </w:r>
          </w:p>
        </w:tc>
      </w:tr>
      <w:tr>
        <w:trPr>
          <w:trHeight w:val="392"/>
        </w:trPr>
        <w:tc>
          <w:tcPr>
            <w:tcW w:w="700" w:type="dxa"/>
            <w:vAlign w:val="bottom"/>
          </w:tcPr>
          <w:p>
            <w:pPr>
              <w:jc w:val="center"/>
              <w:ind w:right="112"/>
              <w:spacing w:after="0"/>
              <w:rPr>
                <w:sz w:val="20"/>
                <w:szCs w:val="20"/>
                <w:color w:val="auto"/>
              </w:rPr>
            </w:pPr>
            <w:r>
              <w:rPr>
                <w:rFonts w:ascii="Arial" w:cs="Arial" w:eastAsia="Arial" w:hAnsi="Arial"/>
                <w:sz w:val="18"/>
                <w:szCs w:val="18"/>
                <w:color w:val="auto"/>
                <w:w w:val="97"/>
              </w:rPr>
              <w:t>(n)(2)*</w:t>
            </w:r>
          </w:p>
        </w:tc>
        <w:tc>
          <w:tcPr>
            <w:tcW w:w="10620" w:type="dxa"/>
            <w:vAlign w:val="bottom"/>
          </w:tcPr>
          <w:p>
            <w:pPr>
              <w:ind w:left="180"/>
              <w:spacing w:after="0"/>
              <w:rPr>
                <w:sz w:val="20"/>
                <w:szCs w:val="20"/>
                <w:color w:val="auto"/>
              </w:rPr>
            </w:pPr>
            <w:r>
              <w:rPr>
                <w:rFonts w:ascii="Arial" w:cs="Arial" w:eastAsia="Arial" w:hAnsi="Arial"/>
                <w:sz w:val="18"/>
                <w:szCs w:val="18"/>
                <w:color w:val="auto"/>
              </w:rPr>
              <w:t>Report of RSM US LLP regarding senior securities table contained herein.</w:t>
            </w:r>
          </w:p>
        </w:tc>
      </w:tr>
      <w:tr>
        <w:trPr>
          <w:trHeight w:val="392"/>
        </w:trPr>
        <w:tc>
          <w:tcPr>
            <w:tcW w:w="700" w:type="dxa"/>
            <w:vAlign w:val="bottom"/>
          </w:tcPr>
          <w:p>
            <w:pPr>
              <w:jc w:val="center"/>
              <w:ind w:right="112"/>
              <w:spacing w:after="0"/>
              <w:rPr>
                <w:sz w:val="20"/>
                <w:szCs w:val="20"/>
                <w:color w:val="auto"/>
              </w:rPr>
            </w:pPr>
            <w:r>
              <w:rPr>
                <w:rFonts w:ascii="Arial" w:cs="Arial" w:eastAsia="Arial" w:hAnsi="Arial"/>
                <w:sz w:val="18"/>
                <w:szCs w:val="18"/>
                <w:color w:val="auto"/>
                <w:w w:val="97"/>
              </w:rPr>
              <w:t>(n)(3)*</w:t>
            </w:r>
          </w:p>
        </w:tc>
        <w:tc>
          <w:tcPr>
            <w:tcW w:w="10620" w:type="dxa"/>
            <w:vAlign w:val="bottom"/>
          </w:tcPr>
          <w:p>
            <w:pPr>
              <w:ind w:left="180"/>
              <w:spacing w:after="0"/>
              <w:rPr>
                <w:sz w:val="20"/>
                <w:szCs w:val="20"/>
                <w:color w:val="auto"/>
              </w:rPr>
            </w:pPr>
            <w:r>
              <w:rPr>
                <w:rFonts w:ascii="Arial" w:cs="Arial" w:eastAsia="Arial" w:hAnsi="Arial"/>
                <w:sz w:val="18"/>
                <w:szCs w:val="18"/>
                <w:color w:val="auto"/>
              </w:rPr>
              <w:t>Awareness Letter of RSM US LLP.</w:t>
            </w:r>
          </w:p>
        </w:tc>
      </w:tr>
      <w:tr>
        <w:trPr>
          <w:trHeight w:val="392"/>
        </w:trPr>
        <w:tc>
          <w:tcPr>
            <w:tcW w:w="700" w:type="dxa"/>
            <w:vAlign w:val="bottom"/>
          </w:tcPr>
          <w:p>
            <w:pPr>
              <w:jc w:val="center"/>
              <w:ind w:right="112"/>
              <w:spacing w:after="0"/>
              <w:rPr>
                <w:sz w:val="20"/>
                <w:szCs w:val="20"/>
                <w:color w:val="auto"/>
              </w:rPr>
            </w:pPr>
            <w:r>
              <w:rPr>
                <w:rFonts w:ascii="Arial" w:cs="Arial" w:eastAsia="Arial" w:hAnsi="Arial"/>
                <w:sz w:val="18"/>
                <w:szCs w:val="18"/>
                <w:color w:val="auto"/>
                <w:w w:val="97"/>
              </w:rPr>
              <w:t>(n)(4)*</w:t>
            </w:r>
          </w:p>
        </w:tc>
        <w:tc>
          <w:tcPr>
            <w:tcW w:w="10620" w:type="dxa"/>
            <w:vAlign w:val="bottom"/>
          </w:tcPr>
          <w:p>
            <w:pPr>
              <w:ind w:left="180"/>
              <w:spacing w:after="0"/>
              <w:rPr>
                <w:sz w:val="20"/>
                <w:szCs w:val="20"/>
                <w:color w:val="auto"/>
              </w:rPr>
            </w:pPr>
            <w:r>
              <w:rPr>
                <w:rFonts w:ascii="Arial" w:cs="Arial" w:eastAsia="Arial" w:hAnsi="Arial"/>
                <w:sz w:val="18"/>
                <w:szCs w:val="18"/>
                <w:color w:val="auto"/>
              </w:rPr>
              <w:t>Consent of BDO USA, LLP</w:t>
            </w:r>
          </w:p>
        </w:tc>
      </w:tr>
    </w:tbl>
    <w:p>
      <w:pPr>
        <w:spacing w:after="0" w:line="169" w:lineRule="exact"/>
        <w:rPr>
          <w:sz w:val="20"/>
          <w:szCs w:val="20"/>
          <w:color w:val="auto"/>
        </w:rPr>
      </w:pPr>
    </w:p>
    <w:p>
      <w:pPr>
        <w:ind w:left="920" w:right="580" w:hanging="709"/>
        <w:spacing w:after="0" w:line="332" w:lineRule="auto"/>
        <w:tabs>
          <w:tab w:leader="none" w:pos="9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Joint Code of Ethics of the Registrant, PennantPark Floating Rate Capital Ltd. and PennantPark Investment Advisers, LLC (Incorporated by reference to Exhibit 14.1 to the Registrant’s Report on Form 10-K (File No. 814-00736), filed on November 21, 2016).</w:t>
      </w:r>
    </w:p>
    <w:p>
      <w:pPr>
        <w:spacing w:after="0" w:line="99" w:lineRule="exact"/>
        <w:rPr>
          <w:sz w:val="20"/>
          <w:szCs w:val="20"/>
          <w:color w:val="auto"/>
        </w:rPr>
      </w:pPr>
    </w:p>
    <w:p>
      <w:pPr>
        <w:ind w:left="920" w:right="640" w:hanging="819"/>
        <w:spacing w:after="0" w:line="332" w:lineRule="auto"/>
        <w:tabs>
          <w:tab w:leader="none" w:pos="900" w:val="left"/>
        </w:tabs>
        <w:rPr>
          <w:sz w:val="20"/>
          <w:szCs w:val="20"/>
          <w:color w:val="auto"/>
        </w:rPr>
      </w:pPr>
      <w:r>
        <w:rPr>
          <w:rFonts w:ascii="Arial" w:cs="Arial" w:eastAsia="Arial" w:hAnsi="Arial"/>
          <w:sz w:val="16"/>
          <w:szCs w:val="16"/>
          <w:color w:val="auto"/>
        </w:rPr>
        <w:t>(s)(1)</w:t>
      </w:r>
      <w:r>
        <w:rPr>
          <w:sz w:val="20"/>
          <w:szCs w:val="20"/>
          <w:color w:val="auto"/>
        </w:rPr>
        <w:tab/>
      </w:r>
      <w:r>
        <w:rPr>
          <w:rFonts w:ascii="Arial" w:cs="Arial" w:eastAsia="Arial" w:hAnsi="Arial"/>
          <w:sz w:val="16"/>
          <w:szCs w:val="16"/>
          <w:color w:val="auto"/>
        </w:rPr>
        <w:t>Form of Prospectus Supplement For Common Stock Offerings (Incorporated by reference to Exhibit (s)(1) to the Registrant’s Pre-Effective Amendment to the Registration Statement on Form N-2/A (File No. 333-172524), filed on August 22, 2011).</w:t>
      </w:r>
    </w:p>
    <w:p>
      <w:pPr>
        <w:spacing w:after="0" w:line="99" w:lineRule="exact"/>
        <w:rPr>
          <w:sz w:val="20"/>
          <w:szCs w:val="20"/>
          <w:color w:val="auto"/>
        </w:rPr>
      </w:pPr>
    </w:p>
    <w:p>
      <w:pPr>
        <w:ind w:left="920" w:right="640" w:hanging="819"/>
        <w:spacing w:after="0" w:line="332" w:lineRule="auto"/>
        <w:tabs>
          <w:tab w:leader="none" w:pos="900" w:val="left"/>
        </w:tabs>
        <w:rPr>
          <w:sz w:val="20"/>
          <w:szCs w:val="20"/>
          <w:color w:val="auto"/>
        </w:rPr>
      </w:pPr>
      <w:r>
        <w:rPr>
          <w:rFonts w:ascii="Arial" w:cs="Arial" w:eastAsia="Arial" w:hAnsi="Arial"/>
          <w:sz w:val="16"/>
          <w:szCs w:val="16"/>
          <w:color w:val="auto"/>
        </w:rPr>
        <w:t>(s)(2)</w:t>
      </w:r>
      <w:r>
        <w:rPr>
          <w:sz w:val="20"/>
          <w:szCs w:val="20"/>
          <w:color w:val="auto"/>
        </w:rPr>
        <w:tab/>
      </w:r>
      <w:r>
        <w:rPr>
          <w:rFonts w:ascii="Arial" w:cs="Arial" w:eastAsia="Arial" w:hAnsi="Arial"/>
          <w:sz w:val="16"/>
          <w:szCs w:val="16"/>
          <w:color w:val="auto"/>
        </w:rPr>
        <w:t>Form of Prospectus Supplement For Preferred Stock Offerings (Incorporated by reference to Exhibit (s)(2) to the Registrant’s Pre-Effective Amendment to the Registration Statement on Form N-2/A (File No. 333-172524), filed on August 22, 2011).</w:t>
      </w:r>
    </w:p>
    <w:p>
      <w:pPr>
        <w:spacing w:after="0" w:line="99" w:lineRule="exact"/>
        <w:rPr>
          <w:sz w:val="20"/>
          <w:szCs w:val="20"/>
          <w:color w:val="auto"/>
        </w:rPr>
      </w:pPr>
    </w:p>
    <w:p>
      <w:pPr>
        <w:ind w:left="920" w:right="40" w:hanging="819"/>
        <w:spacing w:after="0" w:line="268" w:lineRule="auto"/>
        <w:tabs>
          <w:tab w:leader="none" w:pos="900" w:val="left"/>
        </w:tabs>
        <w:rPr>
          <w:sz w:val="20"/>
          <w:szCs w:val="20"/>
          <w:color w:val="auto"/>
        </w:rPr>
      </w:pPr>
      <w:r>
        <w:rPr>
          <w:rFonts w:ascii="Arial" w:cs="Arial" w:eastAsia="Arial" w:hAnsi="Arial"/>
          <w:sz w:val="18"/>
          <w:szCs w:val="18"/>
          <w:color w:val="auto"/>
        </w:rPr>
        <w:t>(s)(3)</w:t>
      </w:r>
      <w:r>
        <w:rPr>
          <w:sz w:val="20"/>
          <w:szCs w:val="20"/>
          <w:color w:val="auto"/>
        </w:rPr>
        <w:tab/>
      </w:r>
      <w:r>
        <w:rPr>
          <w:rFonts w:ascii="Arial" w:cs="Arial" w:eastAsia="Arial" w:hAnsi="Arial"/>
          <w:sz w:val="18"/>
          <w:szCs w:val="18"/>
          <w:color w:val="auto"/>
        </w:rPr>
        <w:t>Form of Prospectus Supplement For Debt Offerings (Incorporated by reference to Exhibit (s)(3) to the Registrant’s Pre-Effective Amendment to the Registration Statement on Form N-2/A (File No. 333-172524), filed on August 22, 2011).</w:t>
      </w:r>
    </w:p>
    <w:p>
      <w:pPr>
        <w:spacing w:after="0" w:line="145" w:lineRule="exact"/>
        <w:rPr>
          <w:sz w:val="20"/>
          <w:szCs w:val="20"/>
          <w:color w:val="auto"/>
        </w:rPr>
      </w:pPr>
    </w:p>
    <w:p>
      <w:pPr>
        <w:ind w:left="920" w:right="200" w:hanging="819"/>
        <w:spacing w:after="0" w:line="268" w:lineRule="auto"/>
        <w:tabs>
          <w:tab w:leader="none" w:pos="900" w:val="left"/>
        </w:tabs>
        <w:rPr>
          <w:sz w:val="20"/>
          <w:szCs w:val="20"/>
          <w:color w:val="auto"/>
        </w:rPr>
      </w:pPr>
      <w:r>
        <w:rPr>
          <w:rFonts w:ascii="Arial" w:cs="Arial" w:eastAsia="Arial" w:hAnsi="Arial"/>
          <w:sz w:val="18"/>
          <w:szCs w:val="18"/>
          <w:color w:val="auto"/>
        </w:rPr>
        <w:t>(s)(4)</w:t>
      </w:r>
      <w:r>
        <w:rPr>
          <w:sz w:val="20"/>
          <w:szCs w:val="20"/>
          <w:color w:val="auto"/>
        </w:rPr>
        <w:tab/>
      </w:r>
      <w:r>
        <w:rPr>
          <w:rFonts w:ascii="Arial" w:cs="Arial" w:eastAsia="Arial" w:hAnsi="Arial"/>
          <w:sz w:val="18"/>
          <w:szCs w:val="18"/>
          <w:color w:val="auto"/>
        </w:rPr>
        <w:t>Form of Prospectus Supplement For Rights Offerings (Incorporated by reference to Exhibit (s)(4) to the Registrant’s Pre-Effective Amendment to the Registration Statement on Form N-2/A (File No. 333-172524), filed on August 22, 2011).</w:t>
      </w:r>
    </w:p>
    <w:p>
      <w:pPr>
        <w:spacing w:after="0" w:line="145" w:lineRule="exact"/>
        <w:rPr>
          <w:sz w:val="20"/>
          <w:szCs w:val="20"/>
          <w:color w:val="auto"/>
        </w:rPr>
      </w:pPr>
    </w:p>
    <w:p>
      <w:pPr>
        <w:ind w:left="920" w:right="80" w:hanging="819"/>
        <w:spacing w:after="0" w:line="268" w:lineRule="auto"/>
        <w:tabs>
          <w:tab w:leader="none" w:pos="900" w:val="left"/>
        </w:tabs>
        <w:rPr>
          <w:sz w:val="20"/>
          <w:szCs w:val="20"/>
          <w:color w:val="auto"/>
        </w:rPr>
      </w:pPr>
      <w:r>
        <w:rPr>
          <w:rFonts w:ascii="Arial" w:cs="Arial" w:eastAsia="Arial" w:hAnsi="Arial"/>
          <w:sz w:val="18"/>
          <w:szCs w:val="18"/>
          <w:color w:val="auto"/>
        </w:rPr>
        <w:t>(s)(5)</w:t>
      </w:r>
      <w:r>
        <w:rPr>
          <w:sz w:val="20"/>
          <w:szCs w:val="20"/>
          <w:color w:val="auto"/>
        </w:rPr>
        <w:tab/>
      </w:r>
      <w:r>
        <w:rPr>
          <w:rFonts w:ascii="Arial" w:cs="Arial" w:eastAsia="Arial" w:hAnsi="Arial"/>
          <w:sz w:val="18"/>
          <w:szCs w:val="18"/>
          <w:color w:val="auto"/>
        </w:rPr>
        <w:t>Form of Prospectus Supplement For Warrant Offerings (Incorporated by reference to Exhibit (s)(5) to the Registrant’s Pre-Effective Amendment to the Registration Statement on Form N-2/A (File No. 333-172524), filed on August 22, 2011).</w:t>
      </w:r>
    </w:p>
    <w:p>
      <w:pPr>
        <w:spacing w:after="0" w:line="145"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(s)(6)*</w:t>
      </w:r>
      <w:r>
        <w:rPr>
          <w:sz w:val="20"/>
          <w:szCs w:val="20"/>
          <w:color w:val="auto"/>
        </w:rPr>
        <w:tab/>
      </w:r>
      <w:r>
        <w:rPr>
          <w:rFonts w:ascii="Arial" w:cs="Arial" w:eastAsia="Arial" w:hAnsi="Arial"/>
          <w:sz w:val="18"/>
          <w:szCs w:val="18"/>
          <w:color w:val="auto"/>
        </w:rPr>
        <w:t>Audited Financial Statements of RAM Energy Holdings LLC as of and for the year ended December 31, 2016.</w:t>
      </w:r>
    </w:p>
    <w:p>
      <w:pPr>
        <w:spacing w:after="0" w:line="290" w:lineRule="exact"/>
        <w:rPr>
          <w:sz w:val="20"/>
          <w:szCs w:val="20"/>
          <w:color w:val="auto"/>
        </w:rPr>
      </w:pPr>
    </w:p>
    <w:p>
      <w:pPr>
        <w:ind w:left="580" w:hanging="572"/>
        <w:spacing w:after="0"/>
        <w:tabs>
          <w:tab w:leader="none" w:pos="58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87"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information contained under the heading “Plan of Distribution” in this Registration Statement is hereby incorporated by reference.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360"/>
          </w:cols>
          <w:pgMar w:left="240" w:top="460" w:right="2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The following table sets forth the estimated expenses to be incurred by the Registrant in connection with the offering described in this registration statement:</w:t>
      </w:r>
    </w:p>
    <w:p>
      <w:pPr>
        <w:sectPr>
          <w:pgSz w:w="11900" w:h="16838" w:orient="portrait"/>
          <w:cols w:equalWidth="0" w:num="1">
            <w:col w:w="10820"/>
          </w:cols>
          <w:pgMar w:left="240" w:top="460" w:right="839" w:bottom="1440" w:gutter="0" w:footer="0" w:header="0"/>
        </w:sectPr>
      </w:pPr>
    </w:p>
    <w:p>
      <w:pPr>
        <w:spacing w:after="0" w:line="17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-125730</wp:posOffset>
            </wp:positionV>
            <wp:extent cx="3618865"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618865" cy="137160"/>
                    </a:xfrm>
                    <a:prstGeom prst="rect">
                      <a:avLst/>
                    </a:prstGeom>
                    <a:noFill/>
                  </pic:spPr>
                </pic:pic>
              </a:graphicData>
            </a:graphic>
          </wp:anchor>
        </w:drawing>
      </w:r>
    </w:p>
    <w:p>
      <w:pPr>
        <w:spacing w:after="0" w:line="5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10795</wp:posOffset>
            </wp:positionV>
            <wp:extent cx="3618865" cy="1803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618865" cy="180340"/>
                    </a:xfrm>
                    <a:prstGeom prst="rect">
                      <a:avLst/>
                    </a:prstGeom>
                    <a:noFill/>
                  </pic:spPr>
                </pic:pic>
              </a:graphicData>
            </a:graphic>
          </wp:anchor>
        </w:drawing>
      </w:r>
    </w:p>
    <w:p>
      <w:pPr>
        <w:spacing w:after="0" w:line="5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FINRA filing fee</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Printing (other than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10795</wp:posOffset>
            </wp:positionV>
            <wp:extent cx="3618865" cy="1803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618865" cy="180340"/>
                    </a:xfrm>
                    <a:prstGeom prst="rect">
                      <a:avLst/>
                    </a:prstGeom>
                    <a:noFill/>
                  </pic:spPr>
                </pic:pic>
              </a:graphicData>
            </a:graphic>
          </wp:anchor>
        </w:drawing>
      </w:r>
    </w:p>
    <w:p>
      <w:pPr>
        <w:spacing w:after="0" w:line="5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Legal fees and expenses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10795</wp:posOffset>
            </wp:positionV>
            <wp:extent cx="3618865" cy="1803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618865" cy="180340"/>
                    </a:xfrm>
                    <a:prstGeom prst="rect">
                      <a:avLst/>
                    </a:prstGeom>
                    <a:noFill/>
                  </pic:spPr>
                </pic:pic>
              </a:graphicData>
            </a:graphic>
          </wp:anchor>
        </w:drawing>
      </w:r>
    </w:p>
    <w:p>
      <w:pPr>
        <w:spacing w:after="0" w:line="5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Miscellaneous fees and expenses</w:t>
      </w:r>
    </w:p>
    <w:p>
      <w:pPr>
        <w:spacing w:after="0" w:line="144"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Total</w:t>
      </w:r>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of the expenses set forth above shall be borne by the Registrant.</w:t>
      </w:r>
    </w:p>
    <w:p>
      <w:pPr>
        <w:spacing w:after="0" w:line="209" w:lineRule="exact"/>
        <w:rPr>
          <w:sz w:val="20"/>
          <w:szCs w:val="20"/>
          <w:color w:val="auto"/>
        </w:rPr>
      </w:pPr>
    </w:p>
    <w:p>
      <w:pPr>
        <w:ind w:firstLine="8"/>
        <w:spacing w:after="0" w:line="230" w:lineRule="auto"/>
        <w:tabs>
          <w:tab w:leader="none" w:pos="216"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This amount has been offset against a filing fee associated with unsold securities registered under a previous registration statement. ** This amount is estimated.</w:t>
      </w:r>
    </w:p>
    <w:p>
      <w:pPr>
        <w:spacing w:after="0"/>
        <w:rPr>
          <w:rFonts w:ascii="Arial" w:cs="Arial" w:eastAsia="Arial" w:hAnsi="Arial"/>
          <w:sz w:val="14"/>
          <w:szCs w:val="14"/>
          <w:color w:val="auto"/>
        </w:rPr>
      </w:pPr>
      <w:r>
        <w:rPr>
          <w:rFonts w:ascii="Arial" w:cs="Arial" w:eastAsia="Arial" w:hAnsi="Arial"/>
          <w:sz w:val="14"/>
          <w:szCs w:val="14"/>
          <w:color w:val="auto"/>
        </w:rPr>
        <w:t>***To be provided by amendment.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319" w:hanging="319"/>
        <w:spacing w:after="0"/>
        <w:tabs>
          <w:tab w:leader="none" w:pos="319" w:val="left"/>
        </w:tabs>
        <w:numPr>
          <w:ilvl w:val="0"/>
          <w:numId w:val="119"/>
        </w:numPr>
        <w:rPr>
          <w:rFonts w:ascii="Arial" w:cs="Arial" w:eastAsia="Arial" w:hAnsi="Arial"/>
          <w:sz w:val="16"/>
          <w:szCs w:val="16"/>
          <w:color w:val="auto"/>
        </w:rPr>
      </w:pPr>
      <w:r>
        <w:rPr>
          <w:rFonts w:ascii="Arial" w:cs="Arial" w:eastAsia="Arial" w:hAnsi="Arial"/>
          <w:sz w:val="16"/>
          <w:szCs w:val="16"/>
          <w:color w:val="auto"/>
        </w:rPr>
        <w:t>86,925*</w:t>
      </w:r>
    </w:p>
    <w:p>
      <w:pPr>
        <w:spacing w:after="0" w:line="86" w:lineRule="exact"/>
        <w:rPr>
          <w:rFonts w:ascii="Arial" w:cs="Arial" w:eastAsia="Arial" w:hAnsi="Arial"/>
          <w:sz w:val="16"/>
          <w:szCs w:val="16"/>
          <w:color w:val="auto"/>
        </w:rPr>
      </w:pPr>
    </w:p>
    <w:p>
      <w:pPr>
        <w:ind w:left="219"/>
        <w:spacing w:after="0"/>
        <w:rPr>
          <w:rFonts w:ascii="Arial" w:cs="Arial" w:eastAsia="Arial" w:hAnsi="Arial"/>
          <w:sz w:val="16"/>
          <w:szCs w:val="16"/>
          <w:color w:val="auto"/>
        </w:rPr>
      </w:pPr>
      <w:r>
        <w:rPr>
          <w:rFonts w:ascii="Arial" w:cs="Arial" w:eastAsia="Arial" w:hAnsi="Arial"/>
          <w:sz w:val="16"/>
          <w:szCs w:val="16"/>
          <w:color w:val="auto"/>
        </w:rPr>
        <w:t>65,000**</w:t>
      </w:r>
    </w:p>
    <w:p>
      <w:pPr>
        <w:spacing w:after="0" w:line="99" w:lineRule="exact"/>
        <w:rPr>
          <w:rFonts w:ascii="Arial" w:cs="Arial" w:eastAsia="Arial" w:hAnsi="Arial"/>
          <w:sz w:val="16"/>
          <w:szCs w:val="16"/>
          <w:color w:val="auto"/>
        </w:rPr>
      </w:pPr>
    </w:p>
    <w:p>
      <w:pPr>
        <w:ind w:left="239"/>
        <w:spacing w:after="0"/>
        <w:rPr>
          <w:rFonts w:ascii="Arial" w:cs="Arial" w:eastAsia="Arial" w:hAnsi="Arial"/>
          <w:sz w:val="16"/>
          <w:szCs w:val="16"/>
          <w:color w:val="auto"/>
        </w:rPr>
      </w:pPr>
      <w:r>
        <w:rPr>
          <w:rFonts w:ascii="Arial" w:cs="Arial" w:eastAsia="Arial" w:hAnsi="Arial"/>
          <w:sz w:val="15"/>
          <w:szCs w:val="15"/>
          <w:color w:val="auto"/>
        </w:rPr>
        <w:t>113,000*</w:t>
      </w:r>
    </w:p>
    <w:p>
      <w:pPr>
        <w:spacing w:after="0" w:line="111" w:lineRule="exact"/>
        <w:rPr>
          <w:rFonts w:ascii="Arial" w:cs="Arial" w:eastAsia="Arial" w:hAnsi="Arial"/>
          <w:sz w:val="16"/>
          <w:szCs w:val="16"/>
          <w:color w:val="auto"/>
        </w:rPr>
      </w:pPr>
    </w:p>
    <w:p>
      <w:pPr>
        <w:ind w:left="619"/>
        <w:spacing w:after="0"/>
        <w:rPr>
          <w:rFonts w:ascii="Arial" w:cs="Arial" w:eastAsia="Arial" w:hAnsi="Arial"/>
          <w:sz w:val="16"/>
          <w:szCs w:val="16"/>
          <w:color w:val="auto"/>
        </w:rPr>
      </w:pPr>
      <w:r>
        <w:rPr>
          <w:rFonts w:ascii="Arial" w:cs="Arial" w:eastAsia="Arial" w:hAnsi="Arial"/>
          <w:sz w:val="18"/>
          <w:szCs w:val="18"/>
          <w:color w:val="auto"/>
        </w:rPr>
        <w:t>***</w:t>
      </w:r>
    </w:p>
    <w:p>
      <w:pPr>
        <w:spacing w:after="0" w:line="76" w:lineRule="exact"/>
        <w:rPr>
          <w:rFonts w:ascii="Arial" w:cs="Arial" w:eastAsia="Arial" w:hAnsi="Arial"/>
          <w:sz w:val="16"/>
          <w:szCs w:val="16"/>
          <w:color w:val="auto"/>
        </w:rPr>
      </w:pPr>
    </w:p>
    <w:p>
      <w:pPr>
        <w:ind w:left="619"/>
        <w:spacing w:after="0"/>
        <w:rPr>
          <w:rFonts w:ascii="Arial" w:cs="Arial" w:eastAsia="Arial" w:hAnsi="Arial"/>
          <w:sz w:val="16"/>
          <w:szCs w:val="16"/>
          <w:color w:val="auto"/>
        </w:rPr>
      </w:pPr>
      <w:r>
        <w:rPr>
          <w:rFonts w:ascii="Arial" w:cs="Arial" w:eastAsia="Arial" w:hAnsi="Arial"/>
          <w:sz w:val="18"/>
          <w:szCs w:val="18"/>
          <w:color w:val="auto"/>
        </w:rPr>
        <w:t>***</w:t>
      </w:r>
    </w:p>
    <w:p>
      <w:pPr>
        <w:spacing w:after="0" w:line="76" w:lineRule="exact"/>
        <w:rPr>
          <w:rFonts w:ascii="Arial" w:cs="Arial" w:eastAsia="Arial" w:hAnsi="Arial"/>
          <w:sz w:val="16"/>
          <w:szCs w:val="16"/>
          <w:color w:val="auto"/>
        </w:rPr>
      </w:pPr>
    </w:p>
    <w:p>
      <w:pPr>
        <w:ind w:left="619"/>
        <w:spacing w:after="0"/>
        <w:rPr>
          <w:rFonts w:ascii="Arial" w:cs="Arial" w:eastAsia="Arial" w:hAnsi="Arial"/>
          <w:sz w:val="16"/>
          <w:szCs w:val="16"/>
          <w:color w:val="auto"/>
        </w:rPr>
      </w:pPr>
      <w:r>
        <w:rPr>
          <w:rFonts w:ascii="Arial" w:cs="Arial" w:eastAsia="Arial" w:hAnsi="Arial"/>
          <w:sz w:val="18"/>
          <w:szCs w:val="18"/>
          <w:color w:val="auto"/>
        </w:rPr>
        <w:t>***</w:t>
      </w:r>
    </w:p>
    <w:p>
      <w:pPr>
        <w:spacing w:after="0" w:line="76" w:lineRule="exact"/>
        <w:rPr>
          <w:rFonts w:ascii="Arial" w:cs="Arial" w:eastAsia="Arial" w:hAnsi="Arial"/>
          <w:sz w:val="16"/>
          <w:szCs w:val="16"/>
          <w:color w:val="auto"/>
        </w:rPr>
      </w:pPr>
    </w:p>
    <w:p>
      <w:pPr>
        <w:ind w:left="619"/>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19685</wp:posOffset>
            </wp:positionV>
            <wp:extent cx="6172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138" w:lineRule="exact"/>
        <w:rPr>
          <w:sz w:val="20"/>
          <w:szCs w:val="20"/>
          <w:color w:val="auto"/>
        </w:rPr>
      </w:pPr>
    </w:p>
    <w:p>
      <w:pPr>
        <w:ind w:left="619" w:hanging="619"/>
        <w:spacing w:after="0"/>
        <w:tabs>
          <w:tab w:leader="none" w:pos="61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10795</wp:posOffset>
            </wp:positionV>
            <wp:extent cx="6172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27940</wp:posOffset>
            </wp:positionV>
            <wp:extent cx="6172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1367" w:lineRule="exact"/>
        <w:rPr>
          <w:sz w:val="20"/>
          <w:szCs w:val="20"/>
          <w:color w:val="auto"/>
        </w:rPr>
      </w:pPr>
    </w:p>
    <w:p>
      <w:pPr>
        <w:sectPr>
          <w:pgSz w:w="11900" w:h="16838" w:orient="portrait"/>
          <w:cols w:equalWidth="0" w:num="2">
            <w:col w:w="7320" w:space="261"/>
            <w:col w:w="3239"/>
          </w:cols>
          <w:pgMar w:left="240" w:top="460" w:right="839" w:bottom="1440" w:gutter="0" w:footer="0" w:header="0"/>
          <w:type w:val="continuous"/>
        </w:sectPr>
      </w:pPr>
    </w:p>
    <w:p>
      <w:pPr>
        <w:spacing w:after="0"/>
        <w:tabs>
          <w:tab w:leader="none" w:pos="146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5"/>
          <w:szCs w:val="15"/>
          <w:b w:val="1"/>
          <w:bCs w:val="1"/>
          <w:color w:val="auto"/>
        </w:rPr>
        <w:t>Persons controlled by or under common control with the Registrant</w:t>
      </w:r>
    </w:p>
    <w:p>
      <w:pPr>
        <w:spacing w:after="0" w:line="227"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Name of entity and place of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8890</wp:posOffset>
            </wp:positionV>
            <wp:extent cx="5505450" cy="1714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505450" cy="1714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PennantPark SBIC GP, LLC (Delaware)</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PennantPark SBIC GP II, LLC (Delaware)</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PennantPark SBIC LP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631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505450" cy="163195"/>
                    </a:xfrm>
                    <a:prstGeom prst="rect">
                      <a:avLst/>
                    </a:prstGeom>
                    <a:noFill/>
                  </pic:spPr>
                </pic:pic>
              </a:graphicData>
            </a:graphic>
          </wp:anchor>
        </w:drawing>
      </w:r>
    </w:p>
    <w:p>
      <w:pPr>
        <w:spacing w:after="0" w:line="3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PennantPark SBIC II LP (Delaware)</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PNNT Alabama Holdings Inc.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631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505450" cy="163195"/>
                    </a:xfrm>
                    <a:prstGeom prst="rect">
                      <a:avLst/>
                    </a:prstGeom>
                    <a:noFill/>
                  </pic:spPr>
                </pic:pic>
              </a:graphicData>
            </a:graphic>
          </wp:anchor>
        </w:drawing>
      </w:r>
    </w:p>
    <w:p>
      <w:pPr>
        <w:spacing w:after="0" w:line="3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PNNT Cascade Environmental Holdings, LLC (Delaware)</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PNNT CI (GALLS) Prime Investment Holdings, LLC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631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505450" cy="163195"/>
                    </a:xfrm>
                    <a:prstGeom prst="rect">
                      <a:avLst/>
                    </a:prstGeom>
                    <a:noFill/>
                  </pic:spPr>
                </pic:pic>
              </a:graphicData>
            </a:graphic>
          </wp:anchor>
        </w:drawing>
      </w:r>
    </w:p>
    <w:p>
      <w:pPr>
        <w:spacing w:after="0" w:line="3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PNNT ecoserve, LLC (Delaware)</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PNNT Investment Holdings, LLC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631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505450" cy="163195"/>
                    </a:xfrm>
                    <a:prstGeom prst="rect">
                      <a:avLst/>
                    </a:prstGeom>
                    <a:noFill/>
                  </pic:spPr>
                </pic:pic>
              </a:graphicData>
            </a:graphic>
          </wp:anchor>
        </w:drawing>
      </w:r>
    </w:p>
    <w:p>
      <w:pPr>
        <w:spacing w:after="0" w:line="3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PNNT New Gulf Resources, LLC (Delaware)</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PNNT Power Products Holdings, LLC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631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505450" cy="163195"/>
                    </a:xfrm>
                    <a:prstGeom prst="rect">
                      <a:avLst/>
                    </a:prstGeom>
                    <a:noFill/>
                  </pic:spPr>
                </pic:pic>
              </a:graphicData>
            </a:graphic>
          </wp:anchor>
        </w:drawing>
      </w:r>
    </w:p>
    <w:p>
      <w:pPr>
        <w:spacing w:after="0" w:line="3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RAM Energy Holdings, LLC (Delaware)</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Superior Digital Displays Holdings, Inc.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46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226" w:lineRule="exact"/>
        <w:rPr>
          <w:sz w:val="20"/>
          <w:szCs w:val="20"/>
          <w:color w:val="auto"/>
        </w:rPr>
      </w:pPr>
    </w:p>
    <w:p>
      <w:pPr>
        <w:ind w:left="340" w:hanging="332"/>
        <w:spacing w:after="0"/>
        <w:tabs>
          <w:tab w:leader="none" w:pos="340" w:val="left"/>
        </w:tabs>
        <w:numPr>
          <w:ilvl w:val="0"/>
          <w:numId w:val="121"/>
        </w:numPr>
        <w:rPr>
          <w:rFonts w:ascii="Arial" w:cs="Arial" w:eastAsia="Arial" w:hAnsi="Arial"/>
          <w:sz w:val="19"/>
          <w:szCs w:val="19"/>
          <w:color w:val="auto"/>
          <w:vertAlign w:val="superscript"/>
        </w:rPr>
      </w:pPr>
      <w:r>
        <w:rPr>
          <w:rFonts w:ascii="Arial" w:cs="Arial" w:eastAsia="Arial" w:hAnsi="Arial"/>
          <w:sz w:val="12"/>
          <w:szCs w:val="12"/>
          <w:color w:val="auto"/>
        </w:rPr>
        <w:t>The entity is directly owned 99% by us and 1% by PennantPark SBIC GP, LLC which is effectively wholly-owned by us.</w:t>
      </w:r>
    </w:p>
    <w:p>
      <w:pPr>
        <w:ind w:left="340" w:hanging="332"/>
        <w:spacing w:after="0" w:line="182" w:lineRule="auto"/>
        <w:tabs>
          <w:tab w:leader="none" w:pos="340" w:val="left"/>
        </w:tabs>
        <w:numPr>
          <w:ilvl w:val="0"/>
          <w:numId w:val="121"/>
        </w:numPr>
        <w:rPr>
          <w:rFonts w:ascii="Arial" w:cs="Arial" w:eastAsia="Arial" w:hAnsi="Arial"/>
          <w:sz w:val="17"/>
          <w:szCs w:val="17"/>
          <w:color w:val="auto"/>
          <w:vertAlign w:val="superscript"/>
        </w:rPr>
      </w:pPr>
      <w:r>
        <w:rPr>
          <w:rFonts w:ascii="Arial" w:cs="Arial" w:eastAsia="Arial" w:hAnsi="Arial"/>
          <w:sz w:val="11"/>
          <w:szCs w:val="11"/>
          <w:color w:val="auto"/>
        </w:rPr>
        <w:t>The entity is directly owned 99% by us and 1% by PennantPark SBIC GP II, LLC, which is effectively wholly-owned by us.</w:t>
      </w:r>
    </w:p>
    <w:p>
      <w:pPr>
        <w:ind w:left="340" w:hanging="332"/>
        <w:spacing w:after="0" w:line="182" w:lineRule="auto"/>
        <w:tabs>
          <w:tab w:leader="none" w:pos="340" w:val="left"/>
        </w:tabs>
        <w:numPr>
          <w:ilvl w:val="0"/>
          <w:numId w:val="121"/>
        </w:numPr>
        <w:rPr>
          <w:rFonts w:ascii="Arial" w:cs="Arial" w:eastAsia="Arial" w:hAnsi="Arial"/>
          <w:sz w:val="17"/>
          <w:szCs w:val="17"/>
          <w:color w:val="auto"/>
          <w:vertAlign w:val="superscript"/>
        </w:rPr>
      </w:pPr>
      <w:r>
        <w:rPr>
          <w:rFonts w:ascii="Arial" w:cs="Arial" w:eastAsia="Arial" w:hAnsi="Arial"/>
          <w:sz w:val="11"/>
          <w:szCs w:val="11"/>
          <w:color w:val="auto"/>
        </w:rPr>
        <w:t>This entity is not operational.</w:t>
      </w:r>
    </w:p>
    <w:p>
      <w:pPr>
        <w:ind w:left="340" w:hanging="332"/>
        <w:spacing w:after="0" w:line="185" w:lineRule="auto"/>
        <w:tabs>
          <w:tab w:leader="none" w:pos="340" w:val="left"/>
        </w:tabs>
        <w:numPr>
          <w:ilvl w:val="0"/>
          <w:numId w:val="121"/>
        </w:numPr>
        <w:rPr>
          <w:rFonts w:ascii="Arial" w:cs="Arial" w:eastAsia="Arial" w:hAnsi="Arial"/>
          <w:sz w:val="18"/>
          <w:szCs w:val="18"/>
          <w:color w:val="auto"/>
          <w:vertAlign w:val="superscript"/>
        </w:rPr>
      </w:pPr>
      <w:r>
        <w:rPr>
          <w:rFonts w:ascii="Arial" w:cs="Arial" w:eastAsia="Arial" w:hAnsi="Arial"/>
          <w:sz w:val="12"/>
          <w:szCs w:val="12"/>
          <w:color w:val="auto"/>
        </w:rPr>
        <w:t>This is a controlled affiliated investment.</w:t>
      </w:r>
    </w:p>
    <w:p>
      <w:pPr>
        <w:spacing w:after="0" w:line="12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jc w:val="center"/>
        <w:ind w:right="1620"/>
        <w:spacing w:after="0"/>
        <w:rPr>
          <w:sz w:val="20"/>
          <w:szCs w:val="20"/>
          <w:color w:val="auto"/>
        </w:rPr>
      </w:pPr>
      <w:r>
        <w:rPr>
          <w:rFonts w:ascii="Arial" w:cs="Arial" w:eastAsia="Arial" w:hAnsi="Arial"/>
          <w:sz w:val="12"/>
          <w:szCs w:val="12"/>
          <w:b w:val="1"/>
          <w:bCs w:val="1"/>
          <w:color w:val="auto"/>
        </w:rPr>
        <w:t>Voting Securities</w:t>
      </w:r>
    </w:p>
    <w:p>
      <w:pPr>
        <w:spacing w:after="0" w:line="25" w:lineRule="exact"/>
        <w:rPr>
          <w:sz w:val="20"/>
          <w:szCs w:val="20"/>
          <w:color w:val="auto"/>
        </w:rPr>
      </w:pPr>
    </w:p>
    <w:p>
      <w:pPr>
        <w:jc w:val="center"/>
        <w:ind w:right="1620"/>
        <w:spacing w:after="0"/>
        <w:rPr>
          <w:sz w:val="20"/>
          <w:szCs w:val="20"/>
          <w:color w:val="auto"/>
        </w:rPr>
      </w:pPr>
      <w:r>
        <w:rPr>
          <w:rFonts w:ascii="Arial" w:cs="Arial" w:eastAsia="Arial" w:hAnsi="Arial"/>
          <w:sz w:val="11"/>
          <w:szCs w:val="11"/>
          <w:b w:val="1"/>
          <w:bCs w:val="1"/>
          <w:u w:val="single" w:color="auto"/>
          <w:color w:val="auto"/>
        </w:rPr>
        <w:t>Owned Percentage</w:t>
      </w:r>
    </w:p>
    <w:p>
      <w:pPr>
        <w:spacing w:after="0" w:line="4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100%</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100%</w:t>
      </w:r>
    </w:p>
    <w:p>
      <w:pPr>
        <w:spacing w:after="0" w:line="50" w:lineRule="exact"/>
        <w:rPr>
          <w:sz w:val="20"/>
          <w:szCs w:val="20"/>
          <w:color w:val="auto"/>
        </w:rPr>
      </w:pPr>
    </w:p>
    <w:p>
      <w:pPr>
        <w:jc w:val="right"/>
        <w:ind w:right="1120"/>
        <w:spacing w:after="0"/>
        <w:tabs>
          <w:tab w:leader="none" w:pos="120" w:val="left"/>
        </w:tabs>
        <w:rPr>
          <w:sz w:val="20"/>
          <w:szCs w:val="20"/>
          <w:color w:val="auto"/>
        </w:rPr>
      </w:pPr>
      <w:r>
        <w:rPr>
          <w:rFonts w:ascii="Arial" w:cs="Arial" w:eastAsia="Arial" w:hAnsi="Arial"/>
          <w:sz w:val="18"/>
          <w:szCs w:val="18"/>
          <w:color w:val="auto"/>
        </w:rPr>
        <w:t>100%</w:t>
      </w:r>
      <w:r>
        <w:rPr>
          <w:sz w:val="20"/>
          <w:szCs w:val="20"/>
          <w:color w:val="auto"/>
        </w:rPr>
        <w:tab/>
      </w:r>
      <w:r>
        <w:rPr>
          <w:rFonts w:ascii="Arial" w:cs="Arial" w:eastAsia="Arial" w:hAnsi="Arial"/>
          <w:sz w:val="11"/>
          <w:szCs w:val="11"/>
          <w:color w:val="auto"/>
        </w:rPr>
        <w:t>(1)</w:t>
      </w:r>
    </w:p>
    <w:p>
      <w:pPr>
        <w:spacing w:after="0" w:line="50" w:lineRule="exact"/>
        <w:rPr>
          <w:sz w:val="20"/>
          <w:szCs w:val="20"/>
          <w:color w:val="auto"/>
        </w:rPr>
      </w:pPr>
    </w:p>
    <w:p>
      <w:pPr>
        <w:jc w:val="right"/>
        <w:ind w:right="1120"/>
        <w:spacing w:after="0"/>
        <w:tabs>
          <w:tab w:leader="none" w:pos="120" w:val="left"/>
        </w:tabs>
        <w:rPr>
          <w:sz w:val="20"/>
          <w:szCs w:val="20"/>
          <w:color w:val="auto"/>
        </w:rPr>
      </w:pPr>
      <w:r>
        <w:rPr>
          <w:rFonts w:ascii="Arial" w:cs="Arial" w:eastAsia="Arial" w:hAnsi="Arial"/>
          <w:sz w:val="18"/>
          <w:szCs w:val="18"/>
          <w:color w:val="auto"/>
        </w:rPr>
        <w:t>100%</w:t>
      </w:r>
      <w:r>
        <w:rPr>
          <w:sz w:val="20"/>
          <w:szCs w:val="20"/>
          <w:color w:val="auto"/>
        </w:rPr>
        <w:tab/>
      </w:r>
      <w:r>
        <w:rPr>
          <w:rFonts w:ascii="Arial" w:cs="Arial" w:eastAsia="Arial" w:hAnsi="Arial"/>
          <w:sz w:val="11"/>
          <w:szCs w:val="11"/>
          <w:color w:val="auto"/>
        </w:rPr>
        <w:t>(2)</w:t>
      </w:r>
    </w:p>
    <w:p>
      <w:pPr>
        <w:spacing w:after="0" w:line="50" w:lineRule="exact"/>
        <w:rPr>
          <w:sz w:val="20"/>
          <w:szCs w:val="20"/>
          <w:color w:val="auto"/>
        </w:rPr>
      </w:pPr>
    </w:p>
    <w:p>
      <w:pPr>
        <w:jc w:val="right"/>
        <w:ind w:right="1120"/>
        <w:spacing w:after="0"/>
        <w:tabs>
          <w:tab w:leader="none" w:pos="120" w:val="left"/>
        </w:tabs>
        <w:rPr>
          <w:sz w:val="20"/>
          <w:szCs w:val="20"/>
          <w:color w:val="auto"/>
        </w:rPr>
      </w:pPr>
      <w:r>
        <w:rPr>
          <w:rFonts w:ascii="Arial" w:cs="Arial" w:eastAsia="Arial" w:hAnsi="Arial"/>
          <w:sz w:val="18"/>
          <w:szCs w:val="18"/>
          <w:color w:val="auto"/>
        </w:rPr>
        <w:t>100%</w:t>
      </w:r>
      <w:r>
        <w:rPr>
          <w:sz w:val="20"/>
          <w:szCs w:val="20"/>
          <w:color w:val="auto"/>
        </w:rPr>
        <w:tab/>
      </w:r>
      <w:r>
        <w:rPr>
          <w:rFonts w:ascii="Arial" w:cs="Arial" w:eastAsia="Arial" w:hAnsi="Arial"/>
          <w:sz w:val="11"/>
          <w:szCs w:val="11"/>
          <w:color w:val="auto"/>
        </w:rPr>
        <w:t>(3)</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100%</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100%</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100%</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100%</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100%</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100%</w:t>
      </w:r>
    </w:p>
    <w:p>
      <w:pPr>
        <w:spacing w:after="0" w:line="50" w:lineRule="exact"/>
        <w:rPr>
          <w:sz w:val="20"/>
          <w:szCs w:val="20"/>
          <w:color w:val="auto"/>
        </w:rPr>
      </w:pPr>
    </w:p>
    <w:p>
      <w:pPr>
        <w:jc w:val="right"/>
        <w:ind w:right="1120"/>
        <w:spacing w:after="0"/>
        <w:tabs>
          <w:tab w:leader="none" w:pos="120" w:val="left"/>
        </w:tabs>
        <w:rPr>
          <w:sz w:val="20"/>
          <w:szCs w:val="20"/>
          <w:color w:val="auto"/>
        </w:rPr>
      </w:pPr>
      <w:r>
        <w:rPr>
          <w:rFonts w:ascii="Arial" w:cs="Arial" w:eastAsia="Arial" w:hAnsi="Arial"/>
          <w:sz w:val="18"/>
          <w:szCs w:val="18"/>
          <w:color w:val="auto"/>
        </w:rPr>
        <w:t>100%</w:t>
      </w:r>
      <w:r>
        <w:rPr>
          <w:sz w:val="20"/>
          <w:szCs w:val="20"/>
          <w:color w:val="auto"/>
        </w:rPr>
        <w:tab/>
      </w:r>
      <w:r>
        <w:rPr>
          <w:rFonts w:ascii="Arial" w:cs="Arial" w:eastAsia="Arial" w:hAnsi="Arial"/>
          <w:sz w:val="11"/>
          <w:szCs w:val="11"/>
          <w:color w:val="auto"/>
        </w:rPr>
        <w:t>(4)</w:t>
      </w:r>
    </w:p>
    <w:p>
      <w:pPr>
        <w:spacing w:after="0" w:line="36" w:lineRule="exact"/>
        <w:rPr>
          <w:sz w:val="20"/>
          <w:szCs w:val="20"/>
          <w:color w:val="auto"/>
        </w:rPr>
      </w:pPr>
    </w:p>
    <w:p>
      <w:pPr>
        <w:jc w:val="right"/>
        <w:ind w:right="1120"/>
        <w:spacing w:after="0"/>
        <w:tabs>
          <w:tab w:leader="none" w:pos="1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7"/>
          <w:szCs w:val="17"/>
          <w:color w:val="auto"/>
          <w:vertAlign w:val="superscript"/>
        </w:rPr>
        <w:t>(4)</w:t>
      </w:r>
    </w:p>
    <w:p>
      <w:pPr>
        <w:sectPr>
          <w:pgSz w:w="11900" w:h="16838" w:orient="portrait"/>
          <w:cols w:equalWidth="0" w:num="2">
            <w:col w:w="7400" w:space="720"/>
            <w:col w:w="2700"/>
          </w:cols>
          <w:pgMar w:left="240" w:top="460" w:right="839" w:bottom="1440" w:gutter="0" w:footer="0" w:header="0"/>
          <w:type w:val="continuous"/>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3300" w:type="dxa"/>
            <w:vAlign w:val="bottom"/>
          </w:tcPr>
          <w:p>
            <w:pPr>
              <w:ind w:left="760"/>
              <w:spacing w:after="0"/>
              <w:rPr>
                <w:sz w:val="20"/>
                <w:szCs w:val="20"/>
                <w:color w:val="auto"/>
              </w:rPr>
            </w:pPr>
            <w:r>
              <w:rPr>
                <w:rFonts w:ascii="Arial" w:cs="Arial" w:eastAsia="Arial" w:hAnsi="Arial"/>
                <w:sz w:val="18"/>
                <w:szCs w:val="18"/>
                <w:b w:val="1"/>
                <w:bCs w:val="1"/>
                <w:color w:val="auto"/>
              </w:rPr>
              <w:t>Number of holders of shares</w:t>
            </w:r>
          </w:p>
        </w:tc>
        <w:tc>
          <w:tcPr>
            <w:tcW w:w="424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540"/>
        </w:trPr>
        <w:tc>
          <w:tcPr>
            <w:tcW w:w="4020" w:type="dxa"/>
            <w:vAlign w:val="bottom"/>
            <w:gridSpan w:val="2"/>
          </w:tcPr>
          <w:p>
            <w:pPr>
              <w:ind w:left="580"/>
              <w:spacing w:after="0"/>
              <w:rPr>
                <w:sz w:val="20"/>
                <w:szCs w:val="20"/>
                <w:color w:val="auto"/>
              </w:rPr>
            </w:pPr>
            <w:r>
              <w:rPr>
                <w:rFonts w:ascii="Arial" w:cs="Arial" w:eastAsia="Arial" w:hAnsi="Arial"/>
                <w:sz w:val="18"/>
                <w:szCs w:val="18"/>
                <w:color w:val="auto"/>
              </w:rPr>
              <w:t>As of March 31, 2017</w:t>
            </w:r>
          </w:p>
        </w:tc>
        <w:tc>
          <w:tcPr>
            <w:tcW w:w="42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54"/>
        </w:trPr>
        <w:tc>
          <w:tcPr>
            <w:tcW w:w="7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jc w:val="center"/>
              <w:ind w:right="619"/>
              <w:spacing w:after="0"/>
              <w:rPr>
                <w:sz w:val="20"/>
                <w:szCs w:val="20"/>
                <w:color w:val="auto"/>
              </w:rPr>
            </w:pPr>
            <w:r>
              <w:rPr>
                <w:rFonts w:ascii="Arial" w:cs="Arial" w:eastAsia="Arial" w:hAnsi="Arial"/>
                <w:sz w:val="14"/>
                <w:szCs w:val="14"/>
                <w:b w:val="1"/>
                <w:bCs w:val="1"/>
                <w:color w:val="auto"/>
                <w:w w:val="87"/>
              </w:rPr>
              <w:t>Title of Class</w:t>
            </w:r>
          </w:p>
        </w:tc>
        <w:tc>
          <w:tcPr>
            <w:tcW w:w="4240" w:type="dxa"/>
            <w:vAlign w:val="bottom"/>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Number of Record Holders</w:t>
            </w:r>
          </w:p>
        </w:tc>
      </w:tr>
      <w:tr>
        <w:trPr>
          <w:trHeight w:val="209"/>
        </w:trPr>
        <w:tc>
          <w:tcPr>
            <w:tcW w:w="720" w:type="dxa"/>
            <w:vAlign w:val="bottom"/>
          </w:tcPr>
          <w:p>
            <w:pPr>
              <w:spacing w:after="0"/>
              <w:rPr>
                <w:sz w:val="18"/>
                <w:szCs w:val="18"/>
                <w:color w:val="auto"/>
              </w:rPr>
            </w:pPr>
          </w:p>
        </w:tc>
        <w:tc>
          <w:tcPr>
            <w:tcW w:w="3300" w:type="dxa"/>
            <w:vAlign w:val="bottom"/>
          </w:tcPr>
          <w:p>
            <w:pPr>
              <w:jc w:val="center"/>
              <w:ind w:right="619"/>
              <w:spacing w:after="0"/>
              <w:rPr>
                <w:sz w:val="20"/>
                <w:szCs w:val="20"/>
                <w:color w:val="auto"/>
              </w:rPr>
            </w:pPr>
            <w:r>
              <w:rPr>
                <w:rFonts w:ascii="Arial" w:cs="Arial" w:eastAsia="Arial" w:hAnsi="Arial"/>
                <w:sz w:val="18"/>
                <w:szCs w:val="18"/>
                <w:color w:val="auto"/>
                <w:w w:val="88"/>
              </w:rPr>
              <w:t>Common Stock, $0.001 par value</w:t>
            </w:r>
          </w:p>
        </w:tc>
        <w:tc>
          <w:tcPr>
            <w:tcW w:w="5920" w:type="dxa"/>
            <w:vAlign w:val="bottom"/>
            <w:gridSpan w:val="2"/>
          </w:tcPr>
          <w:p>
            <w:pPr>
              <w:jc w:val="right"/>
              <w:ind w:right="692"/>
              <w:spacing w:after="0" w:line="202" w:lineRule="exact"/>
              <w:rPr>
                <w:sz w:val="20"/>
                <w:szCs w:val="20"/>
                <w:color w:val="auto"/>
              </w:rPr>
            </w:pPr>
            <w:r>
              <w:rPr>
                <w:rFonts w:ascii="Arial" w:cs="Arial" w:eastAsia="Arial" w:hAnsi="Arial"/>
                <w:sz w:val="18"/>
                <w:szCs w:val="18"/>
                <w:color w:val="auto"/>
              </w:rPr>
              <w:t>12</w:t>
            </w:r>
          </w:p>
        </w:tc>
      </w:tr>
      <w:tr>
        <w:trPr>
          <w:trHeight w:val="356"/>
        </w:trPr>
        <w:tc>
          <w:tcPr>
            <w:tcW w:w="7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920" w:type="dxa"/>
            <w:vAlign w:val="bottom"/>
            <w:gridSpan w:val="2"/>
          </w:tcPr>
          <w:p>
            <w:pPr>
              <w:ind w:left="1560"/>
              <w:spacing w:after="0"/>
              <w:rPr>
                <w:sz w:val="20"/>
                <w:szCs w:val="20"/>
                <w:color w:val="auto"/>
              </w:rPr>
            </w:pPr>
            <w:r>
              <w:rPr>
                <w:rFonts w:ascii="Arial" w:cs="Arial" w:eastAsia="Arial" w:hAnsi="Arial"/>
                <w:sz w:val="18"/>
                <w:szCs w:val="18"/>
                <w:color w:val="auto"/>
              </w:rPr>
              <w:t>C-5</w:t>
            </w:r>
          </w:p>
        </w:tc>
      </w:tr>
    </w:tbl>
    <w:p>
      <w:pPr>
        <w:sectPr>
          <w:pgSz w:w="11900" w:h="16838" w:orient="portrait"/>
          <w:cols w:equalWidth="0" w:num="1">
            <w:col w:w="10219"/>
          </w:cols>
          <w:pgMar w:left="240" w:top="459" w:right="1440"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17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The information contained under the heading “Description of our Capital Stock —Limitation on Liability of Directors and Officers; Indemnification and Advance of Expenses” is incorporated herein by reference.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00"/>
          </w:cols>
          <w:pgMar w:left="240" w:top="460" w:right="3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Adviser</w:t>
      </w:r>
    </w:p>
    <w:p>
      <w:pPr>
        <w:spacing w:after="0" w:line="177" w:lineRule="exact"/>
        <w:rPr>
          <w:sz w:val="20"/>
          <w:szCs w:val="20"/>
          <w:color w:val="auto"/>
        </w:rPr>
      </w:pPr>
    </w:p>
    <w:p>
      <w:pPr>
        <w:jc w:val="both"/>
        <w:ind w:firstLine="571"/>
        <w:spacing w:after="0" w:line="298" w:lineRule="auto"/>
        <w:rPr>
          <w:sz w:val="20"/>
          <w:szCs w:val="20"/>
          <w:color w:val="auto"/>
        </w:rPr>
      </w:pPr>
      <w:r>
        <w:rPr>
          <w:rFonts w:ascii="Arial" w:cs="Arial" w:eastAsia="Arial" w:hAnsi="Arial"/>
          <w:sz w:val="16"/>
          <w:szCs w:val="16"/>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Adviser and its officers and directors is set forth in its Form ADV, as filed with the SEC (SEC File No. 801-67622), and is incorporated herein by reference.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360"/>
          </w:cols>
          <w:pgMar w:left="240" w:top="460" w:right="2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17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132" w:lineRule="exact"/>
        <w:rPr>
          <w:sz w:val="20"/>
          <w:szCs w:val="20"/>
          <w:color w:val="auto"/>
        </w:rPr>
      </w:pPr>
    </w:p>
    <w:p>
      <w:pPr>
        <w:ind w:left="820" w:hanging="241"/>
        <w:spacing w:after="0"/>
        <w:tabs>
          <w:tab w:leader="none" w:pos="8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Registrant, PennantPark Investment Corporation, 590 Madison Avenue, 15th Floor, New York, NY 10022;</w:t>
      </w:r>
    </w:p>
    <w:p>
      <w:pPr>
        <w:spacing w:after="0" w:line="171" w:lineRule="exact"/>
        <w:rPr>
          <w:rFonts w:ascii="Arial" w:cs="Arial" w:eastAsia="Arial" w:hAnsi="Arial"/>
          <w:sz w:val="18"/>
          <w:szCs w:val="18"/>
          <w:color w:val="auto"/>
        </w:rPr>
      </w:pPr>
    </w:p>
    <w:p>
      <w:pPr>
        <w:ind w:left="820" w:hanging="241"/>
        <w:spacing w:after="0"/>
        <w:tabs>
          <w:tab w:leader="none" w:pos="8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Transfer Agent, American Stock Transfer &amp; Trust Company, LLC, 6201 15th Avenue, Brooklyn, NY 11219;</w:t>
      </w:r>
    </w:p>
    <w:p>
      <w:pPr>
        <w:spacing w:after="0" w:line="171" w:lineRule="exact"/>
        <w:rPr>
          <w:rFonts w:ascii="Arial" w:cs="Arial" w:eastAsia="Arial" w:hAnsi="Arial"/>
          <w:sz w:val="18"/>
          <w:szCs w:val="18"/>
          <w:color w:val="auto"/>
        </w:rPr>
      </w:pPr>
    </w:p>
    <w:p>
      <w:pPr>
        <w:ind w:left="820" w:hanging="241"/>
        <w:spacing w:after="0"/>
        <w:tabs>
          <w:tab w:leader="none" w:pos="8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Custodian, The Bank of New York Mellon, One Wall Street, New York, NY 10286; and</w:t>
      </w:r>
    </w:p>
    <w:p>
      <w:pPr>
        <w:spacing w:after="0" w:line="171" w:lineRule="exact"/>
        <w:rPr>
          <w:rFonts w:ascii="Arial" w:cs="Arial" w:eastAsia="Arial" w:hAnsi="Arial"/>
          <w:sz w:val="18"/>
          <w:szCs w:val="18"/>
          <w:color w:val="auto"/>
        </w:rPr>
      </w:pPr>
    </w:p>
    <w:p>
      <w:pPr>
        <w:ind w:left="5580" w:right="1540" w:hanging="5001"/>
        <w:spacing w:after="0" w:line="440" w:lineRule="auto"/>
        <w:tabs>
          <w:tab w:leader="none" w:pos="82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Investment Adviser, PennantPark Investment Advisers, LLC, 590 Madison Avenue, 15th Floor, New York, NY 10022. C-8</w:t>
      </w:r>
    </w:p>
    <w:p>
      <w:pPr>
        <w:sectPr>
          <w:pgSz w:w="11900" w:h="16838" w:orient="portrait"/>
          <w:cols w:equalWidth="0" w:num="1">
            <w:col w:w="10960"/>
          </w:cols>
          <w:pgMar w:left="240" w:top="459" w:right="69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0219"/>
          </w:cols>
          <w:pgMar w:left="240" w:top="460" w:right="1440"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Registrant hereby undertakes:</w:t>
      </w:r>
    </w:p>
    <w:p>
      <w:pPr>
        <w:spacing w:after="0" w:line="171" w:lineRule="exact"/>
        <w:rPr>
          <w:sz w:val="20"/>
          <w:szCs w:val="20"/>
          <w:color w:val="auto"/>
        </w:rPr>
      </w:pPr>
    </w:p>
    <w:p>
      <w:pPr>
        <w:ind w:right="120" w:firstLine="579"/>
        <w:spacing w:after="0" w:line="259" w:lineRule="auto"/>
        <w:tabs>
          <w:tab w:leader="none" w:pos="81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suspend the offering of its units until it amends its prospectus if (a) subsequent to the effective date of its registration statement, the NAV declines more than 10 percent from its NAV as of the effective date of the Registration Statement or (b) the NAV increases to an amount greater than its net proceeds as stated in the prospectus;</w:t>
      </w:r>
    </w:p>
    <w:p>
      <w:pPr>
        <w:spacing w:after="0" w:line="140" w:lineRule="exact"/>
        <w:rPr>
          <w:rFonts w:ascii="Arial" w:cs="Arial" w:eastAsia="Arial" w:hAnsi="Arial"/>
          <w:sz w:val="18"/>
          <w:szCs w:val="18"/>
          <w:color w:val="auto"/>
        </w:rPr>
      </w:pPr>
    </w:p>
    <w:p>
      <w:pPr>
        <w:ind w:left="820" w:hanging="241"/>
        <w:spacing w:after="0"/>
        <w:tabs>
          <w:tab w:leader="none" w:pos="8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firstLine="579"/>
        <w:spacing w:after="0" w:line="294" w:lineRule="auto"/>
        <w:tabs>
          <w:tab w:leader="none" w:pos="81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(4)(a) to file, during any period in which offers or sales are being made, a post-effective amendment to the registration statement:</w:t>
      </w:r>
    </w:p>
    <w:p>
      <w:pPr>
        <w:spacing w:after="0" w:line="90" w:lineRule="exact"/>
        <w:rPr>
          <w:sz w:val="20"/>
          <w:szCs w:val="20"/>
          <w:color w:val="auto"/>
        </w:rPr>
      </w:pPr>
    </w:p>
    <w:p>
      <w:pPr>
        <w:ind w:left="1000" w:hanging="207"/>
        <w:spacing w:after="0"/>
        <w:tabs>
          <w:tab w:leader="none" w:pos="10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360" w:right="240" w:firstLine="433"/>
        <w:spacing w:after="0" w:line="357" w:lineRule="auto"/>
        <w:tabs>
          <w:tab w:leader="none" w:pos="1061" w:val="left"/>
        </w:tabs>
        <w:numPr>
          <w:ilvl w:val="2"/>
          <w:numId w:val="124"/>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ind w:left="360" w:right="180" w:firstLine="433"/>
        <w:spacing w:after="0" w:line="268" w:lineRule="auto"/>
        <w:tabs>
          <w:tab w:leader="none" w:pos="1110" w:val="left"/>
        </w:tabs>
        <w:numPr>
          <w:ilvl w:val="2"/>
          <w:numId w:val="12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1" w:lineRule="exact"/>
        <w:rPr>
          <w:rFonts w:ascii="Arial" w:cs="Arial" w:eastAsia="Arial" w:hAnsi="Arial"/>
          <w:sz w:val="18"/>
          <w:szCs w:val="18"/>
          <w:color w:val="auto"/>
        </w:rPr>
      </w:pPr>
    </w:p>
    <w:p>
      <w:pPr>
        <w:ind w:right="420" w:firstLine="579"/>
        <w:spacing w:after="0" w:line="268" w:lineRule="auto"/>
        <w:tabs>
          <w:tab w:leader="none" w:pos="81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file, in connection with any offering of securities, a post-effective amendment to the registration statement under Rule 462(d) to include as an exhibit a legal opinion regarding the validity of the securities being sold;</w:t>
      </w:r>
    </w:p>
    <w:p>
      <w:pPr>
        <w:spacing w:after="0" w:line="50" w:lineRule="exact"/>
        <w:rPr>
          <w:rFonts w:ascii="Arial" w:cs="Arial" w:eastAsia="Arial" w:hAnsi="Arial"/>
          <w:sz w:val="18"/>
          <w:szCs w:val="18"/>
          <w:color w:val="auto"/>
        </w:rPr>
      </w:pPr>
    </w:p>
    <w:p>
      <w:pPr>
        <w:ind w:left="360" w:right="400" w:firstLine="410"/>
        <w:spacing w:after="0" w:line="259" w:lineRule="auto"/>
        <w:tabs>
          <w:tab w:leader="none" w:pos="101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59" w:lineRule="exact"/>
        <w:rPr>
          <w:rFonts w:ascii="Arial" w:cs="Arial" w:eastAsia="Arial" w:hAnsi="Arial"/>
          <w:sz w:val="18"/>
          <w:szCs w:val="18"/>
          <w:color w:val="auto"/>
        </w:rPr>
      </w:pPr>
    </w:p>
    <w:p>
      <w:pPr>
        <w:ind w:left="360" w:right="100" w:firstLine="410"/>
        <w:spacing w:after="0" w:line="268" w:lineRule="auto"/>
        <w:tabs>
          <w:tab w:leader="none" w:pos="102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360"/>
          </w:cols>
          <w:pgMar w:left="240" w:top="459" w:right="2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20" w:firstLine="410"/>
        <w:spacing w:after="0" w:line="290" w:lineRule="auto"/>
        <w:tabs>
          <w:tab w:leader="none" w:pos="1018" w:val="left"/>
        </w:tabs>
        <w:numPr>
          <w:ilvl w:val="1"/>
          <w:numId w:val="126"/>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37" w:lineRule="exact"/>
        <w:rPr>
          <w:rFonts w:ascii="Arial" w:cs="Arial" w:eastAsia="Arial" w:hAnsi="Arial"/>
          <w:sz w:val="16"/>
          <w:szCs w:val="16"/>
          <w:color w:val="auto"/>
        </w:rPr>
      </w:pPr>
    </w:p>
    <w:p>
      <w:pPr>
        <w:ind w:left="360" w:right="120" w:firstLine="410"/>
        <w:spacing w:after="0" w:line="323" w:lineRule="auto"/>
        <w:tabs>
          <w:tab w:leader="none" w:pos="999" w:val="left"/>
        </w:tabs>
        <w:numPr>
          <w:ilvl w:val="1"/>
          <w:numId w:val="126"/>
        </w:numPr>
        <w:rPr>
          <w:rFonts w:ascii="Arial" w:cs="Arial" w:eastAsia="Arial" w:hAnsi="Arial"/>
          <w:sz w:val="15"/>
          <w:szCs w:val="15"/>
          <w:color w:val="auto"/>
        </w:rPr>
      </w:pPr>
      <w:r>
        <w:rPr>
          <w:rFonts w:ascii="Arial" w:cs="Arial" w:eastAsia="Arial" w:hAnsi="Arial"/>
          <w:sz w:val="15"/>
          <w:szCs w:val="15"/>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16" w:lineRule="exact"/>
        <w:rPr>
          <w:rFonts w:ascii="Arial" w:cs="Arial" w:eastAsia="Arial" w:hAnsi="Arial"/>
          <w:sz w:val="15"/>
          <w:szCs w:val="15"/>
          <w:color w:val="auto"/>
        </w:rPr>
      </w:pPr>
    </w:p>
    <w:p>
      <w:pPr>
        <w:ind w:left="360" w:right="160" w:firstLine="433"/>
        <w:spacing w:after="0" w:line="268" w:lineRule="auto"/>
        <w:tabs>
          <w:tab w:leader="none" w:pos="1012" w:val="left"/>
        </w:tabs>
        <w:numPr>
          <w:ilvl w:val="2"/>
          <w:numId w:val="12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497 under the Securities Act;</w:t>
      </w:r>
    </w:p>
    <w:p>
      <w:pPr>
        <w:spacing w:after="0" w:line="50" w:lineRule="exact"/>
        <w:rPr>
          <w:rFonts w:ascii="Arial" w:cs="Arial" w:eastAsia="Arial" w:hAnsi="Arial"/>
          <w:sz w:val="18"/>
          <w:szCs w:val="18"/>
          <w:color w:val="auto"/>
        </w:rPr>
      </w:pPr>
    </w:p>
    <w:p>
      <w:pPr>
        <w:ind w:left="360" w:right="220" w:firstLine="433"/>
        <w:spacing w:after="0" w:line="268" w:lineRule="auto"/>
        <w:tabs>
          <w:tab w:leader="none" w:pos="1061" w:val="left"/>
        </w:tabs>
        <w:numPr>
          <w:ilvl w:val="2"/>
          <w:numId w:val="126"/>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100" w:hanging="307"/>
        <w:spacing w:after="0"/>
        <w:tabs>
          <w:tab w:leader="none" w:pos="110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90" w:lineRule="exact"/>
        <w:rPr>
          <w:rFonts w:ascii="Arial" w:cs="Arial" w:eastAsia="Arial" w:hAnsi="Arial"/>
          <w:sz w:val="18"/>
          <w:szCs w:val="18"/>
          <w:color w:val="auto"/>
        </w:rPr>
      </w:pPr>
    </w:p>
    <w:p>
      <w:pPr>
        <w:ind w:left="360" w:right="60" w:firstLine="410"/>
        <w:spacing w:after="0" w:line="305" w:lineRule="auto"/>
        <w:tabs>
          <w:tab w:leader="none" w:pos="1028" w:val="left"/>
        </w:tabs>
        <w:numPr>
          <w:ilvl w:val="1"/>
          <w:numId w:val="126"/>
        </w:numPr>
        <w:rPr>
          <w:rFonts w:ascii="Arial" w:cs="Arial" w:eastAsia="Arial" w:hAnsi="Arial"/>
          <w:sz w:val="15"/>
          <w:szCs w:val="15"/>
          <w:color w:val="auto"/>
        </w:rPr>
      </w:pPr>
      <w:r>
        <w:rPr>
          <w:rFonts w:ascii="Arial" w:cs="Arial" w:eastAsia="Arial" w:hAnsi="Arial"/>
          <w:sz w:val="15"/>
          <w:szCs w:val="15"/>
          <w:color w:val="auto"/>
        </w:rPr>
        <w:t>to file a post-effective amendment to the registration statement, and to suspend any offers or sales pursuant the registration statement until such post-effective amendment has been declared effective under the Securities Act, in the event the shares of the Registrant are trading below its NAV and either</w:t>
      </w:r>
    </w:p>
    <w:p>
      <w:pPr>
        <w:ind w:left="360" w:right="140" w:hanging="10"/>
        <w:spacing w:after="0" w:line="254" w:lineRule="auto"/>
        <w:tabs>
          <w:tab w:leader="none" w:pos="59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Registrant receives, or has been advised by its independent registered accounting firm that it will receive, an audit report reflecting substantial doubt regarding the Registrant’s ability to continue as a going concern or (b) the Registrant has concluded that a material adverse change has occurred in its financial position or results of operations that has caused the financial statements and other disclosures on the basis of which the offering would be made to be materially misleading; and</w:t>
      </w:r>
    </w:p>
    <w:p>
      <w:pPr>
        <w:spacing w:after="0" w:line="144"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(5)(a) that for the purposes of determining any liability under the Securities Act, the information omitted from the form of prospectus filed as part of a registration statement in reliance upon Rule 430A and contained in the form of prospectus filed by the Registrant under Rule 497(h) under the Securities Act shall be deemed to be part of the Registration Statement as of the time it was declared effective; and</w:t>
      </w:r>
    </w:p>
    <w:p>
      <w:pPr>
        <w:spacing w:after="0" w:line="59" w:lineRule="exact"/>
        <w:rPr>
          <w:sz w:val="20"/>
          <w:szCs w:val="20"/>
          <w:color w:val="auto"/>
        </w:rPr>
      </w:pPr>
    </w:p>
    <w:p>
      <w:pPr>
        <w:ind w:left="360" w:right="20" w:firstLine="410"/>
        <w:spacing w:after="0" w:line="259" w:lineRule="auto"/>
        <w:tabs>
          <w:tab w:leader="none" w:pos="102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140" w:lineRule="exact"/>
        <w:rPr>
          <w:rFonts w:ascii="Arial" w:cs="Arial" w:eastAsia="Arial" w:hAnsi="Arial"/>
          <w:sz w:val="18"/>
          <w:szCs w:val="18"/>
          <w:color w:val="auto"/>
        </w:rPr>
      </w:pPr>
    </w:p>
    <w:p>
      <w:pPr>
        <w:ind w:left="820" w:hanging="241"/>
        <w:spacing w:after="0"/>
        <w:tabs>
          <w:tab w:leader="none" w:pos="8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right="60" w:firstLine="579"/>
        <w:spacing w:after="0" w:line="291" w:lineRule="auto"/>
        <w:tabs>
          <w:tab w:leader="none" w:pos="819"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to not seek to sell shares under a prospectus supplement to the registration statement, or a post-effective amendment to the registration statement, of which the prospectus forms a part (the “current registration statement”) if the cumulative dilution to the Registrant’s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If the Registrant files a new post-effective amendment, the threshold would reset.</w:t>
      </w:r>
    </w:p>
    <w:p>
      <w:pPr>
        <w:spacing w:after="0" w:line="120" w:lineRule="exact"/>
        <w:rPr>
          <w:rFonts w:ascii="Arial" w:cs="Arial" w:eastAsia="Arial" w:hAnsi="Arial"/>
          <w:sz w:val="16"/>
          <w:szCs w:val="16"/>
          <w:color w:val="auto"/>
        </w:rPr>
      </w:pPr>
    </w:p>
    <w:p>
      <w:pPr>
        <w:ind w:left="820" w:hanging="241"/>
        <w:spacing w:after="0"/>
        <w:tabs>
          <w:tab w:leader="none" w:pos="8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only offer units after a post-effective amendment to the registration statement relating to units has been declared effective.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80" w:firstLine="57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has duly caused this Amendment No. 1 to the Registration Statement on Form N-2 to be signed on its behalf by the undersigned, thereunto duly authorized, in the City of New York, and State of New York, on the 24th day of April 2017.</w:t>
      </w:r>
    </w:p>
    <w:p>
      <w:pPr>
        <w:spacing w:after="0" w:line="176" w:lineRule="exact"/>
        <w:rPr>
          <w:sz w:val="20"/>
          <w:szCs w:val="20"/>
          <w:color w:val="auto"/>
        </w:rPr>
      </w:pPr>
    </w:p>
    <w:tbl>
      <w:tblPr>
        <w:tblLayout w:type="fixed"/>
        <w:tblInd w:w="140" w:type="dxa"/>
        <w:tblCellMar>
          <w:top w:w="0" w:type="dxa"/>
          <w:left w:w="0" w:type="dxa"/>
          <w:bottom w:w="0" w:type="dxa"/>
          <w:right w:w="0" w:type="dxa"/>
        </w:tblCellMar>
      </w:tblPr>
      <w:tr>
        <w:trPr>
          <w:trHeight w:val="227"/>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r>
      <w:tr>
        <w:trPr>
          <w:trHeight w:val="171"/>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1"/>
              </w:rPr>
              <w:t>Arthur H. Penn</w:t>
            </w:r>
          </w:p>
        </w:tc>
      </w:tr>
      <w:tr>
        <w:trPr>
          <w:trHeight w:val="204"/>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 and Chairman of the</w:t>
            </w:r>
          </w:p>
        </w:tc>
      </w:tr>
      <w:tr>
        <w:trPr>
          <w:trHeight w:val="174"/>
        </w:trPr>
        <w:tc>
          <w:tcPr>
            <w:tcW w:w="420" w:type="dxa"/>
            <w:vAlign w:val="bottom"/>
          </w:tcPr>
          <w:p>
            <w:pPr>
              <w:spacing w:after="0"/>
              <w:rPr>
                <w:sz w:val="15"/>
                <w:szCs w:val="15"/>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Board</w:t>
            </w:r>
          </w:p>
        </w:tc>
      </w:tr>
    </w:tbl>
    <w:p>
      <w:pPr>
        <w:spacing w:after="0" w:line="154" w:lineRule="exact"/>
        <w:rPr>
          <w:sz w:val="20"/>
          <w:szCs w:val="20"/>
          <w:color w:val="auto"/>
        </w:rPr>
      </w:pPr>
    </w:p>
    <w:p>
      <w:pPr>
        <w:ind w:right="400" w:firstLine="571"/>
        <w:spacing w:after="0" w:line="268" w:lineRule="auto"/>
        <w:rPr>
          <w:sz w:val="20"/>
          <w:szCs w:val="20"/>
          <w:color w:val="auto"/>
        </w:rPr>
      </w:pPr>
      <w:r>
        <w:rPr>
          <w:rFonts w:ascii="Arial" w:cs="Arial" w:eastAsia="Arial" w:hAnsi="Arial"/>
          <w:sz w:val="18"/>
          <w:szCs w:val="18"/>
          <w:color w:val="auto"/>
        </w:rPr>
        <w:t>Pursuant to the requirements of the Securities Act of 1933, this Amendment No. 1 to the Registration Statement on Form N-2 has been signed by the following persons in the capacities set forth below on the 24th day of April 2017.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w:t>
            </w:r>
          </w:p>
        </w:tc>
        <w:tc>
          <w:tcPr>
            <w:tcW w:w="800" w:type="dxa"/>
            <w:vAlign w:val="bottom"/>
          </w:tcPr>
          <w:p>
            <w:pPr>
              <w:spacing w:after="0"/>
              <w:rPr>
                <w:sz w:val="15"/>
                <w:szCs w:val="15"/>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404"/>
        </w:trPr>
        <w:tc>
          <w:tcPr>
            <w:tcW w:w="5260" w:type="dxa"/>
            <w:vAlign w:val="bottom"/>
            <w:vMerge w:val="restart"/>
          </w:tcPr>
          <w:p>
            <w:pPr>
              <w:ind w:left="1560"/>
              <w:spacing w:after="0"/>
              <w:rPr>
                <w:sz w:val="20"/>
                <w:szCs w:val="20"/>
                <w:color w:val="auto"/>
              </w:rPr>
            </w:pPr>
            <w:r>
              <w:rPr>
                <w:rFonts w:ascii="Arial" w:cs="Arial" w:eastAsia="Arial" w:hAnsi="Arial"/>
                <w:sz w:val="18"/>
                <w:szCs w:val="18"/>
                <w:color w:val="auto"/>
              </w:rPr>
              <w:t>/S/  ARTHUR H. PENN</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Chief Executive Officer and Chairman of the Board of Directors (Principal</w:t>
            </w:r>
          </w:p>
        </w:tc>
        <w:tc>
          <w:tcPr>
            <w:tcW w:w="0" w:type="dxa"/>
            <w:vAlign w:val="bottom"/>
          </w:tcPr>
          <w:p>
            <w:pPr>
              <w:spacing w:after="0"/>
              <w:rPr>
                <w:sz w:val="1"/>
                <w:szCs w:val="1"/>
                <w:color w:val="auto"/>
              </w:rPr>
            </w:pPr>
          </w:p>
        </w:tc>
      </w:tr>
      <w:tr>
        <w:trPr>
          <w:trHeight w:val="92"/>
        </w:trPr>
        <w:tc>
          <w:tcPr>
            <w:tcW w:w="5260" w:type="dxa"/>
            <w:vAlign w:val="bottom"/>
            <w:tcBorders>
              <w:bottom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5360" w:type="dxa"/>
            <w:vAlign w:val="bottom"/>
            <w:vMerge w:val="restart"/>
          </w:tcPr>
          <w:p>
            <w:pPr>
              <w:jc w:val="center"/>
              <w:spacing w:after="0"/>
              <w:rPr>
                <w:sz w:val="20"/>
                <w:szCs w:val="20"/>
                <w:color w:val="auto"/>
              </w:rPr>
            </w:pPr>
            <w:r>
              <w:rPr>
                <w:rFonts w:ascii="Arial" w:cs="Arial" w:eastAsia="Arial" w:hAnsi="Arial"/>
                <w:sz w:val="18"/>
                <w:szCs w:val="18"/>
                <w:color w:val="auto"/>
                <w:w w:val="92"/>
              </w:rPr>
              <w:t>Executive Officer)</w:t>
            </w:r>
          </w:p>
        </w:tc>
        <w:tc>
          <w:tcPr>
            <w:tcW w:w="0" w:type="dxa"/>
            <w:vAlign w:val="bottom"/>
          </w:tcPr>
          <w:p>
            <w:pPr>
              <w:spacing w:after="0"/>
              <w:rPr>
                <w:sz w:val="1"/>
                <w:szCs w:val="1"/>
                <w:color w:val="auto"/>
              </w:rPr>
            </w:pPr>
          </w:p>
        </w:tc>
      </w:tr>
      <w:tr>
        <w:trPr>
          <w:trHeight w:val="115"/>
        </w:trPr>
        <w:tc>
          <w:tcPr>
            <w:tcW w:w="5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Arthur H. Penn</w:t>
            </w:r>
          </w:p>
        </w:tc>
        <w:tc>
          <w:tcPr>
            <w:tcW w:w="800" w:type="dxa"/>
            <w:vAlign w:val="bottom"/>
          </w:tcPr>
          <w:p>
            <w:pPr>
              <w:spacing w:after="0"/>
              <w:rPr>
                <w:sz w:val="10"/>
                <w:szCs w:val="10"/>
                <w:color w:val="auto"/>
              </w:rPr>
            </w:pPr>
          </w:p>
        </w:tc>
        <w:tc>
          <w:tcPr>
            <w:tcW w:w="5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526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5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1"/>
        </w:trPr>
        <w:tc>
          <w:tcPr>
            <w:tcW w:w="526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rPr>
              <w:t>/S/  AVIV EFRAT</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Chief Financial Officer and Treasurer (Principal Financial and Accounting</w:t>
            </w:r>
          </w:p>
        </w:tc>
        <w:tc>
          <w:tcPr>
            <w:tcW w:w="0" w:type="dxa"/>
            <w:vAlign w:val="bottom"/>
          </w:tcPr>
          <w:p>
            <w:pPr>
              <w:spacing w:after="0"/>
              <w:rPr>
                <w:sz w:val="1"/>
                <w:szCs w:val="1"/>
                <w:color w:val="auto"/>
              </w:rPr>
            </w:pPr>
          </w:p>
        </w:tc>
      </w:tr>
      <w:tr>
        <w:trPr>
          <w:trHeight w:val="224"/>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92"/>
              </w:rPr>
              <w:t>Aviv Efrat</w:t>
            </w:r>
          </w:p>
        </w:tc>
        <w:tc>
          <w:tcPr>
            <w:tcW w:w="800" w:type="dxa"/>
            <w:vAlign w:val="bottom"/>
          </w:tcPr>
          <w:p>
            <w:pPr>
              <w:spacing w:after="0"/>
              <w:rPr>
                <w:sz w:val="19"/>
                <w:szCs w:val="19"/>
                <w:color w:val="auto"/>
              </w:rPr>
            </w:pPr>
          </w:p>
        </w:tc>
        <w:tc>
          <w:tcPr>
            <w:tcW w:w="5360" w:type="dxa"/>
            <w:vAlign w:val="bottom"/>
          </w:tcPr>
          <w:p>
            <w:pPr>
              <w:jc w:val="center"/>
              <w:spacing w:after="0" w:line="202" w:lineRule="exact"/>
              <w:rPr>
                <w:sz w:val="20"/>
                <w:szCs w:val="20"/>
                <w:color w:val="auto"/>
              </w:rPr>
            </w:pPr>
            <w:r>
              <w:rPr>
                <w:rFonts w:ascii="Arial" w:cs="Arial" w:eastAsia="Arial" w:hAnsi="Arial"/>
                <w:sz w:val="18"/>
                <w:szCs w:val="18"/>
                <w:color w:val="auto"/>
                <w:w w:val="94"/>
              </w:rPr>
              <w:t>Officer)</w:t>
            </w:r>
          </w:p>
        </w:tc>
        <w:tc>
          <w:tcPr>
            <w:tcW w:w="0" w:type="dxa"/>
            <w:vAlign w:val="bottom"/>
          </w:tcPr>
          <w:p>
            <w:pPr>
              <w:spacing w:after="0"/>
              <w:rPr>
                <w:sz w:val="1"/>
                <w:szCs w:val="1"/>
                <w:color w:val="auto"/>
              </w:rPr>
            </w:pPr>
          </w:p>
        </w:tc>
      </w:tr>
      <w:tr>
        <w:trPr>
          <w:trHeight w:val="43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3"/>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89"/>
              </w:rPr>
              <w:t>Adam K. Bernstein</w:t>
            </w:r>
          </w:p>
        </w:tc>
        <w:tc>
          <w:tcPr>
            <w:tcW w:w="8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3"/>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88"/>
              </w:rPr>
              <w:t>Jeffrey Flug</w:t>
            </w:r>
          </w:p>
        </w:tc>
        <w:tc>
          <w:tcPr>
            <w:tcW w:w="8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3"/>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89"/>
              </w:rPr>
              <w:t>Marshall Brozost</w:t>
            </w:r>
          </w:p>
        </w:tc>
        <w:tc>
          <w:tcPr>
            <w:tcW w:w="8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3"/>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90"/>
              </w:rPr>
              <w:t>Samuel L. Katz</w:t>
            </w:r>
          </w:p>
        </w:tc>
        <w:tc>
          <w:tcPr>
            <w:tcW w:w="8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5540" w:right="2580" w:hanging="5532"/>
        <w:spacing w:after="0" w:line="440" w:lineRule="auto"/>
        <w:tabs>
          <w:tab w:leader="none" w:pos="14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Signed by Aviv Efrat on behalf of those identified pursuant to his designation as attorney-in-fact signed on March 21, 2017. C-12</w:t>
      </w:r>
    </w:p>
    <w:p>
      <w:pPr>
        <w:sectPr>
          <w:pgSz w:w="11900" w:h="16838" w:orient="portrait"/>
          <w:cols w:equalWidth="0" w:num="1">
            <w:col w:w="11420"/>
          </w:cols>
          <w:pgMar w:left="240" w:top="460"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(n)(l)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consent to use in this Pre-Effective Amendment No. 1 to the Registration Statement (No. 333-216852) on Form N-2 of PennantPark Investment Corporation and Subsidiaries of our reports dated November 21, 2016, relating to the consolidated financial statements and the effectiveness of internal control over financial reporting, appearing in the Prospectus, which is part of this Registration Statement, and of our report dated November 21, 2016, relating to the senior securities table appearing elsewhere in this Registration Statement.</w:t>
      </w:r>
    </w:p>
    <w:p>
      <w:pPr>
        <w:spacing w:after="0" w:line="143" w:lineRule="exact"/>
        <w:rPr>
          <w:sz w:val="20"/>
          <w:szCs w:val="20"/>
          <w:color w:val="auto"/>
        </w:rPr>
      </w:pPr>
    </w:p>
    <w:p>
      <w:pPr>
        <w:ind w:right="2080"/>
        <w:spacing w:after="0" w:line="391" w:lineRule="auto"/>
        <w:rPr>
          <w:sz w:val="20"/>
          <w:szCs w:val="20"/>
          <w:color w:val="auto"/>
        </w:rPr>
      </w:pPr>
      <w:r>
        <w:rPr>
          <w:rFonts w:ascii="Arial" w:cs="Arial" w:eastAsia="Arial" w:hAnsi="Arial"/>
          <w:sz w:val="18"/>
          <w:szCs w:val="18"/>
          <w:color w:val="auto"/>
        </w:rPr>
        <w:t>We also consent to the reference to our firm under the caption “Independent Registered Public Accounting Firm” in such Prospectus. /s/ RSM US LLP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24, 2017</w:t>
      </w:r>
    </w:p>
    <w:p>
      <w:pPr>
        <w:sectPr>
          <w:pgSz w:w="11900" w:h="16838" w:orient="portrait"/>
          <w:cols w:equalWidth="0" w:num="1">
            <w:col w:w="11420"/>
          </w:cols>
          <w:pgMar w:left="240" w:top="125"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(n)(2)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16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Our audit of the consolidated financial statements and internal control over financial reporting referred to in our reports dated November 21, 2016, (appearing in the accompanying registration statement on Form N-2) also included an audit of the senior securities table of PennantPark Investment Corporation and Subsidiaries (collectively, the Company) for the year ended September 30, 2016 appearing in this Registration Statement on Form N-2. This table is the responsibility of the Company’s management. Our responsibility is to express an opinion based on our audit of the consolidated financial statements.</w:t>
      </w:r>
    </w:p>
    <w:p>
      <w:pPr>
        <w:spacing w:after="0" w:line="11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our opinion, the senior securities table for the year ended September 30, 2016, when considered in relation to the basic consolidated financial statements taken as a whole, presents fairly in all material respects the information set forth therein.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21, 2016</w:t>
      </w:r>
    </w:p>
    <w:p>
      <w:pPr>
        <w:sectPr>
          <w:pgSz w:w="11900" w:h="16838" w:orient="portrait"/>
          <w:cols w:equalWidth="0" w:num="1">
            <w:col w:w="11420"/>
          </w:cols>
          <w:pgMar w:left="240" w:top="125"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(n)(3)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143510</wp:posOffset>
            </wp:positionV>
            <wp:extent cx="1320800" cy="1037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320800"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1185 Avenue of the Americas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Sixth Floor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10036</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April 24, 2017</w:t>
      </w:r>
    </w:p>
    <w:p>
      <w:pPr>
        <w:spacing w:after="0" w:line="90" w:lineRule="exact"/>
        <w:rPr>
          <w:sz w:val="20"/>
          <w:szCs w:val="20"/>
          <w:color w:val="auto"/>
        </w:rPr>
      </w:pPr>
    </w:p>
    <w:p>
      <w:pPr>
        <w:ind w:left="10120"/>
        <w:spacing w:after="0"/>
        <w:rPr>
          <w:sz w:val="20"/>
          <w:szCs w:val="20"/>
          <w:color w:val="auto"/>
        </w:rPr>
      </w:pPr>
      <w:r>
        <w:rPr>
          <w:rFonts w:ascii="Arial" w:cs="Arial" w:eastAsia="Arial" w:hAnsi="Arial"/>
          <w:sz w:val="15"/>
          <w:szCs w:val="15"/>
          <w:color w:val="auto"/>
        </w:rPr>
        <w:t>T +1212 372 1000</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 +1212 372 1001</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www.rsmus.com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165"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We have reviewed, in accordance with the standards of the Public Company Accounting Oversight Board (United States), the unaudited interim consolidated financial information of PennantPark Investment Corporation and Subsidiaries for the periods ended December 31, 2016 and 2015, as indicated in our report dated February, 8, 2017; because we did not perform an audit, we expressed no opinion on that information.</w:t>
      </w:r>
    </w:p>
    <w:p>
      <w:pPr>
        <w:spacing w:after="0" w:line="10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are aware that our report referred to above, which was included in your Quarterly Report on Form 10-Q for the quarter ended December 31, 2016, is being used in this Pre-Effective Amendment No. 1 to the Registration Statement on Form N-2.</w:t>
      </w:r>
    </w:p>
    <w:p>
      <w:pPr>
        <w:spacing w:after="0" w:line="13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6089015" cy="7804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89015" cy="78041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(n)(4)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w:t>
      </w:r>
    </w:p>
    <w:p>
      <w:pPr>
        <w:spacing w:after="0" w:line="17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hereby consent to the use in the Prospectus constituting a part of this Registration Statement of our report dated March 9, 2017, relating to the consolidated financial statements of RAM Energy Holdings LLC, which is contained in that Prospectus.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“Independent Auditor” in the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24, 2017</w:t>
      </w:r>
    </w:p>
    <w:p>
      <w:pPr>
        <w:sectPr>
          <w:pgSz w:w="11900" w:h="16838" w:orient="portrait"/>
          <w:cols w:equalWidth="0" w:num="1">
            <w:col w:w="11420"/>
          </w:cols>
          <w:pgMar w:left="240" w:top="125"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11430</wp:posOffset>
            </wp:positionV>
            <wp:extent cx="283210" cy="16033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83210"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380"/>
        <w:spacing w:after="0"/>
        <w:rPr>
          <w:sz w:val="20"/>
          <w:szCs w:val="20"/>
          <w:color w:val="auto"/>
        </w:rPr>
      </w:pPr>
      <w:r>
        <w:rPr>
          <w:rFonts w:ascii="Arial" w:cs="Arial" w:eastAsia="Arial" w:hAnsi="Arial"/>
          <w:sz w:val="29"/>
          <w:szCs w:val="29"/>
          <w:b w:val="1"/>
          <w:bCs w:val="1"/>
          <w:color w:val="auto"/>
        </w:rPr>
        <w:t>RAM ENERGY HOLDINGS LLC</w:t>
      </w:r>
    </w:p>
    <w:p>
      <w:pPr>
        <w:spacing w:after="0" w:line="189" w:lineRule="exact"/>
        <w:rPr>
          <w:sz w:val="20"/>
          <w:szCs w:val="20"/>
          <w:color w:val="auto"/>
        </w:rPr>
      </w:pPr>
    </w:p>
    <w:p>
      <w:pPr>
        <w:ind w:left="5380"/>
        <w:spacing w:after="0"/>
        <w:rPr>
          <w:sz w:val="20"/>
          <w:szCs w:val="20"/>
          <w:color w:val="auto"/>
        </w:rPr>
      </w:pPr>
      <w:r>
        <w:rPr>
          <w:rFonts w:ascii="Arial" w:cs="Arial" w:eastAsia="Arial" w:hAnsi="Arial"/>
          <w:sz w:val="25"/>
          <w:szCs w:val="25"/>
          <w:b w:val="1"/>
          <w:bCs w:val="1"/>
          <w:color w:val="auto"/>
        </w:rPr>
        <w:t>Consolidated Financial Statements</w:t>
      </w:r>
    </w:p>
    <w:p>
      <w:pPr>
        <w:spacing w:after="0" w:line="209"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As of and for the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469265</wp:posOffset>
            </wp:positionV>
            <wp:extent cx="283210" cy="38849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83210" cy="3884930"/>
                    </a:xfrm>
                    <a:prstGeom prst="rect">
                      <a:avLst/>
                    </a:prstGeom>
                    <a:noFill/>
                  </pic:spPr>
                </pic:pic>
              </a:graphicData>
            </a:graphic>
          </wp:anchor>
        </w:drawing>
        <w:drawing>
          <wp:anchor simplePos="0" relativeHeight="251657728" behindDoc="1" locked="0" layoutInCell="0" allowOverlap="1">
            <wp:simplePos x="0" y="0"/>
            <wp:positionH relativeFrom="column">
              <wp:posOffset>6308090</wp:posOffset>
            </wp:positionH>
            <wp:positionV relativeFrom="paragraph">
              <wp:posOffset>3651250</wp:posOffset>
            </wp:positionV>
            <wp:extent cx="943610" cy="3771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9436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1"/>
          <w:szCs w:val="11"/>
          <w:color w:val="1F497D"/>
        </w:rPr>
        <w:t>The report accompanying these financial statements was issued by</w:t>
      </w:r>
    </w:p>
    <w:p>
      <w:pPr>
        <w:spacing w:after="0" w:line="230" w:lineRule="auto"/>
        <w:rPr>
          <w:sz w:val="20"/>
          <w:szCs w:val="20"/>
          <w:color w:val="auto"/>
        </w:rPr>
      </w:pPr>
      <w:r>
        <w:rPr>
          <w:rFonts w:ascii="Arial" w:cs="Arial" w:eastAsia="Arial" w:hAnsi="Arial"/>
          <w:sz w:val="11"/>
          <w:szCs w:val="11"/>
          <w:color w:val="1F497D"/>
        </w:rPr>
        <w:t>BDO USA, LLP, a Delaware limited liability partnership and the U.S. member of</w:t>
      </w:r>
    </w:p>
    <w:p>
      <w:pPr>
        <w:spacing w:after="0"/>
        <w:rPr>
          <w:sz w:val="20"/>
          <w:szCs w:val="20"/>
          <w:color w:val="auto"/>
        </w:rPr>
      </w:pPr>
      <w:r>
        <w:rPr>
          <w:rFonts w:ascii="Arial" w:cs="Arial" w:eastAsia="Arial" w:hAnsi="Arial"/>
          <w:sz w:val="11"/>
          <w:szCs w:val="11"/>
          <w:color w:val="1F497D"/>
        </w:rPr>
        <w:t>BDO International Limited, a UK company limited by guarantee.</w:t>
      </w:r>
    </w:p>
    <w:p>
      <w:pPr>
        <w:sectPr>
          <w:pgSz w:w="11900" w:h="16838" w:orient="portrait"/>
          <w:cols w:equalWidth="0" w:num="1">
            <w:col w:w="11420"/>
          </w:cols>
          <w:pgMar w:left="240" w:top="118" w:right="239" w:bottom="1440" w:gutter="0" w:footer="0" w:header="0"/>
        </w:sectPr>
      </w:pPr>
    </w:p>
    <w:bookmarkStart w:id="193" w:name="page194"/>
    <w:bookmarkEnd w:id="1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28"/>
          <w:szCs w:val="28"/>
          <w:b w:val="1"/>
          <w:bCs w:val="1"/>
          <w:color w:val="auto"/>
        </w:rPr>
        <w:t>RAM ENERGY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52705</wp:posOffset>
            </wp:positionV>
            <wp:extent cx="7246620"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Consolidated Financial Statements</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As of and for the Year Ended December 31, 2016</w:t>
      </w:r>
    </w:p>
    <w:p>
      <w:pPr>
        <w:sectPr>
          <w:pgSz w:w="11900" w:h="16838" w:orient="portrait"/>
          <w:cols w:equalWidth="0" w:num="1">
            <w:col w:w="9019"/>
          </w:cols>
          <w:pgMar w:left="1440" w:top="1440" w:right="1440" w:bottom="1440" w:gutter="0" w:footer="0" w:header="0"/>
          <w:type w:val="continuous"/>
        </w:sectPr>
      </w:pPr>
    </w:p>
    <w:bookmarkStart w:id="194" w:name="page195"/>
    <w:bookmarkEnd w:id="194"/>
    <w:p>
      <w:pPr>
        <w:jc w:val="center"/>
        <w:ind w:right="-1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RAM Energy Holdings LLC</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918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9"/>
                <w:szCs w:val="19"/>
                <w:b w:val="1"/>
                <w:bCs w:val="1"/>
                <w:color w:val="auto"/>
              </w:rPr>
              <w:t>Page</w:t>
            </w:r>
          </w:p>
        </w:tc>
      </w:tr>
      <w:tr>
        <w:trPr>
          <w:trHeight w:val="392"/>
        </w:trPr>
        <w:tc>
          <w:tcPr>
            <w:tcW w:w="9180" w:type="dxa"/>
            <w:vAlign w:val="bottom"/>
          </w:tcPr>
          <w:p>
            <w:pPr>
              <w:spacing w:after="0"/>
              <w:rPr>
                <w:sz w:val="20"/>
                <w:szCs w:val="20"/>
                <w:color w:val="auto"/>
              </w:rPr>
            </w:pPr>
            <w:r>
              <w:rPr>
                <w:rFonts w:ascii="Arial" w:cs="Arial" w:eastAsia="Arial" w:hAnsi="Arial"/>
                <w:sz w:val="19"/>
                <w:szCs w:val="19"/>
                <w:b w:val="1"/>
                <w:bCs w:val="1"/>
                <w:color w:val="auto"/>
              </w:rPr>
              <w:t>Independent Auditor’s Report</w:t>
            </w:r>
          </w:p>
        </w:tc>
        <w:tc>
          <w:tcPr>
            <w:tcW w:w="2060" w:type="dxa"/>
            <w:vAlign w:val="bottom"/>
          </w:tcPr>
          <w:p>
            <w:pPr>
              <w:jc w:val="right"/>
              <w:spacing w:after="0"/>
              <w:rPr>
                <w:sz w:val="20"/>
                <w:szCs w:val="20"/>
                <w:color w:val="auto"/>
              </w:rPr>
            </w:pPr>
            <w:r>
              <w:rPr>
                <w:rFonts w:ascii="Arial" w:cs="Arial" w:eastAsia="Arial" w:hAnsi="Arial"/>
                <w:sz w:val="19"/>
                <w:szCs w:val="19"/>
                <w:b w:val="1"/>
                <w:bCs w:val="1"/>
                <w:color w:val="auto"/>
              </w:rPr>
              <w:t>3</w:t>
            </w:r>
          </w:p>
        </w:tc>
      </w:tr>
      <w:tr>
        <w:trPr>
          <w:trHeight w:val="376"/>
        </w:trPr>
        <w:tc>
          <w:tcPr>
            <w:tcW w:w="9180" w:type="dxa"/>
            <w:vAlign w:val="bottom"/>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2060" w:type="dxa"/>
            <w:vAlign w:val="bottom"/>
          </w:tcPr>
          <w:p>
            <w:pPr>
              <w:spacing w:after="0"/>
              <w:rPr>
                <w:sz w:val="24"/>
                <w:szCs w:val="24"/>
                <w:color w:val="auto"/>
              </w:rPr>
            </w:pPr>
          </w:p>
        </w:tc>
      </w:tr>
      <w:tr>
        <w:trPr>
          <w:trHeight w:val="396"/>
        </w:trPr>
        <w:tc>
          <w:tcPr>
            <w:tcW w:w="9180" w:type="dxa"/>
            <w:vAlign w:val="bottom"/>
          </w:tcPr>
          <w:p>
            <w:pPr>
              <w:ind w:left="200"/>
              <w:spacing w:after="0"/>
              <w:rPr>
                <w:sz w:val="20"/>
                <w:szCs w:val="20"/>
                <w:color w:val="auto"/>
              </w:rPr>
            </w:pPr>
            <w:r>
              <w:rPr>
                <w:rFonts w:ascii="Arial" w:cs="Arial" w:eastAsia="Arial" w:hAnsi="Arial"/>
                <w:sz w:val="20"/>
                <w:szCs w:val="20"/>
                <w:color w:val="auto"/>
              </w:rPr>
              <w:t>Consolidated Balance Sheet as of December 31, 2016</w:t>
            </w:r>
          </w:p>
        </w:tc>
        <w:tc>
          <w:tcPr>
            <w:tcW w:w="206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392"/>
        </w:trPr>
        <w:tc>
          <w:tcPr>
            <w:tcW w:w="9180" w:type="dxa"/>
            <w:vAlign w:val="bottom"/>
          </w:tcPr>
          <w:p>
            <w:pPr>
              <w:ind w:left="200"/>
              <w:spacing w:after="0"/>
              <w:rPr>
                <w:sz w:val="20"/>
                <w:szCs w:val="20"/>
                <w:color w:val="auto"/>
              </w:rPr>
            </w:pPr>
            <w:r>
              <w:rPr>
                <w:rFonts w:ascii="Arial" w:cs="Arial" w:eastAsia="Arial" w:hAnsi="Arial"/>
                <w:sz w:val="20"/>
                <w:szCs w:val="20"/>
                <w:color w:val="auto"/>
              </w:rPr>
              <w:t>Consolidated Statement of Operations for the Year Ended December 31, 2016</w:t>
            </w:r>
          </w:p>
        </w:tc>
        <w:tc>
          <w:tcPr>
            <w:tcW w:w="206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392"/>
        </w:trPr>
        <w:tc>
          <w:tcPr>
            <w:tcW w:w="9180" w:type="dxa"/>
            <w:vAlign w:val="bottom"/>
          </w:tcPr>
          <w:p>
            <w:pPr>
              <w:ind w:left="200"/>
              <w:spacing w:after="0"/>
              <w:rPr>
                <w:sz w:val="20"/>
                <w:szCs w:val="20"/>
                <w:color w:val="auto"/>
              </w:rPr>
            </w:pPr>
            <w:r>
              <w:rPr>
                <w:rFonts w:ascii="Arial" w:cs="Arial" w:eastAsia="Arial" w:hAnsi="Arial"/>
                <w:sz w:val="20"/>
                <w:szCs w:val="20"/>
                <w:color w:val="auto"/>
              </w:rPr>
              <w:t>Consolidated Statement of Member’s Deficit for the Year Ended December 31, 2016</w:t>
            </w:r>
          </w:p>
        </w:tc>
        <w:tc>
          <w:tcPr>
            <w:tcW w:w="20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392"/>
        </w:trPr>
        <w:tc>
          <w:tcPr>
            <w:tcW w:w="9180" w:type="dxa"/>
            <w:vAlign w:val="bottom"/>
          </w:tcPr>
          <w:p>
            <w:pPr>
              <w:ind w:left="200"/>
              <w:spacing w:after="0"/>
              <w:rPr>
                <w:sz w:val="20"/>
                <w:szCs w:val="20"/>
                <w:color w:val="auto"/>
              </w:rPr>
            </w:pPr>
            <w:r>
              <w:rPr>
                <w:rFonts w:ascii="Arial" w:cs="Arial" w:eastAsia="Arial" w:hAnsi="Arial"/>
                <w:sz w:val="20"/>
                <w:szCs w:val="20"/>
                <w:color w:val="auto"/>
              </w:rPr>
              <w:t>Consolidated Statement of Cash Flows for the Year Ended December 31, 2016</w:t>
            </w:r>
          </w:p>
        </w:tc>
        <w:tc>
          <w:tcPr>
            <w:tcW w:w="206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392"/>
        </w:trPr>
        <w:tc>
          <w:tcPr>
            <w:tcW w:w="9180" w:type="dxa"/>
            <w:vAlign w:val="bottom"/>
          </w:tcPr>
          <w:p>
            <w:pPr>
              <w:ind w:left="200"/>
              <w:spacing w:after="0"/>
              <w:rPr>
                <w:sz w:val="20"/>
                <w:szCs w:val="20"/>
                <w:color w:val="auto"/>
              </w:rPr>
            </w:pPr>
            <w:r>
              <w:rPr>
                <w:rFonts w:ascii="Arial" w:cs="Arial" w:eastAsia="Arial" w:hAnsi="Arial"/>
                <w:sz w:val="20"/>
                <w:szCs w:val="20"/>
                <w:color w:val="auto"/>
              </w:rPr>
              <w:t>Notes to Consolidated Financial Statements</w:t>
            </w:r>
          </w:p>
        </w:tc>
        <w:tc>
          <w:tcPr>
            <w:tcW w:w="2060" w:type="dxa"/>
            <w:vAlign w:val="bottom"/>
          </w:tcPr>
          <w:p>
            <w:pPr>
              <w:jc w:val="right"/>
              <w:spacing w:after="0"/>
              <w:rPr>
                <w:sz w:val="20"/>
                <w:szCs w:val="20"/>
                <w:color w:val="auto"/>
              </w:rPr>
            </w:pPr>
            <w:r>
              <w:rPr>
                <w:rFonts w:ascii="Arial" w:cs="Arial" w:eastAsia="Arial" w:hAnsi="Arial"/>
                <w:sz w:val="20"/>
                <w:szCs w:val="20"/>
                <w:color w:val="auto"/>
              </w:rPr>
              <w:t>8 -18</w:t>
            </w:r>
          </w:p>
        </w:tc>
      </w:tr>
      <w:tr>
        <w:trPr>
          <w:trHeight w:val="363"/>
        </w:trPr>
        <w:tc>
          <w:tcPr>
            <w:tcW w:w="9180" w:type="dxa"/>
            <w:vAlign w:val="bottom"/>
          </w:tcPr>
          <w:p>
            <w:pPr>
              <w:ind w:left="5660"/>
              <w:spacing w:after="0"/>
              <w:rPr>
                <w:sz w:val="20"/>
                <w:szCs w:val="20"/>
                <w:color w:val="auto"/>
              </w:rPr>
            </w:pPr>
            <w:r>
              <w:rPr>
                <w:rFonts w:ascii="Arial" w:cs="Arial" w:eastAsia="Arial" w:hAnsi="Arial"/>
                <w:sz w:val="19"/>
                <w:szCs w:val="19"/>
                <w:b w:val="1"/>
                <w:bCs w:val="1"/>
                <w:color w:val="auto"/>
              </w:rPr>
              <w:t>2</w:t>
            </w:r>
          </w:p>
        </w:tc>
        <w:tc>
          <w:tcPr>
            <w:tcW w:w="2060" w:type="dxa"/>
            <w:vAlign w:val="bottom"/>
          </w:tcPr>
          <w:p>
            <w:pPr>
              <w:spacing w:after="0"/>
              <w:rPr>
                <w:sz w:val="24"/>
                <w:szCs w:val="24"/>
                <w:color w:val="auto"/>
              </w:rPr>
            </w:pPr>
          </w:p>
        </w:tc>
      </w:tr>
    </w:tbl>
    <w:p>
      <w:pPr>
        <w:sectPr>
          <w:pgSz w:w="11900" w:h="16838" w:orient="portrait"/>
          <w:cols w:equalWidth="0" w:num="1">
            <w:col w:w="11240"/>
          </w:cols>
          <w:pgMar w:left="240" w:top="258" w:right="419" w:bottom="1440" w:gutter="0" w:footer="0" w:header="0"/>
        </w:sectPr>
      </w:pPr>
    </w:p>
    <w:bookmarkStart w:id="195" w:name="page196"/>
    <w:bookmarkEnd w:id="195"/>
    <w:p>
      <w:pPr>
        <w:ind w:left="3340"/>
        <w:spacing w:after="0"/>
        <w:tabs>
          <w:tab w:leader="none" w:pos="3740" w:val="left"/>
        </w:tabs>
        <w:rPr>
          <w:sz w:val="20"/>
          <w:szCs w:val="20"/>
          <w:color w:val="auto"/>
        </w:rPr>
      </w:pPr>
      <w:r>
        <w:rPr>
          <w:rFonts w:ascii="Arial" w:cs="Arial" w:eastAsia="Arial" w:hAnsi="Arial"/>
          <w:sz w:val="14"/>
          <w:szCs w:val="14"/>
          <w:color w:val="685040"/>
        </w:rPr>
        <w:drawing>
          <wp:anchor simplePos="0" relativeHeight="251657728" behindDoc="1" locked="0" layoutInCell="0" allowOverlap="1">
            <wp:simplePos x="0" y="0"/>
            <wp:positionH relativeFrom="page">
              <wp:posOffset>157480</wp:posOffset>
            </wp:positionH>
            <wp:positionV relativeFrom="page">
              <wp:posOffset>183515</wp:posOffset>
            </wp:positionV>
            <wp:extent cx="917575" cy="3517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917575" cy="351790"/>
                    </a:xfrm>
                    <a:prstGeom prst="rect">
                      <a:avLst/>
                    </a:prstGeom>
                    <a:noFill/>
                  </pic:spPr>
                </pic:pic>
              </a:graphicData>
            </a:graphic>
          </wp:anchor>
        </w:drawing>
        <w:t>Tel:</w:t>
        <w:tab/>
        <w:t>713-960-1706</w:t>
      </w:r>
    </w:p>
    <w:p>
      <w:pPr>
        <w:spacing w:after="0" w:line="15" w:lineRule="exact"/>
        <w:rPr>
          <w:sz w:val="20"/>
          <w:szCs w:val="20"/>
          <w:color w:val="auto"/>
        </w:rPr>
      </w:pPr>
    </w:p>
    <w:p>
      <w:pPr>
        <w:ind w:left="3340"/>
        <w:spacing w:after="0"/>
        <w:tabs>
          <w:tab w:leader="none" w:pos="3720" w:val="left"/>
        </w:tabs>
        <w:rPr>
          <w:sz w:val="20"/>
          <w:szCs w:val="20"/>
          <w:color w:val="auto"/>
        </w:rPr>
      </w:pPr>
      <w:r>
        <w:rPr>
          <w:rFonts w:ascii="Arial" w:cs="Arial" w:eastAsia="Arial" w:hAnsi="Arial"/>
          <w:sz w:val="14"/>
          <w:szCs w:val="14"/>
          <w:color w:val="685040"/>
        </w:rPr>
        <w:t>Fax:</w:t>
        <w:tab/>
        <w:t>713-960-9549</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4"/>
          <w:szCs w:val="14"/>
          <w:b w:val="1"/>
          <w:bCs w:val="1"/>
          <w:color w:val="685040"/>
        </w:rPr>
        <w:t>www.bdo.com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685040"/>
        </w:rPr>
        <w:t>2929 Allen Parkway, 20th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-198755</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685040"/>
        </w:rPr>
        <w:t>Houston, TX 77019</w:t>
      </w:r>
    </w:p>
    <w:p>
      <w:pPr>
        <w:spacing w:after="0" w:line="372" w:lineRule="exact"/>
        <w:rPr>
          <w:sz w:val="20"/>
          <w:szCs w:val="20"/>
          <w:color w:val="auto"/>
        </w:rPr>
      </w:pPr>
    </w:p>
    <w:p>
      <w:pPr>
        <w:sectPr>
          <w:pgSz w:w="11900" w:h="16838" w:orient="portrait"/>
          <w:cols w:equalWidth="0" w:num="2">
            <w:col w:w="5680" w:space="720"/>
            <w:col w:w="5020"/>
          </w:cols>
          <w:pgMar w:left="240" w:top="293" w:right="23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Independent Auditor’s Report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rPr>
          <w:sz w:val="20"/>
          <w:szCs w:val="20"/>
          <w:color w:val="auto"/>
        </w:rPr>
      </w:pPr>
      <w:r>
        <w:rPr>
          <w:rFonts w:ascii="Arial" w:cs="Arial" w:eastAsia="Arial" w:hAnsi="Arial"/>
          <w:sz w:val="18"/>
          <w:szCs w:val="18"/>
          <w:color w:val="auto"/>
        </w:rPr>
        <w:t>RAM Energy Holdings LLC</w:t>
      </w:r>
    </w:p>
    <w:p>
      <w:pPr>
        <w:spacing w:after="0" w:line="14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We have audited the accompanying consolidated financial statements of RAM Energy Holdings LLC and Subsidiary (the “Company”), which comprise the consolidated balance sheet as of December 31, 2016, and the related consolidated statements of operations, member’s deficit, and cash flows for the year then ended, and the related notes to the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Management’s Responsibility for the Consolidated Financial Statements</w:t>
      </w:r>
    </w:p>
    <w:p>
      <w:pPr>
        <w:spacing w:after="0" w:line="20" w:lineRule="exact"/>
        <w:rPr>
          <w:sz w:val="20"/>
          <w:szCs w:val="20"/>
          <w:color w:val="auto"/>
        </w:rPr>
      </w:pPr>
    </w:p>
    <w:p>
      <w:pPr>
        <w:jc w:val="both"/>
        <w:spacing w:after="0"/>
        <w:rPr>
          <w:sz w:val="20"/>
          <w:szCs w:val="20"/>
          <w:color w:val="auto"/>
        </w:rPr>
      </w:pPr>
      <w:r>
        <w:rPr>
          <w:rFonts w:ascii="Arial" w:cs="Arial" w:eastAsia="Arial" w:hAnsi="Arial"/>
          <w:sz w:val="19"/>
          <w:szCs w:val="19"/>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Auditor’s Responsibility</w:t>
      </w:r>
    </w:p>
    <w:p>
      <w:pPr>
        <w:spacing w:after="0" w:line="20" w:lineRule="exact"/>
        <w:rPr>
          <w:sz w:val="20"/>
          <w:szCs w:val="20"/>
          <w:color w:val="auto"/>
        </w:rPr>
      </w:pPr>
    </w:p>
    <w:p>
      <w:pPr>
        <w:jc w:val="both"/>
        <w:spacing w:after="0"/>
        <w:rPr>
          <w:sz w:val="20"/>
          <w:szCs w:val="20"/>
          <w:color w:val="auto"/>
        </w:rPr>
      </w:pPr>
      <w:r>
        <w:rPr>
          <w:rFonts w:ascii="Arial" w:cs="Arial" w:eastAsia="Arial" w:hAnsi="Arial"/>
          <w:sz w:val="19"/>
          <w:szCs w:val="19"/>
          <w:color w:val="auto"/>
        </w:rPr>
        <w:t>Our responsibility is to express an opinion on these consolidated financial statements based on our audit. We conducted our audit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44" w:lineRule="exact"/>
        <w:rPr>
          <w:sz w:val="20"/>
          <w:szCs w:val="20"/>
          <w:color w:val="auto"/>
        </w:rPr>
      </w:pPr>
    </w:p>
    <w:p>
      <w:pPr>
        <w:ind w:right="1320"/>
        <w:spacing w:after="0" w:line="311" w:lineRule="auto"/>
        <w:rPr>
          <w:sz w:val="20"/>
          <w:szCs w:val="20"/>
          <w:color w:val="auto"/>
        </w:rPr>
      </w:pPr>
      <w:r>
        <w:rPr>
          <w:rFonts w:ascii="Arial" w:cs="Arial" w:eastAsia="Arial" w:hAnsi="Arial"/>
          <w:sz w:val="19"/>
          <w:szCs w:val="19"/>
          <w:color w:val="auto"/>
        </w:rPr>
        <w:t xml:space="preserve">We believe that the audit evidence we have obtained is sufficient and appropriate to provide a basis for our audit opinion. </w:t>
      </w:r>
      <w:r>
        <w:rPr>
          <w:rFonts w:ascii="Arial" w:cs="Arial" w:eastAsia="Arial" w:hAnsi="Arial"/>
          <w:sz w:val="19"/>
          <w:szCs w:val="19"/>
          <w:b w:val="1"/>
          <w:bCs w:val="1"/>
          <w:i w:val="1"/>
          <w:iCs w:val="1"/>
          <w:color w:val="auto"/>
        </w:rPr>
        <w:t>Opinion</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In our opinion, the consolidated financial statements referred to above present fairly, in all material respects, the financial position of RAM Energy Holdings LLC and Subsidiary as of December 31, 2016, and the results of their operations and their cash flows for the year then ended, in accordance with accounting principles generally accepted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500505" cy="3175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50050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March 9, 2017</w:t>
      </w:r>
    </w:p>
    <w:p>
      <w:pPr>
        <w:spacing w:after="0"/>
        <w:rPr>
          <w:sz w:val="20"/>
          <w:szCs w:val="20"/>
          <w:color w:val="auto"/>
        </w:rPr>
      </w:pPr>
      <w:r>
        <w:rPr>
          <w:rFonts w:ascii="Arial" w:cs="Arial" w:eastAsia="Arial" w:hAnsi="Arial"/>
          <w:sz w:val="19"/>
          <w:szCs w:val="19"/>
          <w:color w:val="auto"/>
        </w:rPr>
        <w:t>Houston, Texas</w:t>
      </w:r>
    </w:p>
    <w:p>
      <w:pPr>
        <w:spacing w:after="0" w:line="138" w:lineRule="exact"/>
        <w:rPr>
          <w:sz w:val="20"/>
          <w:szCs w:val="20"/>
          <w:color w:val="auto"/>
        </w:rPr>
      </w:pPr>
    </w:p>
    <w:p>
      <w:pPr>
        <w:spacing w:after="0"/>
        <w:rPr>
          <w:sz w:val="20"/>
          <w:szCs w:val="20"/>
          <w:color w:val="auto"/>
        </w:rPr>
      </w:pPr>
      <w:r>
        <w:rPr>
          <w:rFonts w:ascii="Arial" w:cs="Arial" w:eastAsia="Arial" w:hAnsi="Arial"/>
          <w:sz w:val="11"/>
          <w:szCs w:val="11"/>
          <w:color w:val="685040"/>
        </w:rPr>
        <w:t>BDO USA, LLP, a Delaware limited liability partnership, is the U.S. member of BDO International Limited, a UK company limited by guarantee, and forms part of the international BDO network of independent member firms.</w:t>
      </w:r>
    </w:p>
    <w:p>
      <w:pPr>
        <w:spacing w:after="0" w:line="103" w:lineRule="exact"/>
        <w:rPr>
          <w:sz w:val="20"/>
          <w:szCs w:val="20"/>
          <w:color w:val="auto"/>
        </w:rPr>
      </w:pPr>
    </w:p>
    <w:p>
      <w:pPr>
        <w:spacing w:after="0"/>
        <w:rPr>
          <w:sz w:val="20"/>
          <w:szCs w:val="20"/>
          <w:color w:val="auto"/>
        </w:rPr>
      </w:pPr>
      <w:r>
        <w:rPr>
          <w:rFonts w:ascii="Arial" w:cs="Arial" w:eastAsia="Arial" w:hAnsi="Arial"/>
          <w:sz w:val="11"/>
          <w:szCs w:val="11"/>
          <w:color w:val="685040"/>
        </w:rPr>
        <w:t>BDO is the brand name for the BDO network and for each of the BDO Member Firms.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3</w:t>
      </w:r>
    </w:p>
    <w:p>
      <w:pPr>
        <w:sectPr>
          <w:pgSz w:w="11900" w:h="16838" w:orient="portrait"/>
          <w:cols w:equalWidth="0" w:num="1">
            <w:col w:w="11420"/>
          </w:cols>
          <w:pgMar w:left="240" w:top="293" w:right="239" w:bottom="1440" w:gutter="0" w:footer="0" w:header="0"/>
          <w:type w:val="continuous"/>
        </w:sectPr>
      </w:pPr>
    </w:p>
    <w:bookmarkStart w:id="196" w:name="page197"/>
    <w:bookmarkEnd w:id="1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52705</wp:posOffset>
            </wp:positionV>
            <wp:extent cx="7246620"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336"/>
        </w:trPr>
        <w:tc>
          <w:tcPr>
            <w:tcW w:w="8620" w:type="dxa"/>
            <w:vAlign w:val="bottom"/>
          </w:tcPr>
          <w:p>
            <w:pPr>
              <w:ind w:left="4120"/>
              <w:spacing w:after="0"/>
              <w:rPr>
                <w:sz w:val="20"/>
                <w:szCs w:val="20"/>
                <w:color w:val="auto"/>
              </w:rPr>
            </w:pPr>
            <w:r>
              <w:rPr>
                <w:rFonts w:ascii="Arial" w:cs="Arial" w:eastAsia="Arial" w:hAnsi="Arial"/>
                <w:sz w:val="25"/>
                <w:szCs w:val="25"/>
                <w:b w:val="1"/>
                <w:bCs w:val="1"/>
                <w:color w:val="auto"/>
              </w:rPr>
              <w:t>RAM Energy Holdings LLC</w:t>
            </w: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58"/>
        </w:trPr>
        <w:tc>
          <w:tcPr>
            <w:tcW w:w="8620" w:type="dxa"/>
            <w:vAlign w:val="bottom"/>
            <w:tcBorders>
              <w:bottom w:val="single" w:sz="8" w:color="auto"/>
            </w:tcBorders>
          </w:tcPr>
          <w:p>
            <w:pPr>
              <w:ind w:left="4260"/>
              <w:spacing w:after="0"/>
              <w:rPr>
                <w:sz w:val="20"/>
                <w:szCs w:val="20"/>
                <w:color w:val="auto"/>
              </w:rPr>
            </w:pPr>
            <w:r>
              <w:rPr>
                <w:rFonts w:ascii="Arial" w:cs="Arial" w:eastAsia="Arial" w:hAnsi="Arial"/>
                <w:sz w:val="22"/>
                <w:szCs w:val="22"/>
                <w:b w:val="1"/>
                <w:bCs w:val="1"/>
                <w:color w:val="auto"/>
              </w:rPr>
              <w:t>Consolidated Balance Sheet</w:t>
            </w:r>
          </w:p>
        </w:tc>
        <w:tc>
          <w:tcPr>
            <w:tcW w:w="15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473"/>
        </w:trPr>
        <w:tc>
          <w:tcPr>
            <w:tcW w:w="862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i w:val="1"/>
                <w:iCs w:val="1"/>
                <w:color w:val="auto"/>
              </w:rPr>
              <w:t>December 31,</w:t>
            </w:r>
          </w:p>
        </w:tc>
        <w:tc>
          <w:tcPr>
            <w:tcW w:w="15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65"/>
              <w:spacing w:after="0"/>
              <w:rPr>
                <w:sz w:val="20"/>
                <w:szCs w:val="20"/>
                <w:color w:val="auto"/>
              </w:rPr>
            </w:pPr>
            <w:r>
              <w:rPr>
                <w:rFonts w:ascii="Arial" w:cs="Arial" w:eastAsia="Arial" w:hAnsi="Arial"/>
                <w:sz w:val="19"/>
                <w:szCs w:val="19"/>
                <w:b w:val="1"/>
                <w:bCs w:val="1"/>
                <w:color w:val="auto"/>
              </w:rPr>
              <w:t>2016</w:t>
            </w:r>
          </w:p>
        </w:tc>
      </w:tr>
      <w:tr>
        <w:trPr>
          <w:trHeight w:val="88"/>
        </w:trPr>
        <w:tc>
          <w:tcPr>
            <w:tcW w:w="86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300" w:type="dxa"/>
            <w:vAlign w:val="bottom"/>
          </w:tcPr>
          <w:p>
            <w:pPr>
              <w:spacing w:after="0"/>
              <w:rPr>
                <w:sz w:val="7"/>
                <w:szCs w:val="7"/>
                <w:color w:val="auto"/>
              </w:rPr>
            </w:pPr>
          </w:p>
        </w:tc>
      </w:tr>
      <w:tr>
        <w:trPr>
          <w:trHeight w:val="216"/>
        </w:trPr>
        <w:tc>
          <w:tcPr>
            <w:tcW w:w="8620" w:type="dxa"/>
            <w:vAlign w:val="bottom"/>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Assets</w:t>
            </w:r>
          </w:p>
        </w:tc>
        <w:tc>
          <w:tcPr>
            <w:tcW w:w="1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351"/>
        </w:trPr>
        <w:tc>
          <w:tcPr>
            <w:tcW w:w="8620" w:type="dxa"/>
            <w:vAlign w:val="bottom"/>
          </w:tcPr>
          <w:p>
            <w:pPr>
              <w:ind w:left="100"/>
              <w:spacing w:after="0"/>
              <w:rPr>
                <w:sz w:val="20"/>
                <w:szCs w:val="20"/>
                <w:color w:val="auto"/>
              </w:rPr>
            </w:pPr>
            <w:r>
              <w:rPr>
                <w:rFonts w:ascii="Arial" w:cs="Arial" w:eastAsia="Arial" w:hAnsi="Arial"/>
                <w:sz w:val="19"/>
                <w:szCs w:val="19"/>
                <w:b w:val="1"/>
                <w:bCs w:val="1"/>
                <w:color w:val="auto"/>
              </w:rPr>
              <w:t>Current Assets</w:t>
            </w: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8620" w:type="dxa"/>
            <w:vAlign w:val="bottom"/>
            <w:shd w:val="clear" w:color="auto" w:fill="CCEEFF"/>
          </w:tcPr>
          <w:p>
            <w:pPr>
              <w:ind w:left="300"/>
              <w:spacing w:after="0" w:line="216" w:lineRule="exact"/>
              <w:rPr>
                <w:sz w:val="20"/>
                <w:szCs w:val="20"/>
                <w:color w:val="auto"/>
              </w:rPr>
            </w:pPr>
            <w:r>
              <w:rPr>
                <w:rFonts w:ascii="Arial" w:cs="Arial" w:eastAsia="Arial" w:hAnsi="Arial"/>
                <w:sz w:val="19"/>
                <w:szCs w:val="19"/>
                <w:color w:val="auto"/>
              </w:rPr>
              <w:t>Cash and cash equivalents</w:t>
            </w:r>
          </w:p>
        </w:tc>
        <w:tc>
          <w:tcPr>
            <w:tcW w:w="1500" w:type="dxa"/>
            <w:vAlign w:val="bottom"/>
            <w:shd w:val="clear" w:color="auto" w:fill="CCEEFF"/>
          </w:tcPr>
          <w:p>
            <w:pPr>
              <w:jc w:val="right"/>
              <w:ind w:right="5"/>
              <w:spacing w:after="0" w:line="216" w:lineRule="exact"/>
              <w:rPr>
                <w:sz w:val="20"/>
                <w:szCs w:val="20"/>
                <w:color w:val="auto"/>
              </w:rPr>
            </w:pPr>
            <w:r>
              <w:rPr>
                <w:rFonts w:ascii="Arial" w:cs="Arial" w:eastAsia="Arial" w:hAnsi="Arial"/>
                <w:sz w:val="19"/>
                <w:szCs w:val="19"/>
                <w:color w:val="auto"/>
              </w:rPr>
              <w:t>$</w:t>
            </w:r>
          </w:p>
        </w:tc>
        <w:tc>
          <w:tcPr>
            <w:tcW w:w="1300" w:type="dxa"/>
            <w:vAlign w:val="bottom"/>
            <w:shd w:val="clear" w:color="auto" w:fill="CCEEFF"/>
          </w:tcPr>
          <w:p>
            <w:pPr>
              <w:jc w:val="right"/>
              <w:ind w:right="85"/>
              <w:spacing w:after="0" w:line="216" w:lineRule="exact"/>
              <w:rPr>
                <w:sz w:val="20"/>
                <w:szCs w:val="20"/>
                <w:color w:val="auto"/>
              </w:rPr>
            </w:pPr>
            <w:r>
              <w:rPr>
                <w:rFonts w:ascii="Arial" w:cs="Arial" w:eastAsia="Arial" w:hAnsi="Arial"/>
                <w:sz w:val="19"/>
                <w:szCs w:val="19"/>
                <w:color w:val="auto"/>
              </w:rPr>
              <w:t>398,834</w:t>
            </w:r>
          </w:p>
        </w:tc>
      </w:tr>
      <w:tr>
        <w:trPr>
          <w:trHeight w:val="216"/>
        </w:trPr>
        <w:tc>
          <w:tcPr>
            <w:tcW w:w="8620" w:type="dxa"/>
            <w:vAlign w:val="bottom"/>
          </w:tcPr>
          <w:p>
            <w:pPr>
              <w:ind w:left="300"/>
              <w:spacing w:after="0" w:line="216" w:lineRule="exact"/>
              <w:rPr>
                <w:sz w:val="20"/>
                <w:szCs w:val="20"/>
                <w:color w:val="auto"/>
              </w:rPr>
            </w:pPr>
            <w:r>
              <w:rPr>
                <w:rFonts w:ascii="Arial" w:cs="Arial" w:eastAsia="Arial" w:hAnsi="Arial"/>
                <w:sz w:val="19"/>
                <w:szCs w:val="19"/>
                <w:color w:val="auto"/>
              </w:rPr>
              <w:t>Accounts receivable, net</w:t>
            </w:r>
          </w:p>
        </w:tc>
        <w:tc>
          <w:tcPr>
            <w:tcW w:w="1500" w:type="dxa"/>
            <w:vAlign w:val="bottom"/>
          </w:tcPr>
          <w:p>
            <w:pPr>
              <w:spacing w:after="0"/>
              <w:rPr>
                <w:sz w:val="18"/>
                <w:szCs w:val="18"/>
                <w:color w:val="auto"/>
              </w:rPr>
            </w:pPr>
          </w:p>
        </w:tc>
        <w:tc>
          <w:tcPr>
            <w:tcW w:w="1300" w:type="dxa"/>
            <w:vAlign w:val="bottom"/>
          </w:tcPr>
          <w:p>
            <w:pPr>
              <w:jc w:val="right"/>
              <w:ind w:right="85"/>
              <w:spacing w:after="0" w:line="216" w:lineRule="exact"/>
              <w:rPr>
                <w:sz w:val="20"/>
                <w:szCs w:val="20"/>
                <w:color w:val="auto"/>
              </w:rPr>
            </w:pPr>
            <w:r>
              <w:rPr>
                <w:rFonts w:ascii="Arial" w:cs="Arial" w:eastAsia="Arial" w:hAnsi="Arial"/>
                <w:sz w:val="19"/>
                <w:szCs w:val="19"/>
                <w:color w:val="auto"/>
              </w:rPr>
              <w:t>1,426,907</w:t>
            </w:r>
          </w:p>
        </w:tc>
      </w:tr>
      <w:tr>
        <w:trPr>
          <w:trHeight w:val="216"/>
        </w:trPr>
        <w:tc>
          <w:tcPr>
            <w:tcW w:w="8620" w:type="dxa"/>
            <w:vAlign w:val="bottom"/>
            <w:shd w:val="clear" w:color="auto" w:fill="CCEEFF"/>
          </w:tcPr>
          <w:p>
            <w:pPr>
              <w:ind w:left="300"/>
              <w:spacing w:after="0" w:line="216" w:lineRule="exact"/>
              <w:rPr>
                <w:sz w:val="20"/>
                <w:szCs w:val="20"/>
                <w:color w:val="auto"/>
              </w:rPr>
            </w:pPr>
            <w:r>
              <w:rPr>
                <w:rFonts w:ascii="Arial" w:cs="Arial" w:eastAsia="Arial" w:hAnsi="Arial"/>
                <w:sz w:val="19"/>
                <w:szCs w:val="19"/>
                <w:color w:val="auto"/>
              </w:rPr>
              <w:t>Prepaid expenses</w:t>
            </w:r>
          </w:p>
        </w:tc>
        <w:tc>
          <w:tcPr>
            <w:tcW w:w="1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5"/>
              <w:spacing w:after="0" w:line="216" w:lineRule="exact"/>
              <w:rPr>
                <w:sz w:val="20"/>
                <w:szCs w:val="20"/>
                <w:color w:val="auto"/>
              </w:rPr>
            </w:pPr>
            <w:r>
              <w:rPr>
                <w:rFonts w:ascii="Arial" w:cs="Arial" w:eastAsia="Arial" w:hAnsi="Arial"/>
                <w:sz w:val="19"/>
                <w:szCs w:val="19"/>
                <w:color w:val="auto"/>
              </w:rPr>
              <w:t>215,670</w:t>
            </w:r>
          </w:p>
        </w:tc>
      </w:tr>
      <w:tr>
        <w:trPr>
          <w:trHeight w:val="216"/>
        </w:trPr>
        <w:tc>
          <w:tcPr>
            <w:tcW w:w="8620" w:type="dxa"/>
            <w:vAlign w:val="bottom"/>
            <w:tcBorders>
              <w:bottom w:val="single" w:sz="8" w:color="auto"/>
            </w:tcBorders>
          </w:tcPr>
          <w:p>
            <w:pPr>
              <w:ind w:left="300"/>
              <w:spacing w:after="0" w:line="216" w:lineRule="exact"/>
              <w:rPr>
                <w:sz w:val="20"/>
                <w:szCs w:val="20"/>
                <w:color w:val="auto"/>
              </w:rPr>
            </w:pPr>
            <w:r>
              <w:rPr>
                <w:rFonts w:ascii="Arial" w:cs="Arial" w:eastAsia="Arial" w:hAnsi="Arial"/>
                <w:sz w:val="19"/>
                <w:szCs w:val="19"/>
                <w:color w:val="auto"/>
              </w:rPr>
              <w:t>Other current assets</w:t>
            </w:r>
          </w:p>
        </w:tc>
        <w:tc>
          <w:tcPr>
            <w:tcW w:w="1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5"/>
              <w:spacing w:after="0" w:line="216" w:lineRule="exact"/>
              <w:rPr>
                <w:sz w:val="20"/>
                <w:szCs w:val="20"/>
                <w:color w:val="auto"/>
              </w:rPr>
            </w:pPr>
            <w:r>
              <w:rPr>
                <w:rFonts w:ascii="Arial" w:cs="Arial" w:eastAsia="Arial" w:hAnsi="Arial"/>
                <w:sz w:val="19"/>
                <w:szCs w:val="19"/>
                <w:color w:val="auto"/>
              </w:rPr>
              <w:t>24,458</w:t>
            </w:r>
          </w:p>
        </w:tc>
      </w:tr>
      <w:tr>
        <w:trPr>
          <w:trHeight w:val="88"/>
        </w:trPr>
        <w:tc>
          <w:tcPr>
            <w:tcW w:w="86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300" w:type="dxa"/>
            <w:vAlign w:val="bottom"/>
          </w:tcPr>
          <w:p>
            <w:pPr>
              <w:spacing w:after="0"/>
              <w:rPr>
                <w:sz w:val="7"/>
                <w:szCs w:val="7"/>
                <w:color w:val="auto"/>
              </w:rPr>
            </w:pPr>
          </w:p>
        </w:tc>
      </w:tr>
      <w:tr>
        <w:trPr>
          <w:trHeight w:val="216"/>
        </w:trPr>
        <w:tc>
          <w:tcPr>
            <w:tcW w:w="8620" w:type="dxa"/>
            <w:vAlign w:val="bottom"/>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Total Current Assets</w:t>
            </w:r>
          </w:p>
        </w:tc>
        <w:tc>
          <w:tcPr>
            <w:tcW w:w="1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5"/>
              <w:spacing w:after="0" w:line="216" w:lineRule="exact"/>
              <w:rPr>
                <w:sz w:val="20"/>
                <w:szCs w:val="20"/>
                <w:color w:val="auto"/>
              </w:rPr>
            </w:pPr>
            <w:r>
              <w:rPr>
                <w:rFonts w:ascii="Arial" w:cs="Arial" w:eastAsia="Arial" w:hAnsi="Arial"/>
                <w:sz w:val="19"/>
                <w:szCs w:val="19"/>
                <w:color w:val="auto"/>
              </w:rPr>
              <w:t>2,065,869</w:t>
            </w:r>
          </w:p>
        </w:tc>
      </w:tr>
      <w:tr>
        <w:trPr>
          <w:trHeight w:val="351"/>
        </w:trPr>
        <w:tc>
          <w:tcPr>
            <w:tcW w:w="8620" w:type="dxa"/>
            <w:vAlign w:val="bottom"/>
          </w:tcPr>
          <w:p>
            <w:pPr>
              <w:ind w:left="100"/>
              <w:spacing w:after="0"/>
              <w:rPr>
                <w:sz w:val="20"/>
                <w:szCs w:val="20"/>
                <w:color w:val="auto"/>
              </w:rPr>
            </w:pPr>
            <w:r>
              <w:rPr>
                <w:rFonts w:ascii="Arial" w:cs="Arial" w:eastAsia="Arial" w:hAnsi="Arial"/>
                <w:sz w:val="19"/>
                <w:szCs w:val="19"/>
                <w:b w:val="1"/>
                <w:bCs w:val="1"/>
                <w:color w:val="auto"/>
              </w:rPr>
              <w:t>Property and Equipment, at Cost</w:t>
            </w: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8620" w:type="dxa"/>
            <w:vAlign w:val="bottom"/>
            <w:shd w:val="clear" w:color="auto" w:fill="CCEEFF"/>
          </w:tcPr>
          <w:p>
            <w:pPr>
              <w:ind w:left="300"/>
              <w:spacing w:after="0" w:line="216" w:lineRule="exact"/>
              <w:rPr>
                <w:sz w:val="20"/>
                <w:szCs w:val="20"/>
                <w:color w:val="auto"/>
              </w:rPr>
            </w:pPr>
            <w:r>
              <w:rPr>
                <w:rFonts w:ascii="Arial" w:cs="Arial" w:eastAsia="Arial" w:hAnsi="Arial"/>
                <w:sz w:val="19"/>
                <w:szCs w:val="19"/>
                <w:color w:val="auto"/>
              </w:rPr>
              <w:t>Proved oil and natural gas properties and equipment, using full cost accounting</w:t>
            </w:r>
          </w:p>
        </w:tc>
        <w:tc>
          <w:tcPr>
            <w:tcW w:w="1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5"/>
              <w:spacing w:after="0" w:line="216" w:lineRule="exact"/>
              <w:rPr>
                <w:sz w:val="20"/>
                <w:szCs w:val="20"/>
                <w:color w:val="auto"/>
              </w:rPr>
            </w:pPr>
            <w:r>
              <w:rPr>
                <w:rFonts w:ascii="Arial" w:cs="Arial" w:eastAsia="Arial" w:hAnsi="Arial"/>
                <w:sz w:val="19"/>
                <w:szCs w:val="19"/>
                <w:color w:val="auto"/>
              </w:rPr>
              <w:t>51,406,595</w:t>
            </w:r>
          </w:p>
        </w:tc>
      </w:tr>
      <w:tr>
        <w:trPr>
          <w:trHeight w:val="216"/>
        </w:trPr>
        <w:tc>
          <w:tcPr>
            <w:tcW w:w="8620" w:type="dxa"/>
            <w:vAlign w:val="bottom"/>
          </w:tcPr>
          <w:p>
            <w:pPr>
              <w:ind w:left="300"/>
              <w:spacing w:after="0" w:line="216" w:lineRule="exact"/>
              <w:rPr>
                <w:sz w:val="20"/>
                <w:szCs w:val="20"/>
                <w:color w:val="auto"/>
              </w:rPr>
            </w:pPr>
            <w:r>
              <w:rPr>
                <w:rFonts w:ascii="Arial" w:cs="Arial" w:eastAsia="Arial" w:hAnsi="Arial"/>
                <w:sz w:val="19"/>
                <w:szCs w:val="19"/>
                <w:color w:val="auto"/>
              </w:rPr>
              <w:t>Unproved oil and natural gas properties</w:t>
            </w:r>
          </w:p>
        </w:tc>
        <w:tc>
          <w:tcPr>
            <w:tcW w:w="1500" w:type="dxa"/>
            <w:vAlign w:val="bottom"/>
          </w:tcPr>
          <w:p>
            <w:pPr>
              <w:spacing w:after="0"/>
              <w:rPr>
                <w:sz w:val="18"/>
                <w:szCs w:val="18"/>
                <w:color w:val="auto"/>
              </w:rPr>
            </w:pPr>
          </w:p>
        </w:tc>
        <w:tc>
          <w:tcPr>
            <w:tcW w:w="1300" w:type="dxa"/>
            <w:vAlign w:val="bottom"/>
          </w:tcPr>
          <w:p>
            <w:pPr>
              <w:jc w:val="right"/>
              <w:ind w:right="85"/>
              <w:spacing w:after="0" w:line="216" w:lineRule="exact"/>
              <w:rPr>
                <w:sz w:val="20"/>
                <w:szCs w:val="20"/>
                <w:color w:val="auto"/>
              </w:rPr>
            </w:pPr>
            <w:r>
              <w:rPr>
                <w:rFonts w:ascii="Arial" w:cs="Arial" w:eastAsia="Arial" w:hAnsi="Arial"/>
                <w:sz w:val="19"/>
                <w:szCs w:val="19"/>
                <w:color w:val="auto"/>
              </w:rPr>
              <w:t>4,419,979</w:t>
            </w:r>
          </w:p>
        </w:tc>
      </w:tr>
      <w:tr>
        <w:trPr>
          <w:trHeight w:val="216"/>
        </w:trPr>
        <w:tc>
          <w:tcPr>
            <w:tcW w:w="8620" w:type="dxa"/>
            <w:vAlign w:val="bottom"/>
            <w:tcBorders>
              <w:bottom w:val="single" w:sz="8" w:color="auto"/>
            </w:tcBorders>
            <w:shd w:val="clear" w:color="auto" w:fill="CCEEFF"/>
          </w:tcPr>
          <w:p>
            <w:pPr>
              <w:ind w:left="300"/>
              <w:spacing w:after="0" w:line="216" w:lineRule="exact"/>
              <w:rPr>
                <w:sz w:val="20"/>
                <w:szCs w:val="20"/>
                <w:color w:val="auto"/>
              </w:rPr>
            </w:pPr>
            <w:r>
              <w:rPr>
                <w:rFonts w:ascii="Arial" w:cs="Arial" w:eastAsia="Arial" w:hAnsi="Arial"/>
                <w:sz w:val="19"/>
                <w:szCs w:val="19"/>
                <w:color w:val="auto"/>
              </w:rPr>
              <w:t>Other property and equipment</w:t>
            </w:r>
          </w:p>
        </w:tc>
        <w:tc>
          <w:tcPr>
            <w:tcW w:w="15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85"/>
              <w:spacing w:after="0" w:line="216" w:lineRule="exact"/>
              <w:rPr>
                <w:sz w:val="20"/>
                <w:szCs w:val="20"/>
                <w:color w:val="auto"/>
              </w:rPr>
            </w:pPr>
            <w:r>
              <w:rPr>
                <w:rFonts w:ascii="Arial" w:cs="Arial" w:eastAsia="Arial" w:hAnsi="Arial"/>
                <w:sz w:val="19"/>
                <w:szCs w:val="19"/>
                <w:color w:val="auto"/>
              </w:rPr>
              <w:t>402,543</w:t>
            </w:r>
          </w:p>
        </w:tc>
      </w:tr>
      <w:tr>
        <w:trPr>
          <w:trHeight w:val="210"/>
        </w:trPr>
        <w:tc>
          <w:tcPr>
            <w:tcW w:w="8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00" w:type="dxa"/>
            <w:vAlign w:val="bottom"/>
          </w:tcPr>
          <w:p>
            <w:pPr>
              <w:jc w:val="right"/>
              <w:ind w:right="85"/>
              <w:spacing w:after="0" w:line="210" w:lineRule="exact"/>
              <w:rPr>
                <w:sz w:val="20"/>
                <w:szCs w:val="20"/>
                <w:color w:val="auto"/>
              </w:rPr>
            </w:pPr>
            <w:r>
              <w:rPr>
                <w:rFonts w:ascii="Arial" w:cs="Arial" w:eastAsia="Arial" w:hAnsi="Arial"/>
                <w:sz w:val="19"/>
                <w:szCs w:val="19"/>
                <w:color w:val="auto"/>
              </w:rPr>
              <w:t>56,229,117</w:t>
            </w:r>
          </w:p>
        </w:tc>
      </w:tr>
      <w:tr>
        <w:trPr>
          <w:trHeight w:val="216"/>
        </w:trPr>
        <w:tc>
          <w:tcPr>
            <w:tcW w:w="8620" w:type="dxa"/>
            <w:vAlign w:val="bottom"/>
            <w:tcBorders>
              <w:bottom w:val="single" w:sz="8" w:color="auto"/>
            </w:tcBorders>
            <w:shd w:val="clear" w:color="auto" w:fill="CCEEFF"/>
          </w:tcPr>
          <w:p>
            <w:pPr>
              <w:ind w:left="300"/>
              <w:spacing w:after="0" w:line="216" w:lineRule="exact"/>
              <w:rPr>
                <w:sz w:val="20"/>
                <w:szCs w:val="20"/>
                <w:color w:val="auto"/>
              </w:rPr>
            </w:pPr>
            <w:r>
              <w:rPr>
                <w:rFonts w:ascii="Arial" w:cs="Arial" w:eastAsia="Arial" w:hAnsi="Arial"/>
                <w:sz w:val="19"/>
                <w:szCs w:val="19"/>
                <w:color w:val="auto"/>
              </w:rPr>
              <w:t>Less: accumulated depreciation, depletion, amortization and impairment</w:t>
            </w:r>
          </w:p>
        </w:tc>
        <w:tc>
          <w:tcPr>
            <w:tcW w:w="15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5"/>
              <w:spacing w:after="0" w:line="216" w:lineRule="exact"/>
              <w:rPr>
                <w:sz w:val="20"/>
                <w:szCs w:val="20"/>
                <w:color w:val="auto"/>
              </w:rPr>
            </w:pPr>
            <w:r>
              <w:rPr>
                <w:rFonts w:ascii="Arial" w:cs="Arial" w:eastAsia="Arial" w:hAnsi="Arial"/>
                <w:sz w:val="19"/>
                <w:szCs w:val="19"/>
                <w:color w:val="auto"/>
              </w:rPr>
              <w:t>(30,056,643)</w:t>
            </w:r>
          </w:p>
        </w:tc>
      </w:tr>
      <w:tr>
        <w:trPr>
          <w:trHeight w:val="320"/>
        </w:trPr>
        <w:tc>
          <w:tcPr>
            <w:tcW w:w="8620" w:type="dxa"/>
            <w:vAlign w:val="bottom"/>
          </w:tcPr>
          <w:p>
            <w:pPr>
              <w:ind w:left="100"/>
              <w:spacing w:after="0"/>
              <w:rPr>
                <w:sz w:val="20"/>
                <w:szCs w:val="20"/>
                <w:color w:val="auto"/>
              </w:rPr>
            </w:pPr>
            <w:r>
              <w:rPr>
                <w:rFonts w:ascii="Arial" w:cs="Arial" w:eastAsia="Arial" w:hAnsi="Arial"/>
                <w:sz w:val="19"/>
                <w:szCs w:val="19"/>
                <w:b w:val="1"/>
                <w:bCs w:val="1"/>
                <w:color w:val="auto"/>
              </w:rPr>
              <w:t>Net Property and Equipment</w:t>
            </w:r>
          </w:p>
        </w:tc>
        <w:tc>
          <w:tcPr>
            <w:tcW w:w="1500" w:type="dxa"/>
            <w:vAlign w:val="bottom"/>
          </w:tcPr>
          <w:p>
            <w:pPr>
              <w:spacing w:after="0"/>
              <w:rPr>
                <w:sz w:val="24"/>
                <w:szCs w:val="24"/>
                <w:color w:val="auto"/>
              </w:rPr>
            </w:pPr>
          </w:p>
        </w:tc>
        <w:tc>
          <w:tcPr>
            <w:tcW w:w="1300" w:type="dxa"/>
            <w:vAlign w:val="bottom"/>
          </w:tcPr>
          <w:p>
            <w:pPr>
              <w:jc w:val="right"/>
              <w:ind w:right="85"/>
              <w:spacing w:after="0"/>
              <w:rPr>
                <w:sz w:val="20"/>
                <w:szCs w:val="20"/>
                <w:color w:val="auto"/>
              </w:rPr>
            </w:pPr>
            <w:r>
              <w:rPr>
                <w:rFonts w:ascii="Arial" w:cs="Arial" w:eastAsia="Arial" w:hAnsi="Arial"/>
                <w:sz w:val="19"/>
                <w:szCs w:val="19"/>
                <w:color w:val="auto"/>
              </w:rPr>
              <w:t>26,172,474</w:t>
            </w:r>
          </w:p>
        </w:tc>
      </w:tr>
      <w:tr>
        <w:trPr>
          <w:trHeight w:val="120"/>
        </w:trPr>
        <w:tc>
          <w:tcPr>
            <w:tcW w:w="86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16"/>
        </w:trPr>
        <w:tc>
          <w:tcPr>
            <w:tcW w:w="8620" w:type="dxa"/>
            <w:vAlign w:val="bottom"/>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Other Assets</w:t>
            </w:r>
          </w:p>
        </w:tc>
        <w:tc>
          <w:tcPr>
            <w:tcW w:w="1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8620" w:type="dxa"/>
            <w:vAlign w:val="bottom"/>
          </w:tcPr>
          <w:p>
            <w:pPr>
              <w:ind w:left="300"/>
              <w:spacing w:after="0" w:line="216" w:lineRule="exact"/>
              <w:rPr>
                <w:sz w:val="20"/>
                <w:szCs w:val="20"/>
                <w:color w:val="auto"/>
              </w:rPr>
            </w:pPr>
            <w:r>
              <w:rPr>
                <w:rFonts w:ascii="Arial" w:cs="Arial" w:eastAsia="Arial" w:hAnsi="Arial"/>
                <w:sz w:val="19"/>
                <w:szCs w:val="19"/>
                <w:color w:val="auto"/>
              </w:rPr>
              <w:t>Derivative assets</w:t>
            </w:r>
          </w:p>
        </w:tc>
        <w:tc>
          <w:tcPr>
            <w:tcW w:w="1500" w:type="dxa"/>
            <w:vAlign w:val="bottom"/>
          </w:tcPr>
          <w:p>
            <w:pPr>
              <w:spacing w:after="0"/>
              <w:rPr>
                <w:sz w:val="18"/>
                <w:szCs w:val="18"/>
                <w:color w:val="auto"/>
              </w:rPr>
            </w:pPr>
          </w:p>
        </w:tc>
        <w:tc>
          <w:tcPr>
            <w:tcW w:w="1300" w:type="dxa"/>
            <w:vAlign w:val="bottom"/>
          </w:tcPr>
          <w:p>
            <w:pPr>
              <w:jc w:val="right"/>
              <w:ind w:right="85"/>
              <w:spacing w:after="0" w:line="216" w:lineRule="exact"/>
              <w:rPr>
                <w:sz w:val="20"/>
                <w:szCs w:val="20"/>
                <w:color w:val="auto"/>
              </w:rPr>
            </w:pPr>
            <w:r>
              <w:rPr>
                <w:rFonts w:ascii="Arial" w:cs="Arial" w:eastAsia="Arial" w:hAnsi="Arial"/>
                <w:sz w:val="19"/>
                <w:szCs w:val="19"/>
                <w:color w:val="auto"/>
              </w:rPr>
              <w:t>78,983</w:t>
            </w:r>
          </w:p>
        </w:tc>
      </w:tr>
      <w:tr>
        <w:trPr>
          <w:trHeight w:val="216"/>
        </w:trPr>
        <w:tc>
          <w:tcPr>
            <w:tcW w:w="8620" w:type="dxa"/>
            <w:vAlign w:val="bottom"/>
            <w:shd w:val="clear" w:color="auto" w:fill="CCEEFF"/>
          </w:tcPr>
          <w:p>
            <w:pPr>
              <w:ind w:left="300"/>
              <w:spacing w:after="0" w:line="216" w:lineRule="exact"/>
              <w:rPr>
                <w:sz w:val="20"/>
                <w:szCs w:val="20"/>
                <w:color w:val="auto"/>
              </w:rPr>
            </w:pPr>
            <w:r>
              <w:rPr>
                <w:rFonts w:ascii="Arial" w:cs="Arial" w:eastAsia="Arial" w:hAnsi="Arial"/>
                <w:sz w:val="19"/>
                <w:szCs w:val="19"/>
                <w:color w:val="auto"/>
              </w:rPr>
              <w:t>Restricted cash</w:t>
            </w:r>
          </w:p>
        </w:tc>
        <w:tc>
          <w:tcPr>
            <w:tcW w:w="1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5"/>
              <w:spacing w:after="0" w:line="216" w:lineRule="exact"/>
              <w:rPr>
                <w:sz w:val="20"/>
                <w:szCs w:val="20"/>
                <w:color w:val="auto"/>
              </w:rPr>
            </w:pPr>
            <w:r>
              <w:rPr>
                <w:rFonts w:ascii="Arial" w:cs="Arial" w:eastAsia="Arial" w:hAnsi="Arial"/>
                <w:sz w:val="19"/>
                <w:szCs w:val="19"/>
                <w:color w:val="auto"/>
              </w:rPr>
              <w:t>457,953</w:t>
            </w:r>
          </w:p>
        </w:tc>
      </w:tr>
      <w:tr>
        <w:trPr>
          <w:trHeight w:val="216"/>
        </w:trPr>
        <w:tc>
          <w:tcPr>
            <w:tcW w:w="8620" w:type="dxa"/>
            <w:vAlign w:val="bottom"/>
            <w:tcBorders>
              <w:bottom w:val="single" w:sz="8" w:color="auto"/>
            </w:tcBorders>
          </w:tcPr>
          <w:p>
            <w:pPr>
              <w:ind w:left="300"/>
              <w:spacing w:after="0" w:line="216" w:lineRule="exact"/>
              <w:rPr>
                <w:sz w:val="20"/>
                <w:szCs w:val="20"/>
                <w:color w:val="auto"/>
              </w:rPr>
            </w:pPr>
            <w:r>
              <w:rPr>
                <w:rFonts w:ascii="Arial" w:cs="Arial" w:eastAsia="Arial" w:hAnsi="Arial"/>
                <w:sz w:val="19"/>
                <w:szCs w:val="19"/>
                <w:color w:val="auto"/>
              </w:rPr>
              <w:t>Other</w:t>
            </w:r>
          </w:p>
        </w:tc>
        <w:tc>
          <w:tcPr>
            <w:tcW w:w="1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5"/>
              <w:spacing w:after="0" w:line="216" w:lineRule="exact"/>
              <w:rPr>
                <w:sz w:val="20"/>
                <w:szCs w:val="20"/>
                <w:color w:val="auto"/>
              </w:rPr>
            </w:pPr>
            <w:r>
              <w:rPr>
                <w:rFonts w:ascii="Arial" w:cs="Arial" w:eastAsia="Arial" w:hAnsi="Arial"/>
                <w:sz w:val="19"/>
                <w:szCs w:val="19"/>
                <w:color w:val="auto"/>
              </w:rPr>
              <w:t>51,834</w:t>
            </w:r>
          </w:p>
        </w:tc>
      </w:tr>
      <w:tr>
        <w:trPr>
          <w:trHeight w:val="88"/>
        </w:trPr>
        <w:tc>
          <w:tcPr>
            <w:tcW w:w="86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300" w:type="dxa"/>
            <w:vAlign w:val="bottom"/>
          </w:tcPr>
          <w:p>
            <w:pPr>
              <w:spacing w:after="0"/>
              <w:rPr>
                <w:sz w:val="7"/>
                <w:szCs w:val="7"/>
                <w:color w:val="auto"/>
              </w:rPr>
            </w:pPr>
          </w:p>
        </w:tc>
      </w:tr>
      <w:tr>
        <w:trPr>
          <w:trHeight w:val="216"/>
        </w:trPr>
        <w:tc>
          <w:tcPr>
            <w:tcW w:w="8620" w:type="dxa"/>
            <w:vAlign w:val="bottom"/>
            <w:tcBorders>
              <w:bottom w:val="single" w:sz="8" w:color="auto"/>
            </w:tcBorders>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Total Other Assets</w:t>
            </w:r>
          </w:p>
        </w:tc>
        <w:tc>
          <w:tcPr>
            <w:tcW w:w="15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85"/>
              <w:spacing w:after="0" w:line="216" w:lineRule="exact"/>
              <w:rPr>
                <w:sz w:val="20"/>
                <w:szCs w:val="20"/>
                <w:color w:val="auto"/>
              </w:rPr>
            </w:pPr>
            <w:r>
              <w:rPr>
                <w:rFonts w:ascii="Arial" w:cs="Arial" w:eastAsia="Arial" w:hAnsi="Arial"/>
                <w:sz w:val="19"/>
                <w:szCs w:val="19"/>
                <w:color w:val="auto"/>
              </w:rPr>
              <w:t>588,770</w:t>
            </w:r>
          </w:p>
        </w:tc>
      </w:tr>
      <w:tr>
        <w:trPr>
          <w:trHeight w:val="311"/>
        </w:trPr>
        <w:tc>
          <w:tcPr>
            <w:tcW w:w="8620" w:type="dxa"/>
            <w:vAlign w:val="bottom"/>
            <w:tcBorders>
              <w:bottom w:val="single" w:sz="8" w:color="auto"/>
            </w:tcBorders>
          </w:tcPr>
          <w:p>
            <w:pPr>
              <w:ind w:left="100"/>
              <w:spacing w:after="0"/>
              <w:rPr>
                <w:sz w:val="20"/>
                <w:szCs w:val="20"/>
                <w:color w:val="auto"/>
              </w:rPr>
            </w:pPr>
            <w:r>
              <w:rPr>
                <w:rFonts w:ascii="Arial" w:cs="Arial" w:eastAsia="Arial" w:hAnsi="Arial"/>
                <w:sz w:val="19"/>
                <w:szCs w:val="19"/>
                <w:b w:val="1"/>
                <w:bCs w:val="1"/>
                <w:color w:val="auto"/>
              </w:rPr>
              <w:t>Total Assets</w:t>
            </w:r>
          </w:p>
        </w:tc>
        <w:tc>
          <w:tcPr>
            <w:tcW w:w="150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w:t>
            </w: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9"/>
                <w:szCs w:val="19"/>
                <w:color w:val="auto"/>
              </w:rPr>
              <w:t>28,827,113</w:t>
            </w:r>
          </w:p>
        </w:tc>
      </w:tr>
      <w:tr>
        <w:trPr>
          <w:trHeight w:val="95"/>
        </w:trPr>
        <w:tc>
          <w:tcPr>
            <w:tcW w:w="86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216"/>
        </w:trPr>
        <w:tc>
          <w:tcPr>
            <w:tcW w:w="8620" w:type="dxa"/>
            <w:vAlign w:val="bottom"/>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Liabilities and Member’s Deficit</w:t>
            </w:r>
          </w:p>
        </w:tc>
        <w:tc>
          <w:tcPr>
            <w:tcW w:w="1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324"/>
        </w:trPr>
        <w:tc>
          <w:tcPr>
            <w:tcW w:w="8620" w:type="dxa"/>
            <w:vAlign w:val="bottom"/>
          </w:tcPr>
          <w:p>
            <w:pPr>
              <w:ind w:left="100"/>
              <w:spacing w:after="0"/>
              <w:rPr>
                <w:sz w:val="20"/>
                <w:szCs w:val="20"/>
                <w:color w:val="auto"/>
              </w:rPr>
            </w:pPr>
            <w:r>
              <w:rPr>
                <w:rFonts w:ascii="Arial" w:cs="Arial" w:eastAsia="Arial" w:hAnsi="Arial"/>
                <w:sz w:val="19"/>
                <w:szCs w:val="19"/>
                <w:b w:val="1"/>
                <w:bCs w:val="1"/>
                <w:color w:val="auto"/>
              </w:rPr>
              <w:t>Current Liabilities</w:t>
            </w: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8620" w:type="dxa"/>
            <w:vAlign w:val="bottom"/>
            <w:shd w:val="clear" w:color="auto" w:fill="CCEEFF"/>
          </w:tcPr>
          <w:p>
            <w:pPr>
              <w:ind w:left="300"/>
              <w:spacing w:after="0" w:line="216" w:lineRule="exact"/>
              <w:rPr>
                <w:sz w:val="20"/>
                <w:szCs w:val="20"/>
                <w:color w:val="auto"/>
              </w:rPr>
            </w:pPr>
            <w:r>
              <w:rPr>
                <w:rFonts w:ascii="Arial" w:cs="Arial" w:eastAsia="Arial" w:hAnsi="Arial"/>
                <w:sz w:val="19"/>
                <w:szCs w:val="19"/>
                <w:color w:val="auto"/>
              </w:rPr>
              <w:t>Trade accounts payable</w:t>
            </w:r>
          </w:p>
        </w:tc>
        <w:tc>
          <w:tcPr>
            <w:tcW w:w="1500" w:type="dxa"/>
            <w:vAlign w:val="bottom"/>
            <w:shd w:val="clear" w:color="auto" w:fill="CCEEFF"/>
          </w:tcPr>
          <w:p>
            <w:pPr>
              <w:jc w:val="right"/>
              <w:ind w:right="5"/>
              <w:spacing w:after="0" w:line="216" w:lineRule="exact"/>
              <w:rPr>
                <w:sz w:val="20"/>
                <w:szCs w:val="20"/>
                <w:color w:val="auto"/>
              </w:rPr>
            </w:pPr>
            <w:r>
              <w:rPr>
                <w:rFonts w:ascii="Arial" w:cs="Arial" w:eastAsia="Arial" w:hAnsi="Arial"/>
                <w:sz w:val="19"/>
                <w:szCs w:val="19"/>
                <w:color w:val="auto"/>
              </w:rPr>
              <w:t>$</w:t>
            </w:r>
          </w:p>
        </w:tc>
        <w:tc>
          <w:tcPr>
            <w:tcW w:w="1300" w:type="dxa"/>
            <w:vAlign w:val="bottom"/>
            <w:shd w:val="clear" w:color="auto" w:fill="CCEEFF"/>
          </w:tcPr>
          <w:p>
            <w:pPr>
              <w:jc w:val="right"/>
              <w:ind w:right="85"/>
              <w:spacing w:after="0" w:line="216" w:lineRule="exact"/>
              <w:rPr>
                <w:sz w:val="20"/>
                <w:szCs w:val="20"/>
                <w:color w:val="auto"/>
              </w:rPr>
            </w:pPr>
            <w:r>
              <w:rPr>
                <w:rFonts w:ascii="Arial" w:cs="Arial" w:eastAsia="Arial" w:hAnsi="Arial"/>
                <w:sz w:val="19"/>
                <w:szCs w:val="19"/>
                <w:color w:val="auto"/>
              </w:rPr>
              <w:t>2,158,383</w:t>
            </w:r>
          </w:p>
        </w:tc>
      </w:tr>
      <w:tr>
        <w:trPr>
          <w:trHeight w:val="216"/>
        </w:trPr>
        <w:tc>
          <w:tcPr>
            <w:tcW w:w="8620" w:type="dxa"/>
            <w:vAlign w:val="bottom"/>
          </w:tcPr>
          <w:p>
            <w:pPr>
              <w:ind w:left="300"/>
              <w:spacing w:after="0" w:line="216" w:lineRule="exact"/>
              <w:rPr>
                <w:sz w:val="20"/>
                <w:szCs w:val="20"/>
                <w:color w:val="auto"/>
              </w:rPr>
            </w:pPr>
            <w:r>
              <w:rPr>
                <w:rFonts w:ascii="Arial" w:cs="Arial" w:eastAsia="Arial" w:hAnsi="Arial"/>
                <w:sz w:val="19"/>
                <w:szCs w:val="19"/>
                <w:color w:val="auto"/>
              </w:rPr>
              <w:t>Revenue payable</w:t>
            </w:r>
          </w:p>
        </w:tc>
        <w:tc>
          <w:tcPr>
            <w:tcW w:w="1500" w:type="dxa"/>
            <w:vAlign w:val="bottom"/>
          </w:tcPr>
          <w:p>
            <w:pPr>
              <w:spacing w:after="0"/>
              <w:rPr>
                <w:sz w:val="18"/>
                <w:szCs w:val="18"/>
                <w:color w:val="auto"/>
              </w:rPr>
            </w:pPr>
          </w:p>
        </w:tc>
        <w:tc>
          <w:tcPr>
            <w:tcW w:w="1300" w:type="dxa"/>
            <w:vAlign w:val="bottom"/>
          </w:tcPr>
          <w:p>
            <w:pPr>
              <w:jc w:val="right"/>
              <w:ind w:right="85"/>
              <w:spacing w:after="0" w:line="216" w:lineRule="exact"/>
              <w:rPr>
                <w:sz w:val="20"/>
                <w:szCs w:val="20"/>
                <w:color w:val="auto"/>
              </w:rPr>
            </w:pPr>
            <w:r>
              <w:rPr>
                <w:rFonts w:ascii="Arial" w:cs="Arial" w:eastAsia="Arial" w:hAnsi="Arial"/>
                <w:sz w:val="19"/>
                <w:szCs w:val="19"/>
                <w:color w:val="auto"/>
              </w:rPr>
              <w:t>985,526</w:t>
            </w:r>
          </w:p>
        </w:tc>
      </w:tr>
      <w:tr>
        <w:trPr>
          <w:trHeight w:val="216"/>
        </w:trPr>
        <w:tc>
          <w:tcPr>
            <w:tcW w:w="8620" w:type="dxa"/>
            <w:vAlign w:val="bottom"/>
            <w:shd w:val="clear" w:color="auto" w:fill="CCEEFF"/>
          </w:tcPr>
          <w:p>
            <w:pPr>
              <w:ind w:left="300"/>
              <w:spacing w:after="0" w:line="216" w:lineRule="exact"/>
              <w:rPr>
                <w:sz w:val="20"/>
                <w:szCs w:val="20"/>
                <w:color w:val="auto"/>
              </w:rPr>
            </w:pPr>
            <w:r>
              <w:rPr>
                <w:rFonts w:ascii="Arial" w:cs="Arial" w:eastAsia="Arial" w:hAnsi="Arial"/>
                <w:sz w:val="19"/>
                <w:szCs w:val="19"/>
                <w:color w:val="auto"/>
              </w:rPr>
              <w:t>Accrued liabilities</w:t>
            </w:r>
          </w:p>
        </w:tc>
        <w:tc>
          <w:tcPr>
            <w:tcW w:w="1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5"/>
              <w:spacing w:after="0" w:line="216" w:lineRule="exact"/>
              <w:rPr>
                <w:sz w:val="20"/>
                <w:szCs w:val="20"/>
                <w:color w:val="auto"/>
              </w:rPr>
            </w:pPr>
            <w:r>
              <w:rPr>
                <w:rFonts w:ascii="Arial" w:cs="Arial" w:eastAsia="Arial" w:hAnsi="Arial"/>
                <w:sz w:val="19"/>
                <w:szCs w:val="19"/>
                <w:color w:val="auto"/>
              </w:rPr>
              <w:t>1,388,336</w:t>
            </w:r>
          </w:p>
        </w:tc>
      </w:tr>
      <w:tr>
        <w:trPr>
          <w:trHeight w:val="216"/>
        </w:trPr>
        <w:tc>
          <w:tcPr>
            <w:tcW w:w="8620" w:type="dxa"/>
            <w:vAlign w:val="bottom"/>
          </w:tcPr>
          <w:p>
            <w:pPr>
              <w:ind w:left="300"/>
              <w:spacing w:after="0" w:line="216" w:lineRule="exact"/>
              <w:rPr>
                <w:sz w:val="20"/>
                <w:szCs w:val="20"/>
                <w:color w:val="auto"/>
              </w:rPr>
            </w:pPr>
            <w:r>
              <w:rPr>
                <w:rFonts w:ascii="Arial" w:cs="Arial" w:eastAsia="Arial" w:hAnsi="Arial"/>
                <w:sz w:val="19"/>
                <w:szCs w:val="19"/>
                <w:color w:val="auto"/>
              </w:rPr>
              <w:t>Current portion of derivative liabilities</w:t>
            </w:r>
          </w:p>
        </w:tc>
        <w:tc>
          <w:tcPr>
            <w:tcW w:w="1500" w:type="dxa"/>
            <w:vAlign w:val="bottom"/>
          </w:tcPr>
          <w:p>
            <w:pPr>
              <w:spacing w:after="0"/>
              <w:rPr>
                <w:sz w:val="18"/>
                <w:szCs w:val="18"/>
                <w:color w:val="auto"/>
              </w:rPr>
            </w:pPr>
          </w:p>
        </w:tc>
        <w:tc>
          <w:tcPr>
            <w:tcW w:w="1300" w:type="dxa"/>
            <w:vAlign w:val="bottom"/>
          </w:tcPr>
          <w:p>
            <w:pPr>
              <w:jc w:val="right"/>
              <w:ind w:right="85"/>
              <w:spacing w:after="0" w:line="216" w:lineRule="exact"/>
              <w:rPr>
                <w:sz w:val="20"/>
                <w:szCs w:val="20"/>
                <w:color w:val="auto"/>
              </w:rPr>
            </w:pPr>
            <w:r>
              <w:rPr>
                <w:rFonts w:ascii="Arial" w:cs="Arial" w:eastAsia="Arial" w:hAnsi="Arial"/>
                <w:sz w:val="19"/>
                <w:szCs w:val="19"/>
                <w:color w:val="auto"/>
              </w:rPr>
              <w:t>188,789</w:t>
            </w:r>
          </w:p>
        </w:tc>
      </w:tr>
      <w:tr>
        <w:trPr>
          <w:trHeight w:val="216"/>
        </w:trPr>
        <w:tc>
          <w:tcPr>
            <w:tcW w:w="8620" w:type="dxa"/>
            <w:vAlign w:val="bottom"/>
            <w:tcBorders>
              <w:bottom w:val="single" w:sz="8" w:color="auto"/>
            </w:tcBorders>
            <w:shd w:val="clear" w:color="auto" w:fill="CCEEFF"/>
          </w:tcPr>
          <w:p>
            <w:pPr>
              <w:ind w:left="300"/>
              <w:spacing w:after="0" w:line="216" w:lineRule="exact"/>
              <w:rPr>
                <w:sz w:val="20"/>
                <w:szCs w:val="20"/>
                <w:color w:val="auto"/>
              </w:rPr>
            </w:pPr>
            <w:r>
              <w:rPr>
                <w:rFonts w:ascii="Arial" w:cs="Arial" w:eastAsia="Arial" w:hAnsi="Arial"/>
                <w:sz w:val="19"/>
                <w:szCs w:val="19"/>
                <w:color w:val="auto"/>
              </w:rPr>
              <w:t>Current portion of asset retirement obligations</w:t>
            </w:r>
          </w:p>
        </w:tc>
        <w:tc>
          <w:tcPr>
            <w:tcW w:w="15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85"/>
              <w:spacing w:after="0" w:line="216" w:lineRule="exact"/>
              <w:rPr>
                <w:sz w:val="20"/>
                <w:szCs w:val="20"/>
                <w:color w:val="auto"/>
              </w:rPr>
            </w:pPr>
            <w:r>
              <w:rPr>
                <w:rFonts w:ascii="Arial" w:cs="Arial" w:eastAsia="Arial" w:hAnsi="Arial"/>
                <w:sz w:val="19"/>
                <w:szCs w:val="19"/>
                <w:color w:val="auto"/>
              </w:rPr>
              <w:t>1,989,431</w:t>
            </w:r>
          </w:p>
        </w:tc>
      </w:tr>
      <w:tr>
        <w:trPr>
          <w:trHeight w:val="320"/>
        </w:trPr>
        <w:tc>
          <w:tcPr>
            <w:tcW w:w="8620" w:type="dxa"/>
            <w:vAlign w:val="bottom"/>
          </w:tcPr>
          <w:p>
            <w:pPr>
              <w:ind w:left="100"/>
              <w:spacing w:after="0"/>
              <w:rPr>
                <w:sz w:val="20"/>
                <w:szCs w:val="20"/>
                <w:color w:val="auto"/>
              </w:rPr>
            </w:pPr>
            <w:r>
              <w:rPr>
                <w:rFonts w:ascii="Arial" w:cs="Arial" w:eastAsia="Arial" w:hAnsi="Arial"/>
                <w:sz w:val="19"/>
                <w:szCs w:val="19"/>
                <w:b w:val="1"/>
                <w:bCs w:val="1"/>
                <w:color w:val="auto"/>
              </w:rPr>
              <w:t>Total Current Liabilities</w:t>
            </w:r>
          </w:p>
        </w:tc>
        <w:tc>
          <w:tcPr>
            <w:tcW w:w="1500" w:type="dxa"/>
            <w:vAlign w:val="bottom"/>
          </w:tcPr>
          <w:p>
            <w:pPr>
              <w:spacing w:after="0"/>
              <w:rPr>
                <w:sz w:val="24"/>
                <w:szCs w:val="24"/>
                <w:color w:val="auto"/>
              </w:rPr>
            </w:pPr>
          </w:p>
        </w:tc>
        <w:tc>
          <w:tcPr>
            <w:tcW w:w="1300" w:type="dxa"/>
            <w:vAlign w:val="bottom"/>
          </w:tcPr>
          <w:p>
            <w:pPr>
              <w:jc w:val="right"/>
              <w:ind w:right="85"/>
              <w:spacing w:after="0"/>
              <w:rPr>
                <w:sz w:val="20"/>
                <w:szCs w:val="20"/>
                <w:color w:val="auto"/>
              </w:rPr>
            </w:pPr>
            <w:r>
              <w:rPr>
                <w:rFonts w:ascii="Arial" w:cs="Arial" w:eastAsia="Arial" w:hAnsi="Arial"/>
                <w:sz w:val="19"/>
                <w:szCs w:val="19"/>
                <w:color w:val="auto"/>
              </w:rPr>
              <w:t>6,710,465</w:t>
            </w:r>
          </w:p>
        </w:tc>
      </w:tr>
      <w:tr>
        <w:trPr>
          <w:trHeight w:val="93"/>
        </w:trPr>
        <w:tc>
          <w:tcPr>
            <w:tcW w:w="86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216"/>
        </w:trPr>
        <w:tc>
          <w:tcPr>
            <w:tcW w:w="8620" w:type="dxa"/>
            <w:vAlign w:val="bottom"/>
            <w:shd w:val="clear" w:color="auto" w:fill="CCEEFF"/>
          </w:tcPr>
          <w:p>
            <w:pPr>
              <w:ind w:left="100"/>
              <w:spacing w:after="0" w:line="216" w:lineRule="exact"/>
              <w:rPr>
                <w:sz w:val="20"/>
                <w:szCs w:val="20"/>
                <w:color w:val="auto"/>
              </w:rPr>
            </w:pPr>
            <w:r>
              <w:rPr>
                <w:rFonts w:ascii="Arial" w:cs="Arial" w:eastAsia="Arial" w:hAnsi="Arial"/>
                <w:sz w:val="19"/>
                <w:szCs w:val="19"/>
                <w:color w:val="auto"/>
              </w:rPr>
              <w:t>Asset Retirement Obligations</w:t>
            </w:r>
          </w:p>
        </w:tc>
        <w:tc>
          <w:tcPr>
            <w:tcW w:w="1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5"/>
              <w:spacing w:after="0" w:line="216" w:lineRule="exact"/>
              <w:rPr>
                <w:sz w:val="20"/>
                <w:szCs w:val="20"/>
                <w:color w:val="auto"/>
              </w:rPr>
            </w:pPr>
            <w:r>
              <w:rPr>
                <w:rFonts w:ascii="Arial" w:cs="Arial" w:eastAsia="Arial" w:hAnsi="Arial"/>
                <w:sz w:val="19"/>
                <w:szCs w:val="19"/>
                <w:color w:val="auto"/>
              </w:rPr>
              <w:t>4,143,293</w:t>
            </w:r>
          </w:p>
        </w:tc>
      </w:tr>
      <w:tr>
        <w:trPr>
          <w:trHeight w:val="324"/>
        </w:trPr>
        <w:tc>
          <w:tcPr>
            <w:tcW w:w="8620" w:type="dxa"/>
            <w:vAlign w:val="bottom"/>
            <w:tcBorders>
              <w:bottom w:val="single" w:sz="8" w:color="auto"/>
            </w:tcBorders>
          </w:tcPr>
          <w:p>
            <w:pPr>
              <w:ind w:left="100"/>
              <w:spacing w:after="0"/>
              <w:rPr>
                <w:sz w:val="20"/>
                <w:szCs w:val="20"/>
                <w:color w:val="auto"/>
              </w:rPr>
            </w:pPr>
            <w:r>
              <w:rPr>
                <w:rFonts w:ascii="Arial" w:cs="Arial" w:eastAsia="Arial" w:hAnsi="Arial"/>
                <w:sz w:val="19"/>
                <w:szCs w:val="19"/>
                <w:color w:val="auto"/>
              </w:rPr>
              <w:t>Long-Term Debt - Affiliate</w:t>
            </w:r>
          </w:p>
        </w:tc>
        <w:tc>
          <w:tcPr>
            <w:tcW w:w="15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9"/>
                <w:szCs w:val="19"/>
                <w:color w:val="auto"/>
              </w:rPr>
              <w:t>83,364,718</w:t>
            </w:r>
          </w:p>
        </w:tc>
      </w:tr>
      <w:tr>
        <w:trPr>
          <w:trHeight w:val="88"/>
        </w:trPr>
        <w:tc>
          <w:tcPr>
            <w:tcW w:w="86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300" w:type="dxa"/>
            <w:vAlign w:val="bottom"/>
          </w:tcPr>
          <w:p>
            <w:pPr>
              <w:spacing w:after="0"/>
              <w:rPr>
                <w:sz w:val="7"/>
                <w:szCs w:val="7"/>
                <w:color w:val="auto"/>
              </w:rPr>
            </w:pPr>
          </w:p>
        </w:tc>
      </w:tr>
      <w:tr>
        <w:trPr>
          <w:trHeight w:val="216"/>
        </w:trPr>
        <w:tc>
          <w:tcPr>
            <w:tcW w:w="8620" w:type="dxa"/>
            <w:vAlign w:val="bottom"/>
            <w:tcBorders>
              <w:bottom w:val="single" w:sz="8" w:color="auto"/>
            </w:tcBorders>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Total Liabilities</w:t>
            </w:r>
          </w:p>
        </w:tc>
        <w:tc>
          <w:tcPr>
            <w:tcW w:w="15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85"/>
              <w:spacing w:after="0" w:line="216" w:lineRule="exact"/>
              <w:rPr>
                <w:sz w:val="20"/>
                <w:szCs w:val="20"/>
                <w:color w:val="auto"/>
              </w:rPr>
            </w:pPr>
            <w:r>
              <w:rPr>
                <w:rFonts w:ascii="Arial" w:cs="Arial" w:eastAsia="Arial" w:hAnsi="Arial"/>
                <w:sz w:val="19"/>
                <w:szCs w:val="19"/>
                <w:color w:val="auto"/>
              </w:rPr>
              <w:t>94,218,476</w:t>
            </w:r>
          </w:p>
        </w:tc>
      </w:tr>
      <w:tr>
        <w:trPr>
          <w:trHeight w:val="320"/>
        </w:trPr>
        <w:tc>
          <w:tcPr>
            <w:tcW w:w="8620" w:type="dxa"/>
            <w:vAlign w:val="bottom"/>
          </w:tcPr>
          <w:p>
            <w:pPr>
              <w:ind w:left="100"/>
              <w:spacing w:after="0"/>
              <w:rPr>
                <w:sz w:val="20"/>
                <w:szCs w:val="20"/>
                <w:color w:val="auto"/>
              </w:rPr>
            </w:pPr>
            <w:r>
              <w:rPr>
                <w:rFonts w:ascii="Arial" w:cs="Arial" w:eastAsia="Arial" w:hAnsi="Arial"/>
                <w:sz w:val="19"/>
                <w:szCs w:val="19"/>
                <w:b w:val="1"/>
                <w:bCs w:val="1"/>
                <w:color w:val="auto"/>
              </w:rPr>
              <w:t>Commitments and Contingencies (Note 10)</w:t>
            </w: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93"/>
        </w:trPr>
        <w:tc>
          <w:tcPr>
            <w:tcW w:w="86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216"/>
        </w:trPr>
        <w:tc>
          <w:tcPr>
            <w:tcW w:w="8620" w:type="dxa"/>
            <w:vAlign w:val="bottom"/>
            <w:tcBorders>
              <w:bottom w:val="single" w:sz="8" w:color="auto"/>
            </w:tcBorders>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Member’s Deficit</w:t>
            </w:r>
          </w:p>
        </w:tc>
        <w:tc>
          <w:tcPr>
            <w:tcW w:w="15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5"/>
              <w:spacing w:after="0" w:line="216" w:lineRule="exact"/>
              <w:rPr>
                <w:sz w:val="20"/>
                <w:szCs w:val="20"/>
                <w:color w:val="auto"/>
              </w:rPr>
            </w:pPr>
            <w:r>
              <w:rPr>
                <w:rFonts w:ascii="Arial" w:cs="Arial" w:eastAsia="Arial" w:hAnsi="Arial"/>
                <w:sz w:val="19"/>
                <w:szCs w:val="19"/>
                <w:color w:val="auto"/>
              </w:rPr>
              <w:t>(65,391,363)</w:t>
            </w:r>
          </w:p>
        </w:tc>
      </w:tr>
      <w:tr>
        <w:trPr>
          <w:trHeight w:val="311"/>
        </w:trPr>
        <w:tc>
          <w:tcPr>
            <w:tcW w:w="8620" w:type="dxa"/>
            <w:vAlign w:val="bottom"/>
            <w:tcBorders>
              <w:bottom w:val="single" w:sz="8" w:color="auto"/>
            </w:tcBorders>
          </w:tcPr>
          <w:p>
            <w:pPr>
              <w:ind w:left="100"/>
              <w:spacing w:after="0"/>
              <w:rPr>
                <w:sz w:val="20"/>
                <w:szCs w:val="20"/>
                <w:color w:val="auto"/>
              </w:rPr>
            </w:pPr>
            <w:r>
              <w:rPr>
                <w:rFonts w:ascii="Arial" w:cs="Arial" w:eastAsia="Arial" w:hAnsi="Arial"/>
                <w:sz w:val="19"/>
                <w:szCs w:val="19"/>
                <w:b w:val="1"/>
                <w:bCs w:val="1"/>
                <w:color w:val="auto"/>
              </w:rPr>
              <w:t>Total Liabilities and Member’s Deficit</w:t>
            </w:r>
          </w:p>
        </w:tc>
        <w:tc>
          <w:tcPr>
            <w:tcW w:w="150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w:t>
            </w: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9"/>
                <w:szCs w:val="19"/>
                <w:color w:val="auto"/>
              </w:rPr>
              <w:t>28,827,113</w:t>
            </w:r>
          </w:p>
        </w:tc>
      </w:tr>
    </w:tbl>
    <w:p>
      <w:pPr>
        <w:spacing w:after="0" w:line="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3820"/>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142" w:lineRule="exact"/>
        <w:rPr>
          <w:sz w:val="20"/>
          <w:szCs w:val="20"/>
          <w:color w:val="auto"/>
        </w:rPr>
      </w:pPr>
    </w:p>
    <w:p>
      <w:pPr>
        <w:ind w:left="5660"/>
        <w:spacing w:after="0"/>
        <w:rPr>
          <w:sz w:val="20"/>
          <w:szCs w:val="20"/>
          <w:color w:val="auto"/>
        </w:rPr>
      </w:pPr>
      <w:r>
        <w:rPr>
          <w:rFonts w:ascii="Arial" w:cs="Arial" w:eastAsia="Arial" w:hAnsi="Arial"/>
          <w:sz w:val="19"/>
          <w:szCs w:val="19"/>
          <w:b w:val="1"/>
          <w:bCs w:val="1"/>
          <w:color w:val="auto"/>
        </w:rPr>
        <w:t>4</w:t>
      </w:r>
    </w:p>
    <w:p>
      <w:pPr>
        <w:sectPr>
          <w:pgSz w:w="11900" w:h="16838" w:orient="portrait"/>
          <w:cols w:equalWidth="0" w:num="1">
            <w:col w:w="11420"/>
          </w:cols>
          <w:pgMar w:left="240" w:top="258" w:right="23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336"/>
        </w:trPr>
        <w:tc>
          <w:tcPr>
            <w:tcW w:w="8900" w:type="dxa"/>
            <w:vAlign w:val="bottom"/>
          </w:tcPr>
          <w:p>
            <w:pPr>
              <w:ind w:left="4120"/>
              <w:spacing w:after="0"/>
              <w:rPr>
                <w:sz w:val="20"/>
                <w:szCs w:val="20"/>
                <w:color w:val="auto"/>
              </w:rPr>
            </w:pPr>
            <w:r>
              <w:rPr>
                <w:rFonts w:ascii="Arial" w:cs="Arial" w:eastAsia="Arial" w:hAnsi="Arial"/>
                <w:sz w:val="25"/>
                <w:szCs w:val="25"/>
                <w:b w:val="1"/>
                <w:bCs w:val="1"/>
                <w:color w:val="auto"/>
              </w:rPr>
              <w:t>RAM Energy Holdings LLC</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58"/>
        </w:trPr>
        <w:tc>
          <w:tcPr>
            <w:tcW w:w="8900" w:type="dxa"/>
            <w:vAlign w:val="bottom"/>
            <w:tcBorders>
              <w:bottom w:val="single" w:sz="8" w:color="auto"/>
            </w:tcBorders>
          </w:tcPr>
          <w:p>
            <w:pPr>
              <w:ind w:left="3740"/>
              <w:spacing w:after="0"/>
              <w:rPr>
                <w:sz w:val="20"/>
                <w:szCs w:val="20"/>
                <w:color w:val="auto"/>
              </w:rPr>
            </w:pPr>
            <w:r>
              <w:rPr>
                <w:rFonts w:ascii="Arial" w:cs="Arial" w:eastAsia="Arial" w:hAnsi="Arial"/>
                <w:sz w:val="22"/>
                <w:szCs w:val="22"/>
                <w:b w:val="1"/>
                <w:bCs w:val="1"/>
                <w:color w:val="auto"/>
              </w:rPr>
              <w:t>Consolidated Statement of Operations</w:t>
            </w:r>
          </w:p>
        </w:tc>
        <w:tc>
          <w:tcPr>
            <w:tcW w:w="1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473"/>
        </w:trPr>
        <w:tc>
          <w:tcPr>
            <w:tcW w:w="8900" w:type="dxa"/>
            <w:vAlign w:val="bottom"/>
            <w:tcBorders>
              <w:bottom w:val="single" w:sz="8" w:color="auto"/>
            </w:tcBorders>
          </w:tcPr>
          <w:p>
            <w:pPr>
              <w:ind w:left="100"/>
              <w:spacing w:after="0"/>
              <w:rPr>
                <w:sz w:val="20"/>
                <w:szCs w:val="20"/>
                <w:color w:val="auto"/>
              </w:rPr>
            </w:pPr>
            <w:r>
              <w:rPr>
                <w:rFonts w:ascii="Arial" w:cs="Arial" w:eastAsia="Arial" w:hAnsi="Arial"/>
                <w:sz w:val="19"/>
                <w:szCs w:val="19"/>
                <w:b w:val="1"/>
                <w:bCs w:val="1"/>
                <w:i w:val="1"/>
                <w:iCs w:val="1"/>
                <w:color w:val="auto"/>
              </w:rPr>
              <w:t>Year Ended December 31,</w:t>
            </w:r>
          </w:p>
        </w:tc>
        <w:tc>
          <w:tcPr>
            <w:tcW w:w="1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65"/>
              <w:spacing w:after="0"/>
              <w:rPr>
                <w:sz w:val="20"/>
                <w:szCs w:val="20"/>
                <w:color w:val="auto"/>
              </w:rPr>
            </w:pPr>
            <w:r>
              <w:rPr>
                <w:rFonts w:ascii="Arial" w:cs="Arial" w:eastAsia="Arial" w:hAnsi="Arial"/>
                <w:sz w:val="19"/>
                <w:szCs w:val="19"/>
                <w:b w:val="1"/>
                <w:bCs w:val="1"/>
                <w:color w:val="auto"/>
              </w:rPr>
              <w:t>2016</w:t>
            </w:r>
          </w:p>
        </w:tc>
      </w:tr>
      <w:tr>
        <w:trPr>
          <w:trHeight w:val="156"/>
        </w:trPr>
        <w:tc>
          <w:tcPr>
            <w:tcW w:w="8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16"/>
        </w:trPr>
        <w:tc>
          <w:tcPr>
            <w:tcW w:w="8900" w:type="dxa"/>
            <w:vAlign w:val="bottom"/>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Revenues:</w:t>
            </w: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8900" w:type="dxa"/>
            <w:vAlign w:val="bottom"/>
          </w:tcPr>
          <w:p>
            <w:pPr>
              <w:ind w:left="480"/>
              <w:spacing w:after="0" w:line="216" w:lineRule="exact"/>
              <w:rPr>
                <w:sz w:val="20"/>
                <w:szCs w:val="20"/>
                <w:color w:val="auto"/>
              </w:rPr>
            </w:pPr>
            <w:r>
              <w:rPr>
                <w:rFonts w:ascii="Arial" w:cs="Arial" w:eastAsia="Arial" w:hAnsi="Arial"/>
                <w:sz w:val="19"/>
                <w:szCs w:val="19"/>
                <w:color w:val="auto"/>
              </w:rPr>
              <w:t>Oil</w:t>
            </w:r>
          </w:p>
        </w:tc>
        <w:tc>
          <w:tcPr>
            <w:tcW w:w="122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1300" w:type="dxa"/>
            <w:vAlign w:val="bottom"/>
          </w:tcPr>
          <w:p>
            <w:pPr>
              <w:jc w:val="right"/>
              <w:ind w:right="85"/>
              <w:spacing w:after="0" w:line="216" w:lineRule="exact"/>
              <w:rPr>
                <w:sz w:val="20"/>
                <w:szCs w:val="20"/>
                <w:color w:val="auto"/>
              </w:rPr>
            </w:pPr>
            <w:r>
              <w:rPr>
                <w:rFonts w:ascii="Arial" w:cs="Arial" w:eastAsia="Arial" w:hAnsi="Arial"/>
                <w:sz w:val="19"/>
                <w:szCs w:val="19"/>
                <w:color w:val="auto"/>
              </w:rPr>
              <w:t>4,113,729</w:t>
            </w:r>
          </w:p>
        </w:tc>
      </w:tr>
      <w:tr>
        <w:trPr>
          <w:trHeight w:val="216"/>
        </w:trPr>
        <w:tc>
          <w:tcPr>
            <w:tcW w:w="8900" w:type="dxa"/>
            <w:vAlign w:val="bottom"/>
            <w:shd w:val="clear" w:color="auto" w:fill="CCEEFF"/>
          </w:tcPr>
          <w:p>
            <w:pPr>
              <w:ind w:left="480"/>
              <w:spacing w:after="0" w:line="216" w:lineRule="exact"/>
              <w:rPr>
                <w:sz w:val="20"/>
                <w:szCs w:val="20"/>
                <w:color w:val="auto"/>
              </w:rPr>
            </w:pPr>
            <w:r>
              <w:rPr>
                <w:rFonts w:ascii="Arial" w:cs="Arial" w:eastAsia="Arial" w:hAnsi="Arial"/>
                <w:sz w:val="19"/>
                <w:szCs w:val="19"/>
                <w:color w:val="auto"/>
              </w:rPr>
              <w:t>Natural gas</w:t>
            </w: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5"/>
              <w:spacing w:after="0" w:line="216" w:lineRule="exact"/>
              <w:rPr>
                <w:sz w:val="20"/>
                <w:szCs w:val="20"/>
                <w:color w:val="auto"/>
              </w:rPr>
            </w:pPr>
            <w:r>
              <w:rPr>
                <w:rFonts w:ascii="Arial" w:cs="Arial" w:eastAsia="Arial" w:hAnsi="Arial"/>
                <w:sz w:val="19"/>
                <w:szCs w:val="19"/>
                <w:color w:val="auto"/>
              </w:rPr>
              <w:t>2,777,422</w:t>
            </w:r>
          </w:p>
        </w:tc>
      </w:tr>
      <w:tr>
        <w:trPr>
          <w:trHeight w:val="216"/>
        </w:trPr>
        <w:tc>
          <w:tcPr>
            <w:tcW w:w="8900" w:type="dxa"/>
            <w:vAlign w:val="bottom"/>
            <w:tcBorders>
              <w:bottom w:val="single" w:sz="8" w:color="auto"/>
            </w:tcBorders>
          </w:tcPr>
          <w:p>
            <w:pPr>
              <w:ind w:left="480"/>
              <w:spacing w:after="0" w:line="216" w:lineRule="exact"/>
              <w:rPr>
                <w:sz w:val="20"/>
                <w:szCs w:val="20"/>
                <w:color w:val="auto"/>
              </w:rPr>
            </w:pPr>
            <w:r>
              <w:rPr>
                <w:rFonts w:ascii="Arial" w:cs="Arial" w:eastAsia="Arial" w:hAnsi="Arial"/>
                <w:sz w:val="19"/>
                <w:szCs w:val="19"/>
                <w:color w:val="auto"/>
              </w:rPr>
              <w:t>NGLs</w:t>
            </w:r>
          </w:p>
        </w:tc>
        <w:tc>
          <w:tcPr>
            <w:tcW w:w="1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5"/>
              <w:spacing w:after="0" w:line="216" w:lineRule="exact"/>
              <w:rPr>
                <w:sz w:val="20"/>
                <w:szCs w:val="20"/>
                <w:color w:val="auto"/>
              </w:rPr>
            </w:pPr>
            <w:r>
              <w:rPr>
                <w:rFonts w:ascii="Arial" w:cs="Arial" w:eastAsia="Arial" w:hAnsi="Arial"/>
                <w:sz w:val="19"/>
                <w:szCs w:val="19"/>
                <w:color w:val="auto"/>
              </w:rPr>
              <w:t>588,191</w:t>
            </w:r>
          </w:p>
        </w:tc>
      </w:tr>
      <w:tr>
        <w:trPr>
          <w:trHeight w:val="210"/>
        </w:trPr>
        <w:tc>
          <w:tcPr>
            <w:tcW w:w="8900" w:type="dxa"/>
            <w:vAlign w:val="bottom"/>
            <w:shd w:val="clear" w:color="auto" w:fill="CCEEFF"/>
          </w:tcPr>
          <w:p>
            <w:pPr>
              <w:ind w:left="660"/>
              <w:spacing w:after="0" w:line="210" w:lineRule="exact"/>
              <w:rPr>
                <w:sz w:val="20"/>
                <w:szCs w:val="20"/>
                <w:color w:val="auto"/>
              </w:rPr>
            </w:pPr>
            <w:r>
              <w:rPr>
                <w:rFonts w:ascii="Arial" w:cs="Arial" w:eastAsia="Arial" w:hAnsi="Arial"/>
                <w:sz w:val="19"/>
                <w:szCs w:val="19"/>
                <w:color w:val="auto"/>
              </w:rPr>
              <w:t>Total oil and natural gas sales</w:t>
            </w: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5"/>
              <w:spacing w:after="0" w:line="210" w:lineRule="exact"/>
              <w:rPr>
                <w:sz w:val="20"/>
                <w:szCs w:val="20"/>
                <w:color w:val="auto"/>
              </w:rPr>
            </w:pPr>
            <w:r>
              <w:rPr>
                <w:rFonts w:ascii="Arial" w:cs="Arial" w:eastAsia="Arial" w:hAnsi="Arial"/>
                <w:sz w:val="19"/>
                <w:szCs w:val="19"/>
                <w:color w:val="auto"/>
              </w:rPr>
              <w:t>7,479,342</w:t>
            </w:r>
          </w:p>
        </w:tc>
      </w:tr>
      <w:tr>
        <w:trPr>
          <w:trHeight w:val="216"/>
        </w:trPr>
        <w:tc>
          <w:tcPr>
            <w:tcW w:w="8900" w:type="dxa"/>
            <w:vAlign w:val="bottom"/>
            <w:tcBorders>
              <w:bottom w:val="single" w:sz="8" w:color="auto"/>
            </w:tcBorders>
          </w:tcPr>
          <w:p>
            <w:pPr>
              <w:ind w:left="300"/>
              <w:spacing w:after="0" w:line="216" w:lineRule="exact"/>
              <w:rPr>
                <w:sz w:val="20"/>
                <w:szCs w:val="20"/>
                <w:color w:val="auto"/>
              </w:rPr>
            </w:pPr>
            <w:r>
              <w:rPr>
                <w:rFonts w:ascii="Arial" w:cs="Arial" w:eastAsia="Arial" w:hAnsi="Arial"/>
                <w:sz w:val="19"/>
                <w:szCs w:val="19"/>
                <w:color w:val="auto"/>
              </w:rPr>
              <w:t>Losses on derivatives</w:t>
            </w:r>
          </w:p>
        </w:tc>
        <w:tc>
          <w:tcPr>
            <w:tcW w:w="1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5"/>
              <w:spacing w:after="0" w:line="216" w:lineRule="exact"/>
              <w:rPr>
                <w:sz w:val="20"/>
                <w:szCs w:val="20"/>
                <w:color w:val="auto"/>
              </w:rPr>
            </w:pPr>
            <w:r>
              <w:rPr>
                <w:rFonts w:ascii="Arial" w:cs="Arial" w:eastAsia="Arial" w:hAnsi="Arial"/>
                <w:sz w:val="19"/>
                <w:szCs w:val="19"/>
                <w:color w:val="auto"/>
              </w:rPr>
              <w:t>(756,065)</w:t>
            </w:r>
          </w:p>
        </w:tc>
      </w:tr>
      <w:tr>
        <w:trPr>
          <w:trHeight w:val="156"/>
        </w:trPr>
        <w:tc>
          <w:tcPr>
            <w:tcW w:w="8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16"/>
        </w:trPr>
        <w:tc>
          <w:tcPr>
            <w:tcW w:w="8900" w:type="dxa"/>
            <w:vAlign w:val="bottom"/>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Total Revenues</w:t>
            </w: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5"/>
              <w:spacing w:after="0" w:line="216" w:lineRule="exact"/>
              <w:rPr>
                <w:sz w:val="20"/>
                <w:szCs w:val="20"/>
                <w:color w:val="auto"/>
              </w:rPr>
            </w:pPr>
            <w:r>
              <w:rPr>
                <w:rFonts w:ascii="Arial" w:cs="Arial" w:eastAsia="Arial" w:hAnsi="Arial"/>
                <w:sz w:val="19"/>
                <w:szCs w:val="19"/>
                <w:color w:val="auto"/>
              </w:rPr>
              <w:t>6,723,277</w:t>
            </w:r>
          </w:p>
        </w:tc>
      </w:tr>
      <w:tr>
        <w:trPr>
          <w:trHeight w:val="392"/>
        </w:trPr>
        <w:tc>
          <w:tcPr>
            <w:tcW w:w="8900" w:type="dxa"/>
            <w:vAlign w:val="bottom"/>
          </w:tcPr>
          <w:p>
            <w:pPr>
              <w:ind w:left="100"/>
              <w:spacing w:after="0"/>
              <w:rPr>
                <w:sz w:val="20"/>
                <w:szCs w:val="20"/>
                <w:color w:val="auto"/>
              </w:rPr>
            </w:pPr>
            <w:r>
              <w:rPr>
                <w:rFonts w:ascii="Arial" w:cs="Arial" w:eastAsia="Arial" w:hAnsi="Arial"/>
                <w:sz w:val="19"/>
                <w:szCs w:val="19"/>
                <w:b w:val="1"/>
                <w:bCs w:val="1"/>
                <w:color w:val="auto"/>
              </w:rPr>
              <w:t>Operating Expenses</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8900" w:type="dxa"/>
            <w:vAlign w:val="bottom"/>
            <w:shd w:val="clear" w:color="auto" w:fill="CCEEFF"/>
          </w:tcPr>
          <w:p>
            <w:pPr>
              <w:ind w:left="300"/>
              <w:spacing w:after="0" w:line="216" w:lineRule="exact"/>
              <w:rPr>
                <w:sz w:val="20"/>
                <w:szCs w:val="20"/>
                <w:color w:val="auto"/>
              </w:rPr>
            </w:pPr>
            <w:r>
              <w:rPr>
                <w:rFonts w:ascii="Arial" w:cs="Arial" w:eastAsia="Arial" w:hAnsi="Arial"/>
                <w:sz w:val="19"/>
                <w:szCs w:val="19"/>
                <w:color w:val="auto"/>
              </w:rPr>
              <w:t>Oil and natural gas production expenses</w:t>
            </w: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5"/>
              <w:spacing w:after="0" w:line="216" w:lineRule="exact"/>
              <w:rPr>
                <w:sz w:val="20"/>
                <w:szCs w:val="20"/>
                <w:color w:val="auto"/>
              </w:rPr>
            </w:pPr>
            <w:r>
              <w:rPr>
                <w:rFonts w:ascii="Arial" w:cs="Arial" w:eastAsia="Arial" w:hAnsi="Arial"/>
                <w:sz w:val="19"/>
                <w:szCs w:val="19"/>
                <w:color w:val="auto"/>
              </w:rPr>
              <w:t>6,539,221</w:t>
            </w:r>
          </w:p>
        </w:tc>
      </w:tr>
      <w:tr>
        <w:trPr>
          <w:trHeight w:val="216"/>
        </w:trPr>
        <w:tc>
          <w:tcPr>
            <w:tcW w:w="8900" w:type="dxa"/>
            <w:vAlign w:val="bottom"/>
          </w:tcPr>
          <w:p>
            <w:pPr>
              <w:ind w:left="300"/>
              <w:spacing w:after="0" w:line="216" w:lineRule="exact"/>
              <w:rPr>
                <w:sz w:val="20"/>
                <w:szCs w:val="20"/>
                <w:color w:val="auto"/>
              </w:rPr>
            </w:pPr>
            <w:r>
              <w:rPr>
                <w:rFonts w:ascii="Arial" w:cs="Arial" w:eastAsia="Arial" w:hAnsi="Arial"/>
                <w:sz w:val="19"/>
                <w:szCs w:val="19"/>
                <w:color w:val="auto"/>
              </w:rPr>
              <w:t>Oil and natural gas production taxes</w:t>
            </w:r>
          </w:p>
        </w:tc>
        <w:tc>
          <w:tcPr>
            <w:tcW w:w="1220" w:type="dxa"/>
            <w:vAlign w:val="bottom"/>
          </w:tcPr>
          <w:p>
            <w:pPr>
              <w:spacing w:after="0"/>
              <w:rPr>
                <w:sz w:val="18"/>
                <w:szCs w:val="18"/>
                <w:color w:val="auto"/>
              </w:rPr>
            </w:pPr>
          </w:p>
        </w:tc>
        <w:tc>
          <w:tcPr>
            <w:tcW w:w="1300" w:type="dxa"/>
            <w:vAlign w:val="bottom"/>
          </w:tcPr>
          <w:p>
            <w:pPr>
              <w:jc w:val="right"/>
              <w:ind w:right="85"/>
              <w:spacing w:after="0" w:line="216" w:lineRule="exact"/>
              <w:rPr>
                <w:sz w:val="20"/>
                <w:szCs w:val="20"/>
                <w:color w:val="auto"/>
              </w:rPr>
            </w:pPr>
            <w:r>
              <w:rPr>
                <w:rFonts w:ascii="Arial" w:cs="Arial" w:eastAsia="Arial" w:hAnsi="Arial"/>
                <w:sz w:val="19"/>
                <w:szCs w:val="19"/>
                <w:color w:val="auto"/>
              </w:rPr>
              <w:t>281,162</w:t>
            </w:r>
          </w:p>
        </w:tc>
      </w:tr>
      <w:tr>
        <w:trPr>
          <w:trHeight w:val="216"/>
        </w:trPr>
        <w:tc>
          <w:tcPr>
            <w:tcW w:w="8900" w:type="dxa"/>
            <w:vAlign w:val="bottom"/>
            <w:shd w:val="clear" w:color="auto" w:fill="CCEEFF"/>
          </w:tcPr>
          <w:p>
            <w:pPr>
              <w:ind w:left="300"/>
              <w:spacing w:after="0" w:line="216" w:lineRule="exact"/>
              <w:rPr>
                <w:sz w:val="20"/>
                <w:szCs w:val="20"/>
                <w:color w:val="auto"/>
              </w:rPr>
            </w:pPr>
            <w:r>
              <w:rPr>
                <w:rFonts w:ascii="Arial" w:cs="Arial" w:eastAsia="Arial" w:hAnsi="Arial"/>
                <w:sz w:val="19"/>
                <w:szCs w:val="19"/>
                <w:color w:val="auto"/>
              </w:rPr>
              <w:t>Depreciation, depletion and amortization</w:t>
            </w: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5"/>
              <w:spacing w:after="0" w:line="216" w:lineRule="exact"/>
              <w:rPr>
                <w:sz w:val="20"/>
                <w:szCs w:val="20"/>
                <w:color w:val="auto"/>
              </w:rPr>
            </w:pPr>
            <w:r>
              <w:rPr>
                <w:rFonts w:ascii="Arial" w:cs="Arial" w:eastAsia="Arial" w:hAnsi="Arial"/>
                <w:sz w:val="19"/>
                <w:szCs w:val="19"/>
                <w:color w:val="auto"/>
              </w:rPr>
              <w:t>2,380,937</w:t>
            </w:r>
          </w:p>
        </w:tc>
      </w:tr>
      <w:tr>
        <w:trPr>
          <w:trHeight w:val="216"/>
        </w:trPr>
        <w:tc>
          <w:tcPr>
            <w:tcW w:w="8900" w:type="dxa"/>
            <w:vAlign w:val="bottom"/>
          </w:tcPr>
          <w:p>
            <w:pPr>
              <w:ind w:left="300"/>
              <w:spacing w:after="0" w:line="216" w:lineRule="exact"/>
              <w:rPr>
                <w:sz w:val="20"/>
                <w:szCs w:val="20"/>
                <w:color w:val="auto"/>
              </w:rPr>
            </w:pPr>
            <w:r>
              <w:rPr>
                <w:rFonts w:ascii="Arial" w:cs="Arial" w:eastAsia="Arial" w:hAnsi="Arial"/>
                <w:sz w:val="19"/>
                <w:szCs w:val="19"/>
                <w:color w:val="auto"/>
              </w:rPr>
              <w:t>Impairment of oil and gas properties</w:t>
            </w:r>
          </w:p>
        </w:tc>
        <w:tc>
          <w:tcPr>
            <w:tcW w:w="1220" w:type="dxa"/>
            <w:vAlign w:val="bottom"/>
          </w:tcPr>
          <w:p>
            <w:pPr>
              <w:spacing w:after="0"/>
              <w:rPr>
                <w:sz w:val="18"/>
                <w:szCs w:val="18"/>
                <w:color w:val="auto"/>
              </w:rPr>
            </w:pPr>
          </w:p>
        </w:tc>
        <w:tc>
          <w:tcPr>
            <w:tcW w:w="1300" w:type="dxa"/>
            <w:vAlign w:val="bottom"/>
          </w:tcPr>
          <w:p>
            <w:pPr>
              <w:jc w:val="right"/>
              <w:ind w:right="85"/>
              <w:spacing w:after="0" w:line="216" w:lineRule="exact"/>
              <w:rPr>
                <w:sz w:val="20"/>
                <w:szCs w:val="20"/>
                <w:color w:val="auto"/>
              </w:rPr>
            </w:pPr>
            <w:r>
              <w:rPr>
                <w:rFonts w:ascii="Arial" w:cs="Arial" w:eastAsia="Arial" w:hAnsi="Arial"/>
                <w:sz w:val="19"/>
                <w:szCs w:val="19"/>
                <w:color w:val="auto"/>
              </w:rPr>
              <w:t>4,574,977</w:t>
            </w:r>
          </w:p>
        </w:tc>
      </w:tr>
      <w:tr>
        <w:trPr>
          <w:trHeight w:val="216"/>
        </w:trPr>
        <w:tc>
          <w:tcPr>
            <w:tcW w:w="8900" w:type="dxa"/>
            <w:vAlign w:val="bottom"/>
            <w:shd w:val="clear" w:color="auto" w:fill="CCEEFF"/>
          </w:tcPr>
          <w:p>
            <w:pPr>
              <w:ind w:left="300"/>
              <w:spacing w:after="0" w:line="216" w:lineRule="exact"/>
              <w:rPr>
                <w:sz w:val="20"/>
                <w:szCs w:val="20"/>
                <w:color w:val="auto"/>
              </w:rPr>
            </w:pPr>
            <w:r>
              <w:rPr>
                <w:rFonts w:ascii="Arial" w:cs="Arial" w:eastAsia="Arial" w:hAnsi="Arial"/>
                <w:sz w:val="19"/>
                <w:szCs w:val="19"/>
                <w:color w:val="auto"/>
              </w:rPr>
              <w:t>Accretion of asset retirement obligations</w:t>
            </w: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5"/>
              <w:spacing w:after="0" w:line="216" w:lineRule="exact"/>
              <w:rPr>
                <w:sz w:val="20"/>
                <w:szCs w:val="20"/>
                <w:color w:val="auto"/>
              </w:rPr>
            </w:pPr>
            <w:r>
              <w:rPr>
                <w:rFonts w:ascii="Arial" w:cs="Arial" w:eastAsia="Arial" w:hAnsi="Arial"/>
                <w:sz w:val="19"/>
                <w:szCs w:val="19"/>
                <w:color w:val="auto"/>
              </w:rPr>
              <w:t>688,527</w:t>
            </w:r>
          </w:p>
        </w:tc>
      </w:tr>
      <w:tr>
        <w:trPr>
          <w:trHeight w:val="216"/>
        </w:trPr>
        <w:tc>
          <w:tcPr>
            <w:tcW w:w="8900" w:type="dxa"/>
            <w:vAlign w:val="bottom"/>
          </w:tcPr>
          <w:p>
            <w:pPr>
              <w:ind w:left="300"/>
              <w:spacing w:after="0" w:line="216" w:lineRule="exact"/>
              <w:rPr>
                <w:sz w:val="20"/>
                <w:szCs w:val="20"/>
                <w:color w:val="auto"/>
              </w:rPr>
            </w:pPr>
            <w:r>
              <w:rPr>
                <w:rFonts w:ascii="Arial" w:cs="Arial" w:eastAsia="Arial" w:hAnsi="Arial"/>
                <w:sz w:val="19"/>
                <w:szCs w:val="19"/>
                <w:color w:val="auto"/>
              </w:rPr>
              <w:t>Bad debt expense</w:t>
            </w:r>
          </w:p>
        </w:tc>
        <w:tc>
          <w:tcPr>
            <w:tcW w:w="1220" w:type="dxa"/>
            <w:vAlign w:val="bottom"/>
          </w:tcPr>
          <w:p>
            <w:pPr>
              <w:spacing w:after="0"/>
              <w:rPr>
                <w:sz w:val="18"/>
                <w:szCs w:val="18"/>
                <w:color w:val="auto"/>
              </w:rPr>
            </w:pPr>
          </w:p>
        </w:tc>
        <w:tc>
          <w:tcPr>
            <w:tcW w:w="1300" w:type="dxa"/>
            <w:vAlign w:val="bottom"/>
          </w:tcPr>
          <w:p>
            <w:pPr>
              <w:jc w:val="right"/>
              <w:ind w:right="85"/>
              <w:spacing w:after="0" w:line="216" w:lineRule="exact"/>
              <w:rPr>
                <w:sz w:val="20"/>
                <w:szCs w:val="20"/>
                <w:color w:val="auto"/>
              </w:rPr>
            </w:pPr>
            <w:r>
              <w:rPr>
                <w:rFonts w:ascii="Arial" w:cs="Arial" w:eastAsia="Arial" w:hAnsi="Arial"/>
                <w:sz w:val="19"/>
                <w:szCs w:val="19"/>
                <w:color w:val="auto"/>
              </w:rPr>
              <w:t>100,132</w:t>
            </w:r>
          </w:p>
        </w:tc>
      </w:tr>
      <w:tr>
        <w:trPr>
          <w:trHeight w:val="216"/>
        </w:trPr>
        <w:tc>
          <w:tcPr>
            <w:tcW w:w="8900" w:type="dxa"/>
            <w:vAlign w:val="bottom"/>
            <w:tcBorders>
              <w:bottom w:val="single" w:sz="8" w:color="auto"/>
            </w:tcBorders>
            <w:shd w:val="clear" w:color="auto" w:fill="CCEEFF"/>
          </w:tcPr>
          <w:p>
            <w:pPr>
              <w:ind w:left="300"/>
              <w:spacing w:after="0" w:line="216" w:lineRule="exact"/>
              <w:rPr>
                <w:sz w:val="20"/>
                <w:szCs w:val="20"/>
                <w:color w:val="auto"/>
              </w:rPr>
            </w:pPr>
            <w:r>
              <w:rPr>
                <w:rFonts w:ascii="Arial" w:cs="Arial" w:eastAsia="Arial" w:hAnsi="Arial"/>
                <w:sz w:val="19"/>
                <w:szCs w:val="19"/>
                <w:color w:val="auto"/>
              </w:rPr>
              <w:t>General and administrative, overhead and other expenses, net of operator’s overhead fees</w:t>
            </w:r>
          </w:p>
        </w:tc>
        <w:tc>
          <w:tcPr>
            <w:tcW w:w="1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85"/>
              <w:spacing w:after="0" w:line="216" w:lineRule="exact"/>
              <w:rPr>
                <w:sz w:val="20"/>
                <w:szCs w:val="20"/>
                <w:color w:val="auto"/>
              </w:rPr>
            </w:pPr>
            <w:r>
              <w:rPr>
                <w:rFonts w:ascii="Arial" w:cs="Arial" w:eastAsia="Arial" w:hAnsi="Arial"/>
                <w:sz w:val="19"/>
                <w:szCs w:val="19"/>
                <w:color w:val="auto"/>
              </w:rPr>
              <w:t>3,711,685</w:t>
            </w:r>
          </w:p>
        </w:tc>
      </w:tr>
      <w:tr>
        <w:trPr>
          <w:trHeight w:val="372"/>
        </w:trPr>
        <w:tc>
          <w:tcPr>
            <w:tcW w:w="8900" w:type="dxa"/>
            <w:vAlign w:val="bottom"/>
            <w:tcBorders>
              <w:bottom w:val="single" w:sz="8" w:color="auto"/>
            </w:tcBorders>
          </w:tcPr>
          <w:p>
            <w:pPr>
              <w:ind w:left="100"/>
              <w:spacing w:after="0"/>
              <w:rPr>
                <w:sz w:val="20"/>
                <w:szCs w:val="20"/>
                <w:color w:val="auto"/>
              </w:rPr>
            </w:pPr>
            <w:r>
              <w:rPr>
                <w:rFonts w:ascii="Arial" w:cs="Arial" w:eastAsia="Arial" w:hAnsi="Arial"/>
                <w:sz w:val="19"/>
                <w:szCs w:val="19"/>
                <w:b w:val="1"/>
                <w:bCs w:val="1"/>
                <w:color w:val="auto"/>
              </w:rPr>
              <w:t>Total Operating Expenses</w:t>
            </w:r>
          </w:p>
        </w:tc>
        <w:tc>
          <w:tcPr>
            <w:tcW w:w="1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9"/>
                <w:szCs w:val="19"/>
                <w:color w:val="auto"/>
              </w:rPr>
              <w:t>18,276,641</w:t>
            </w:r>
          </w:p>
        </w:tc>
      </w:tr>
      <w:tr>
        <w:trPr>
          <w:trHeight w:val="156"/>
        </w:trPr>
        <w:tc>
          <w:tcPr>
            <w:tcW w:w="8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16"/>
        </w:trPr>
        <w:tc>
          <w:tcPr>
            <w:tcW w:w="8900" w:type="dxa"/>
            <w:vAlign w:val="bottom"/>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Loss from Operations</w:t>
            </w: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5"/>
              <w:spacing w:after="0" w:line="216" w:lineRule="exact"/>
              <w:rPr>
                <w:sz w:val="20"/>
                <w:szCs w:val="20"/>
                <w:color w:val="auto"/>
              </w:rPr>
            </w:pPr>
            <w:r>
              <w:rPr>
                <w:rFonts w:ascii="Arial" w:cs="Arial" w:eastAsia="Arial" w:hAnsi="Arial"/>
                <w:sz w:val="19"/>
                <w:szCs w:val="19"/>
                <w:color w:val="auto"/>
              </w:rPr>
              <w:t>(11,553,364)</w:t>
            </w:r>
          </w:p>
        </w:tc>
      </w:tr>
      <w:tr>
        <w:trPr>
          <w:trHeight w:val="392"/>
        </w:trPr>
        <w:tc>
          <w:tcPr>
            <w:tcW w:w="8900" w:type="dxa"/>
            <w:vAlign w:val="bottom"/>
          </w:tcPr>
          <w:p>
            <w:pPr>
              <w:ind w:left="100"/>
              <w:spacing w:after="0"/>
              <w:rPr>
                <w:sz w:val="20"/>
                <w:szCs w:val="20"/>
                <w:color w:val="auto"/>
              </w:rPr>
            </w:pPr>
            <w:r>
              <w:rPr>
                <w:rFonts w:ascii="Arial" w:cs="Arial" w:eastAsia="Arial" w:hAnsi="Arial"/>
                <w:sz w:val="19"/>
                <w:szCs w:val="19"/>
                <w:b w:val="1"/>
                <w:bCs w:val="1"/>
                <w:color w:val="auto"/>
              </w:rPr>
              <w:t>Other Income (Expense)</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8900" w:type="dxa"/>
            <w:vAlign w:val="bottom"/>
            <w:shd w:val="clear" w:color="auto" w:fill="CCEEFF"/>
          </w:tcPr>
          <w:p>
            <w:pPr>
              <w:ind w:left="300"/>
              <w:spacing w:after="0" w:line="216" w:lineRule="exact"/>
              <w:rPr>
                <w:sz w:val="20"/>
                <w:szCs w:val="20"/>
                <w:color w:val="auto"/>
              </w:rPr>
            </w:pPr>
            <w:r>
              <w:rPr>
                <w:rFonts w:ascii="Arial" w:cs="Arial" w:eastAsia="Arial" w:hAnsi="Arial"/>
                <w:sz w:val="19"/>
                <w:szCs w:val="19"/>
                <w:color w:val="auto"/>
              </w:rPr>
              <w:t>Interest expense</w:t>
            </w: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5"/>
              <w:spacing w:after="0" w:line="216" w:lineRule="exact"/>
              <w:rPr>
                <w:sz w:val="20"/>
                <w:szCs w:val="20"/>
                <w:color w:val="auto"/>
              </w:rPr>
            </w:pPr>
            <w:r>
              <w:rPr>
                <w:rFonts w:ascii="Arial" w:cs="Arial" w:eastAsia="Arial" w:hAnsi="Arial"/>
                <w:sz w:val="19"/>
                <w:szCs w:val="19"/>
                <w:color w:val="auto"/>
              </w:rPr>
              <w:t>(8,358,544)</w:t>
            </w:r>
          </w:p>
        </w:tc>
      </w:tr>
      <w:tr>
        <w:trPr>
          <w:trHeight w:val="216"/>
        </w:trPr>
        <w:tc>
          <w:tcPr>
            <w:tcW w:w="8900" w:type="dxa"/>
            <w:vAlign w:val="bottom"/>
          </w:tcPr>
          <w:p>
            <w:pPr>
              <w:ind w:left="300"/>
              <w:spacing w:after="0" w:line="216" w:lineRule="exact"/>
              <w:rPr>
                <w:sz w:val="20"/>
                <w:szCs w:val="20"/>
                <w:color w:val="auto"/>
              </w:rPr>
            </w:pPr>
            <w:r>
              <w:rPr>
                <w:rFonts w:ascii="Arial" w:cs="Arial" w:eastAsia="Arial" w:hAnsi="Arial"/>
                <w:sz w:val="19"/>
                <w:szCs w:val="19"/>
                <w:color w:val="auto"/>
              </w:rPr>
              <w:t>Interest income</w:t>
            </w:r>
          </w:p>
        </w:tc>
        <w:tc>
          <w:tcPr>
            <w:tcW w:w="1220" w:type="dxa"/>
            <w:vAlign w:val="bottom"/>
          </w:tcPr>
          <w:p>
            <w:pPr>
              <w:spacing w:after="0"/>
              <w:rPr>
                <w:sz w:val="18"/>
                <w:szCs w:val="18"/>
                <w:color w:val="auto"/>
              </w:rPr>
            </w:pPr>
          </w:p>
        </w:tc>
        <w:tc>
          <w:tcPr>
            <w:tcW w:w="1300" w:type="dxa"/>
            <w:vAlign w:val="bottom"/>
          </w:tcPr>
          <w:p>
            <w:pPr>
              <w:jc w:val="right"/>
              <w:ind w:right="85"/>
              <w:spacing w:after="0" w:line="216" w:lineRule="exact"/>
              <w:rPr>
                <w:sz w:val="20"/>
                <w:szCs w:val="20"/>
                <w:color w:val="auto"/>
              </w:rPr>
            </w:pPr>
            <w:r>
              <w:rPr>
                <w:rFonts w:ascii="Arial" w:cs="Arial" w:eastAsia="Arial" w:hAnsi="Arial"/>
                <w:sz w:val="19"/>
                <w:szCs w:val="19"/>
                <w:color w:val="auto"/>
              </w:rPr>
              <w:t>3,524</w:t>
            </w:r>
          </w:p>
        </w:tc>
      </w:tr>
      <w:tr>
        <w:trPr>
          <w:trHeight w:val="216"/>
        </w:trPr>
        <w:tc>
          <w:tcPr>
            <w:tcW w:w="8900" w:type="dxa"/>
            <w:vAlign w:val="bottom"/>
            <w:tcBorders>
              <w:bottom w:val="single" w:sz="8" w:color="auto"/>
            </w:tcBorders>
            <w:shd w:val="clear" w:color="auto" w:fill="CCEEFF"/>
          </w:tcPr>
          <w:p>
            <w:pPr>
              <w:ind w:left="300"/>
              <w:spacing w:after="0" w:line="216" w:lineRule="exact"/>
              <w:rPr>
                <w:sz w:val="20"/>
                <w:szCs w:val="20"/>
                <w:color w:val="auto"/>
              </w:rPr>
            </w:pPr>
            <w:r>
              <w:rPr>
                <w:rFonts w:ascii="Arial" w:cs="Arial" w:eastAsia="Arial" w:hAnsi="Arial"/>
                <w:sz w:val="19"/>
                <w:szCs w:val="19"/>
                <w:color w:val="auto"/>
              </w:rPr>
              <w:t>Other income, net</w:t>
            </w:r>
          </w:p>
        </w:tc>
        <w:tc>
          <w:tcPr>
            <w:tcW w:w="1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85"/>
              <w:spacing w:after="0" w:line="216" w:lineRule="exact"/>
              <w:rPr>
                <w:sz w:val="20"/>
                <w:szCs w:val="20"/>
                <w:color w:val="auto"/>
              </w:rPr>
            </w:pPr>
            <w:r>
              <w:rPr>
                <w:rFonts w:ascii="Arial" w:cs="Arial" w:eastAsia="Arial" w:hAnsi="Arial"/>
                <w:sz w:val="19"/>
                <w:szCs w:val="19"/>
                <w:color w:val="auto"/>
              </w:rPr>
              <w:t>125,710</w:t>
            </w:r>
          </w:p>
        </w:tc>
      </w:tr>
      <w:tr>
        <w:trPr>
          <w:trHeight w:val="372"/>
        </w:trPr>
        <w:tc>
          <w:tcPr>
            <w:tcW w:w="8900" w:type="dxa"/>
            <w:vAlign w:val="bottom"/>
            <w:tcBorders>
              <w:bottom w:val="single" w:sz="8" w:color="auto"/>
            </w:tcBorders>
          </w:tcPr>
          <w:p>
            <w:pPr>
              <w:ind w:left="100"/>
              <w:spacing w:after="0"/>
              <w:rPr>
                <w:sz w:val="20"/>
                <w:szCs w:val="20"/>
                <w:color w:val="auto"/>
              </w:rPr>
            </w:pPr>
            <w:r>
              <w:rPr>
                <w:rFonts w:ascii="Arial" w:cs="Arial" w:eastAsia="Arial" w:hAnsi="Arial"/>
                <w:sz w:val="19"/>
                <w:szCs w:val="19"/>
                <w:b w:val="1"/>
                <w:bCs w:val="1"/>
                <w:color w:val="auto"/>
              </w:rPr>
              <w:t>Total Other Income (Expense)</w:t>
            </w:r>
          </w:p>
        </w:tc>
        <w:tc>
          <w:tcPr>
            <w:tcW w:w="1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(8,229,310)</w:t>
            </w:r>
          </w:p>
        </w:tc>
      </w:tr>
      <w:tr>
        <w:trPr>
          <w:trHeight w:val="156"/>
        </w:trPr>
        <w:tc>
          <w:tcPr>
            <w:tcW w:w="8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23"/>
        </w:trPr>
        <w:tc>
          <w:tcPr>
            <w:tcW w:w="8900" w:type="dxa"/>
            <w:vAlign w:val="bottom"/>
            <w:tcBorders>
              <w:bottom w:val="single" w:sz="8" w:color="auto"/>
            </w:tcBorders>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Net Loss</w:t>
            </w:r>
          </w:p>
        </w:tc>
        <w:tc>
          <w:tcPr>
            <w:tcW w:w="1220" w:type="dxa"/>
            <w:vAlign w:val="bottom"/>
            <w:tcBorders>
              <w:bottom w:val="single" w:sz="8" w:color="auto"/>
            </w:tcBorders>
            <w:shd w:val="clear" w:color="auto" w:fill="CCEEFF"/>
          </w:tcPr>
          <w:p>
            <w:pPr>
              <w:jc w:val="right"/>
              <w:ind w:right="5"/>
              <w:spacing w:after="0" w:line="216" w:lineRule="exact"/>
              <w:rPr>
                <w:sz w:val="20"/>
                <w:szCs w:val="20"/>
                <w:color w:val="auto"/>
              </w:rPr>
            </w:pPr>
            <w:r>
              <w:rPr>
                <w:rFonts w:ascii="Arial" w:cs="Arial" w:eastAsia="Arial" w:hAnsi="Arial"/>
                <w:sz w:val="19"/>
                <w:szCs w:val="19"/>
                <w:color w:val="auto"/>
              </w:rPr>
              <w:t>$</w:t>
            </w:r>
          </w:p>
        </w:tc>
        <w:tc>
          <w:tcPr>
            <w:tcW w:w="1300" w:type="dxa"/>
            <w:vAlign w:val="bottom"/>
            <w:tcBorders>
              <w:bottom w:val="single" w:sz="8" w:color="auto"/>
            </w:tcBorders>
            <w:shd w:val="clear" w:color="auto" w:fill="CCEEFF"/>
          </w:tcPr>
          <w:p>
            <w:pPr>
              <w:jc w:val="right"/>
              <w:ind w:right="25"/>
              <w:spacing w:after="0" w:line="216" w:lineRule="exact"/>
              <w:rPr>
                <w:sz w:val="20"/>
                <w:szCs w:val="20"/>
                <w:color w:val="auto"/>
              </w:rPr>
            </w:pPr>
            <w:r>
              <w:rPr>
                <w:rFonts w:ascii="Arial" w:cs="Arial" w:eastAsia="Arial" w:hAnsi="Arial"/>
                <w:sz w:val="19"/>
                <w:szCs w:val="19"/>
                <w:color w:val="auto"/>
              </w:rPr>
              <w:t>(19,782,674)</w:t>
            </w:r>
          </w:p>
        </w:tc>
      </w:tr>
    </w:tbl>
    <w:p>
      <w:pPr>
        <w:spacing w:after="0" w:line="1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3820"/>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142" w:lineRule="exact"/>
        <w:rPr>
          <w:sz w:val="20"/>
          <w:szCs w:val="20"/>
          <w:color w:val="auto"/>
        </w:rPr>
      </w:pPr>
    </w:p>
    <w:p>
      <w:pPr>
        <w:ind w:left="5660"/>
        <w:spacing w:after="0"/>
        <w:rPr>
          <w:sz w:val="20"/>
          <w:szCs w:val="20"/>
          <w:color w:val="auto"/>
        </w:rPr>
      </w:pPr>
      <w:r>
        <w:rPr>
          <w:rFonts w:ascii="Arial" w:cs="Arial" w:eastAsia="Arial" w:hAnsi="Arial"/>
          <w:sz w:val="19"/>
          <w:szCs w:val="19"/>
          <w:b w:val="1"/>
          <w:bCs w:val="1"/>
          <w:color w:val="auto"/>
        </w:rPr>
        <w:t>5</w:t>
      </w:r>
    </w:p>
    <w:p>
      <w:pPr>
        <w:sectPr>
          <w:pgSz w:w="11900" w:h="16838" w:orient="portrait"/>
          <w:cols w:equalWidth="0" w:num="1">
            <w:col w:w="11420"/>
          </w:cols>
          <w:pgMar w:left="240" w:top="258" w:right="23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336"/>
        </w:trPr>
        <w:tc>
          <w:tcPr>
            <w:tcW w:w="3040" w:type="dxa"/>
            <w:vAlign w:val="bottom"/>
          </w:tcPr>
          <w:p>
            <w:pPr>
              <w:spacing w:after="0"/>
              <w:rPr>
                <w:sz w:val="24"/>
                <w:szCs w:val="24"/>
                <w:color w:val="auto"/>
              </w:rPr>
            </w:pPr>
          </w:p>
        </w:tc>
        <w:tc>
          <w:tcPr>
            <w:tcW w:w="7180" w:type="dxa"/>
            <w:vAlign w:val="bottom"/>
          </w:tcPr>
          <w:p>
            <w:pPr>
              <w:jc w:val="center"/>
              <w:ind w:right="1716"/>
              <w:spacing w:after="0"/>
              <w:rPr>
                <w:sz w:val="20"/>
                <w:szCs w:val="20"/>
                <w:color w:val="auto"/>
              </w:rPr>
            </w:pPr>
            <w:r>
              <w:rPr>
                <w:rFonts w:ascii="Arial" w:cs="Arial" w:eastAsia="Arial" w:hAnsi="Arial"/>
                <w:sz w:val="25"/>
                <w:szCs w:val="25"/>
                <w:b w:val="1"/>
                <w:bCs w:val="1"/>
                <w:color w:val="auto"/>
              </w:rPr>
              <w:t>RAM Energy Holdings LLC</w:t>
            </w:r>
          </w:p>
        </w:tc>
        <w:tc>
          <w:tcPr>
            <w:tcW w:w="1200" w:type="dxa"/>
            <w:vAlign w:val="bottom"/>
          </w:tcPr>
          <w:p>
            <w:pPr>
              <w:spacing w:after="0"/>
              <w:rPr>
                <w:sz w:val="24"/>
                <w:szCs w:val="24"/>
                <w:color w:val="auto"/>
              </w:rPr>
            </w:pPr>
          </w:p>
        </w:tc>
      </w:tr>
      <w:tr>
        <w:trPr>
          <w:trHeight w:val="458"/>
        </w:trPr>
        <w:tc>
          <w:tcPr>
            <w:tcW w:w="304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jc w:val="center"/>
              <w:ind w:right="1716"/>
              <w:spacing w:after="0"/>
              <w:rPr>
                <w:sz w:val="20"/>
                <w:szCs w:val="20"/>
                <w:color w:val="auto"/>
              </w:rPr>
            </w:pPr>
            <w:r>
              <w:rPr>
                <w:rFonts w:ascii="Arial" w:cs="Arial" w:eastAsia="Arial" w:hAnsi="Arial"/>
                <w:sz w:val="22"/>
                <w:szCs w:val="22"/>
                <w:b w:val="1"/>
                <w:bCs w:val="1"/>
                <w:color w:val="auto"/>
                <w:w w:val="98"/>
              </w:rPr>
              <w:t>Consolidated Statement of Member’s Deficit</w:t>
            </w:r>
          </w:p>
        </w:tc>
        <w:tc>
          <w:tcPr>
            <w:tcW w:w="1200" w:type="dxa"/>
            <w:vAlign w:val="bottom"/>
            <w:tcBorders>
              <w:bottom w:val="single" w:sz="8" w:color="auto"/>
            </w:tcBorders>
          </w:tcPr>
          <w:p>
            <w:pPr>
              <w:spacing w:after="0"/>
              <w:rPr>
                <w:sz w:val="24"/>
                <w:szCs w:val="24"/>
                <w:color w:val="auto"/>
              </w:rPr>
            </w:pPr>
          </w:p>
        </w:tc>
      </w:tr>
      <w:tr>
        <w:trPr>
          <w:trHeight w:val="480"/>
        </w:trPr>
        <w:tc>
          <w:tcPr>
            <w:tcW w:w="3040" w:type="dxa"/>
            <w:vAlign w:val="bottom"/>
          </w:tcPr>
          <w:p>
            <w:pPr>
              <w:spacing w:after="0"/>
              <w:rPr>
                <w:sz w:val="24"/>
                <w:szCs w:val="24"/>
                <w:color w:val="auto"/>
              </w:rPr>
            </w:pPr>
          </w:p>
        </w:tc>
        <w:tc>
          <w:tcPr>
            <w:tcW w:w="8380" w:type="dxa"/>
            <w:vAlign w:val="bottom"/>
            <w:gridSpan w:val="2"/>
          </w:tcPr>
          <w:p>
            <w:pPr>
              <w:ind w:left="7100"/>
              <w:spacing w:after="0"/>
              <w:rPr>
                <w:sz w:val="20"/>
                <w:szCs w:val="20"/>
                <w:color w:val="auto"/>
              </w:rPr>
            </w:pPr>
            <w:r>
              <w:rPr>
                <w:rFonts w:ascii="Arial" w:cs="Arial" w:eastAsia="Arial" w:hAnsi="Arial"/>
                <w:sz w:val="19"/>
                <w:szCs w:val="19"/>
                <w:b w:val="1"/>
                <w:bCs w:val="1"/>
                <w:color w:val="auto"/>
              </w:rPr>
              <w:t>Member’s</w:t>
            </w:r>
          </w:p>
        </w:tc>
      </w:tr>
      <w:tr>
        <w:trPr>
          <w:trHeight w:val="236"/>
        </w:trPr>
        <w:tc>
          <w:tcPr>
            <w:tcW w:w="3040" w:type="dxa"/>
            <w:vAlign w:val="bottom"/>
            <w:tcBorders>
              <w:bottom w:val="single" w:sz="8" w:color="auto"/>
            </w:tcBorders>
          </w:tcPr>
          <w:p>
            <w:pPr>
              <w:spacing w:after="0"/>
              <w:rPr>
                <w:sz w:val="20"/>
                <w:szCs w:val="20"/>
                <w:color w:val="auto"/>
              </w:rPr>
            </w:pPr>
          </w:p>
        </w:tc>
        <w:tc>
          <w:tcPr>
            <w:tcW w:w="7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9"/>
                <w:szCs w:val="19"/>
                <w:b w:val="1"/>
                <w:bCs w:val="1"/>
                <w:color w:val="auto"/>
              </w:rPr>
              <w:t>Deficit</w:t>
            </w:r>
          </w:p>
        </w:tc>
      </w:tr>
      <w:tr>
        <w:trPr>
          <w:trHeight w:val="156"/>
        </w:trPr>
        <w:tc>
          <w:tcPr>
            <w:tcW w:w="304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16"/>
        </w:trPr>
        <w:tc>
          <w:tcPr>
            <w:tcW w:w="3040" w:type="dxa"/>
            <w:vAlign w:val="bottom"/>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Balance, December 31, 2015</w:t>
            </w:r>
          </w:p>
        </w:tc>
        <w:tc>
          <w:tcPr>
            <w:tcW w:w="718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w:t>
            </w:r>
          </w:p>
        </w:tc>
        <w:tc>
          <w:tcPr>
            <w:tcW w:w="1200" w:type="dxa"/>
            <w:vAlign w:val="bottom"/>
            <w:shd w:val="clear" w:color="auto" w:fill="CCEEFF"/>
          </w:tcPr>
          <w:p>
            <w:pPr>
              <w:ind w:left="60"/>
              <w:spacing w:after="0" w:line="216" w:lineRule="exact"/>
              <w:rPr>
                <w:sz w:val="20"/>
                <w:szCs w:val="20"/>
                <w:color w:val="auto"/>
              </w:rPr>
            </w:pPr>
            <w:r>
              <w:rPr>
                <w:rFonts w:ascii="Arial" w:cs="Arial" w:eastAsia="Arial" w:hAnsi="Arial"/>
                <w:sz w:val="19"/>
                <w:szCs w:val="19"/>
                <w:color w:val="auto"/>
              </w:rPr>
              <w:t>(45,608,689)</w:t>
            </w:r>
          </w:p>
        </w:tc>
      </w:tr>
      <w:tr>
        <w:trPr>
          <w:trHeight w:val="392"/>
        </w:trPr>
        <w:tc>
          <w:tcPr>
            <w:tcW w:w="3040" w:type="dxa"/>
            <w:vAlign w:val="bottom"/>
            <w:tcBorders>
              <w:bottom w:val="single" w:sz="8" w:color="auto"/>
            </w:tcBorders>
          </w:tcPr>
          <w:p>
            <w:pPr>
              <w:ind w:left="100"/>
              <w:spacing w:after="0"/>
              <w:rPr>
                <w:sz w:val="20"/>
                <w:szCs w:val="20"/>
                <w:color w:val="auto"/>
              </w:rPr>
            </w:pPr>
            <w:r>
              <w:rPr>
                <w:rFonts w:ascii="Arial" w:cs="Arial" w:eastAsia="Arial" w:hAnsi="Arial"/>
                <w:sz w:val="19"/>
                <w:szCs w:val="19"/>
                <w:color w:val="auto"/>
              </w:rPr>
              <w:t>Net loss</w:t>
            </w:r>
          </w:p>
        </w:tc>
        <w:tc>
          <w:tcPr>
            <w:tcW w:w="7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(19,782,674)</w:t>
            </w:r>
          </w:p>
        </w:tc>
      </w:tr>
      <w:tr>
        <w:trPr>
          <w:trHeight w:val="156"/>
        </w:trPr>
        <w:tc>
          <w:tcPr>
            <w:tcW w:w="304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23"/>
        </w:trPr>
        <w:tc>
          <w:tcPr>
            <w:tcW w:w="3040" w:type="dxa"/>
            <w:vAlign w:val="bottom"/>
            <w:tcBorders>
              <w:bottom w:val="single" w:sz="8" w:color="auto"/>
            </w:tcBorders>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Balance, December 31, 2016</w:t>
            </w:r>
          </w:p>
        </w:tc>
        <w:tc>
          <w:tcPr>
            <w:tcW w:w="7180" w:type="dxa"/>
            <w:vAlign w:val="bottom"/>
            <w:tcBorders>
              <w:bottom w:val="single" w:sz="8" w:color="auto"/>
            </w:tcBorders>
            <w:shd w:val="clear" w:color="auto" w:fill="CCEEFF"/>
          </w:tcPr>
          <w:p>
            <w:pPr>
              <w:jc w:val="right"/>
              <w:ind w:right="36"/>
              <w:spacing w:after="0" w:line="216" w:lineRule="exact"/>
              <w:rPr>
                <w:sz w:val="20"/>
                <w:szCs w:val="20"/>
                <w:color w:val="auto"/>
              </w:rPr>
            </w:pPr>
            <w:r>
              <w:rPr>
                <w:rFonts w:ascii="Arial" w:cs="Arial" w:eastAsia="Arial" w:hAnsi="Arial"/>
                <w:sz w:val="19"/>
                <w:szCs w:val="19"/>
                <w:color w:val="auto"/>
              </w:rPr>
              <w:t>$</w:t>
            </w:r>
          </w:p>
        </w:tc>
        <w:tc>
          <w:tcPr>
            <w:tcW w:w="1200" w:type="dxa"/>
            <w:vAlign w:val="bottom"/>
            <w:tcBorders>
              <w:bottom w:val="single" w:sz="8" w:color="auto"/>
            </w:tcBorders>
            <w:shd w:val="clear" w:color="auto" w:fill="CCEEFF"/>
          </w:tcPr>
          <w:p>
            <w:pPr>
              <w:ind w:left="60"/>
              <w:spacing w:after="0" w:line="216" w:lineRule="exact"/>
              <w:rPr>
                <w:sz w:val="20"/>
                <w:szCs w:val="20"/>
                <w:color w:val="auto"/>
              </w:rPr>
            </w:pPr>
            <w:r>
              <w:rPr>
                <w:rFonts w:ascii="Arial" w:cs="Arial" w:eastAsia="Arial" w:hAnsi="Arial"/>
                <w:sz w:val="19"/>
                <w:szCs w:val="19"/>
                <w:color w:val="auto"/>
              </w:rPr>
              <w:t>(65,391,363)</w:t>
            </w:r>
          </w:p>
        </w:tc>
      </w:tr>
    </w:tbl>
    <w:p>
      <w:pPr>
        <w:spacing w:after="0" w:line="1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3820"/>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142" w:lineRule="exact"/>
        <w:rPr>
          <w:sz w:val="20"/>
          <w:szCs w:val="20"/>
          <w:color w:val="auto"/>
        </w:rPr>
      </w:pPr>
    </w:p>
    <w:p>
      <w:pPr>
        <w:ind w:left="5660"/>
        <w:spacing w:after="0"/>
        <w:rPr>
          <w:sz w:val="20"/>
          <w:szCs w:val="20"/>
          <w:color w:val="auto"/>
        </w:rPr>
      </w:pPr>
      <w:r>
        <w:rPr>
          <w:rFonts w:ascii="Arial" w:cs="Arial" w:eastAsia="Arial" w:hAnsi="Arial"/>
          <w:sz w:val="19"/>
          <w:szCs w:val="19"/>
          <w:b w:val="1"/>
          <w:bCs w:val="1"/>
          <w:color w:val="auto"/>
        </w:rPr>
        <w:t>6</w:t>
      </w:r>
    </w:p>
    <w:p>
      <w:pPr>
        <w:sectPr>
          <w:pgSz w:w="11900" w:h="16838" w:orient="portrait"/>
          <w:cols w:equalWidth="0" w:num="1">
            <w:col w:w="11420"/>
          </w:cols>
          <w:pgMar w:left="240" w:top="258" w:right="2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RAM Energy Holdings LLC</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180" w:type="dxa"/>
            <w:vAlign w:val="bottom"/>
            <w:tcBorders>
              <w:bottom w:val="single" w:sz="8" w:color="auto"/>
            </w:tcBorders>
          </w:tcPr>
          <w:p>
            <w:pPr>
              <w:ind w:left="100"/>
              <w:spacing w:after="0"/>
              <w:rPr>
                <w:sz w:val="20"/>
                <w:szCs w:val="20"/>
                <w:color w:val="auto"/>
              </w:rPr>
            </w:pPr>
            <w:r>
              <w:rPr>
                <w:rFonts w:ascii="Arial" w:cs="Arial" w:eastAsia="Arial" w:hAnsi="Arial"/>
                <w:sz w:val="19"/>
                <w:szCs w:val="19"/>
                <w:b w:val="1"/>
                <w:bCs w:val="1"/>
                <w:i w:val="1"/>
                <w:iCs w:val="1"/>
                <w:color w:val="auto"/>
              </w:rPr>
              <w:t>Year Ended December 31,</w:t>
            </w:r>
          </w:p>
        </w:tc>
        <w:tc>
          <w:tcPr>
            <w:tcW w:w="20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45"/>
              <w:spacing w:after="0"/>
              <w:rPr>
                <w:sz w:val="20"/>
                <w:szCs w:val="20"/>
                <w:color w:val="auto"/>
              </w:rPr>
            </w:pPr>
            <w:r>
              <w:rPr>
                <w:rFonts w:ascii="Arial" w:cs="Arial" w:eastAsia="Arial" w:hAnsi="Arial"/>
                <w:sz w:val="19"/>
                <w:szCs w:val="19"/>
                <w:b w:val="1"/>
                <w:bCs w:val="1"/>
                <w:color w:val="auto"/>
              </w:rPr>
              <w:t>2016</w:t>
            </w:r>
          </w:p>
        </w:tc>
      </w:tr>
      <w:tr>
        <w:trPr>
          <w:trHeight w:val="156"/>
        </w:trPr>
        <w:tc>
          <w:tcPr>
            <w:tcW w:w="8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16"/>
        </w:trPr>
        <w:tc>
          <w:tcPr>
            <w:tcW w:w="8180" w:type="dxa"/>
            <w:vAlign w:val="bottom"/>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Cash Flows from Operating Activities</w:t>
            </w:r>
          </w:p>
        </w:tc>
        <w:tc>
          <w:tcPr>
            <w:tcW w:w="20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180" w:type="dxa"/>
            <w:vAlign w:val="bottom"/>
          </w:tcPr>
          <w:p>
            <w:pPr>
              <w:ind w:left="300"/>
              <w:spacing w:after="0" w:line="216" w:lineRule="exact"/>
              <w:rPr>
                <w:sz w:val="20"/>
                <w:szCs w:val="20"/>
                <w:color w:val="auto"/>
              </w:rPr>
            </w:pPr>
            <w:r>
              <w:rPr>
                <w:rFonts w:ascii="Arial" w:cs="Arial" w:eastAsia="Arial" w:hAnsi="Arial"/>
                <w:sz w:val="19"/>
                <w:szCs w:val="19"/>
                <w:color w:val="auto"/>
              </w:rPr>
              <w:t>Net loss</w:t>
            </w:r>
          </w:p>
        </w:tc>
        <w:tc>
          <w:tcPr>
            <w:tcW w:w="2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1240" w:type="dxa"/>
            <w:vAlign w:val="bottom"/>
          </w:tcPr>
          <w:p>
            <w:pPr>
              <w:jc w:val="right"/>
              <w:spacing w:after="0" w:line="216" w:lineRule="exact"/>
              <w:rPr>
                <w:sz w:val="20"/>
                <w:szCs w:val="20"/>
                <w:color w:val="auto"/>
              </w:rPr>
            </w:pPr>
            <w:r>
              <w:rPr>
                <w:rFonts w:ascii="Arial" w:cs="Arial" w:eastAsia="Arial" w:hAnsi="Arial"/>
                <w:sz w:val="19"/>
                <w:szCs w:val="19"/>
                <w:color w:val="auto"/>
              </w:rPr>
              <w:t>(19,782,674)</w:t>
            </w:r>
          </w:p>
        </w:tc>
      </w:tr>
      <w:tr>
        <w:trPr>
          <w:trHeight w:val="216"/>
        </w:trPr>
        <w:tc>
          <w:tcPr>
            <w:tcW w:w="8180" w:type="dxa"/>
            <w:vAlign w:val="bottom"/>
            <w:shd w:val="clear" w:color="auto" w:fill="CCEEFF"/>
          </w:tcPr>
          <w:p>
            <w:pPr>
              <w:ind w:left="300"/>
              <w:spacing w:after="0" w:line="216" w:lineRule="exact"/>
              <w:rPr>
                <w:sz w:val="20"/>
                <w:szCs w:val="20"/>
                <w:color w:val="auto"/>
              </w:rPr>
            </w:pPr>
            <w:r>
              <w:rPr>
                <w:rFonts w:ascii="Arial" w:cs="Arial" w:eastAsia="Arial" w:hAnsi="Arial"/>
                <w:sz w:val="19"/>
                <w:szCs w:val="19"/>
                <w:color w:val="auto"/>
              </w:rPr>
              <w:t>Adjustments to reconcile net loss to net cash used in operating activities:</w:t>
            </w:r>
          </w:p>
        </w:tc>
        <w:tc>
          <w:tcPr>
            <w:tcW w:w="20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180" w:type="dxa"/>
            <w:vAlign w:val="bottom"/>
          </w:tcPr>
          <w:p>
            <w:pPr>
              <w:ind w:left="480"/>
              <w:spacing w:after="0" w:line="216" w:lineRule="exact"/>
              <w:rPr>
                <w:sz w:val="20"/>
                <w:szCs w:val="20"/>
                <w:color w:val="auto"/>
              </w:rPr>
            </w:pPr>
            <w:r>
              <w:rPr>
                <w:rFonts w:ascii="Arial" w:cs="Arial" w:eastAsia="Arial" w:hAnsi="Arial"/>
                <w:sz w:val="19"/>
                <w:szCs w:val="19"/>
                <w:color w:val="auto"/>
              </w:rPr>
              <w:t>Depreciation, depletion and amortization</w:t>
            </w:r>
          </w:p>
        </w:tc>
        <w:tc>
          <w:tcPr>
            <w:tcW w:w="2000" w:type="dxa"/>
            <w:vAlign w:val="bottom"/>
          </w:tcPr>
          <w:p>
            <w:pPr>
              <w:spacing w:after="0"/>
              <w:rPr>
                <w:sz w:val="18"/>
                <w:szCs w:val="18"/>
                <w:color w:val="auto"/>
              </w:rPr>
            </w:pPr>
          </w:p>
        </w:tc>
        <w:tc>
          <w:tcPr>
            <w:tcW w:w="1240" w:type="dxa"/>
            <w:vAlign w:val="bottom"/>
          </w:tcPr>
          <w:p>
            <w:pPr>
              <w:jc w:val="right"/>
              <w:ind w:right="5"/>
              <w:spacing w:after="0" w:line="216" w:lineRule="exact"/>
              <w:rPr>
                <w:sz w:val="20"/>
                <w:szCs w:val="20"/>
                <w:color w:val="auto"/>
              </w:rPr>
            </w:pPr>
            <w:r>
              <w:rPr>
                <w:rFonts w:ascii="Arial" w:cs="Arial" w:eastAsia="Arial" w:hAnsi="Arial"/>
                <w:sz w:val="19"/>
                <w:szCs w:val="19"/>
                <w:color w:val="auto"/>
              </w:rPr>
              <w:t>2,380,937</w:t>
            </w:r>
          </w:p>
        </w:tc>
      </w:tr>
      <w:tr>
        <w:trPr>
          <w:trHeight w:val="216"/>
        </w:trPr>
        <w:tc>
          <w:tcPr>
            <w:tcW w:w="8180" w:type="dxa"/>
            <w:vAlign w:val="bottom"/>
            <w:shd w:val="clear" w:color="auto" w:fill="CCEEFF"/>
          </w:tcPr>
          <w:p>
            <w:pPr>
              <w:ind w:left="480"/>
              <w:spacing w:after="0" w:line="216" w:lineRule="exact"/>
              <w:rPr>
                <w:sz w:val="20"/>
                <w:szCs w:val="20"/>
                <w:color w:val="auto"/>
              </w:rPr>
            </w:pPr>
            <w:r>
              <w:rPr>
                <w:rFonts w:ascii="Arial" w:cs="Arial" w:eastAsia="Arial" w:hAnsi="Arial"/>
                <w:sz w:val="19"/>
                <w:szCs w:val="19"/>
                <w:color w:val="auto"/>
              </w:rPr>
              <w:t>Impairment of oil and gas properties</w:t>
            </w:r>
          </w:p>
        </w:tc>
        <w:tc>
          <w:tcPr>
            <w:tcW w:w="20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
              <w:spacing w:after="0" w:line="216" w:lineRule="exact"/>
              <w:rPr>
                <w:sz w:val="20"/>
                <w:szCs w:val="20"/>
                <w:color w:val="auto"/>
              </w:rPr>
            </w:pPr>
            <w:r>
              <w:rPr>
                <w:rFonts w:ascii="Arial" w:cs="Arial" w:eastAsia="Arial" w:hAnsi="Arial"/>
                <w:sz w:val="19"/>
                <w:szCs w:val="19"/>
                <w:color w:val="auto"/>
              </w:rPr>
              <w:t>4,574,977</w:t>
            </w:r>
          </w:p>
        </w:tc>
      </w:tr>
      <w:tr>
        <w:trPr>
          <w:trHeight w:val="216"/>
        </w:trPr>
        <w:tc>
          <w:tcPr>
            <w:tcW w:w="8180" w:type="dxa"/>
            <w:vAlign w:val="bottom"/>
          </w:tcPr>
          <w:p>
            <w:pPr>
              <w:ind w:left="480"/>
              <w:spacing w:after="0" w:line="216" w:lineRule="exact"/>
              <w:rPr>
                <w:sz w:val="20"/>
                <w:szCs w:val="20"/>
                <w:color w:val="auto"/>
              </w:rPr>
            </w:pPr>
            <w:r>
              <w:rPr>
                <w:rFonts w:ascii="Arial" w:cs="Arial" w:eastAsia="Arial" w:hAnsi="Arial"/>
                <w:sz w:val="19"/>
                <w:szCs w:val="19"/>
                <w:color w:val="auto"/>
              </w:rPr>
              <w:t>Non cash interest expense in kind</w:t>
            </w:r>
          </w:p>
        </w:tc>
        <w:tc>
          <w:tcPr>
            <w:tcW w:w="2000" w:type="dxa"/>
            <w:vAlign w:val="bottom"/>
          </w:tcPr>
          <w:p>
            <w:pPr>
              <w:spacing w:after="0"/>
              <w:rPr>
                <w:sz w:val="18"/>
                <w:szCs w:val="18"/>
                <w:color w:val="auto"/>
              </w:rPr>
            </w:pPr>
          </w:p>
        </w:tc>
        <w:tc>
          <w:tcPr>
            <w:tcW w:w="1240" w:type="dxa"/>
            <w:vAlign w:val="bottom"/>
          </w:tcPr>
          <w:p>
            <w:pPr>
              <w:jc w:val="right"/>
              <w:ind w:right="5"/>
              <w:spacing w:after="0" w:line="216" w:lineRule="exact"/>
              <w:rPr>
                <w:sz w:val="20"/>
                <w:szCs w:val="20"/>
                <w:color w:val="auto"/>
              </w:rPr>
            </w:pPr>
            <w:r>
              <w:rPr>
                <w:rFonts w:ascii="Arial" w:cs="Arial" w:eastAsia="Arial" w:hAnsi="Arial"/>
                <w:sz w:val="19"/>
                <w:szCs w:val="19"/>
                <w:color w:val="auto"/>
              </w:rPr>
              <w:t>8,358,544</w:t>
            </w:r>
          </w:p>
        </w:tc>
      </w:tr>
      <w:tr>
        <w:trPr>
          <w:trHeight w:val="216"/>
        </w:trPr>
        <w:tc>
          <w:tcPr>
            <w:tcW w:w="8180" w:type="dxa"/>
            <w:vAlign w:val="bottom"/>
            <w:shd w:val="clear" w:color="auto" w:fill="CCEEFF"/>
          </w:tcPr>
          <w:p>
            <w:pPr>
              <w:ind w:left="480"/>
              <w:spacing w:after="0" w:line="216" w:lineRule="exact"/>
              <w:rPr>
                <w:sz w:val="20"/>
                <w:szCs w:val="20"/>
                <w:color w:val="auto"/>
              </w:rPr>
            </w:pPr>
            <w:r>
              <w:rPr>
                <w:rFonts w:ascii="Arial" w:cs="Arial" w:eastAsia="Arial" w:hAnsi="Arial"/>
                <w:sz w:val="19"/>
                <w:szCs w:val="19"/>
                <w:color w:val="auto"/>
              </w:rPr>
              <w:t>Accretion of asset retirement obligations</w:t>
            </w:r>
          </w:p>
        </w:tc>
        <w:tc>
          <w:tcPr>
            <w:tcW w:w="20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
              <w:spacing w:after="0" w:line="216" w:lineRule="exact"/>
              <w:rPr>
                <w:sz w:val="20"/>
                <w:szCs w:val="20"/>
                <w:color w:val="auto"/>
              </w:rPr>
            </w:pPr>
            <w:r>
              <w:rPr>
                <w:rFonts w:ascii="Arial" w:cs="Arial" w:eastAsia="Arial" w:hAnsi="Arial"/>
                <w:sz w:val="19"/>
                <w:szCs w:val="19"/>
                <w:color w:val="auto"/>
              </w:rPr>
              <w:t>688,527</w:t>
            </w:r>
          </w:p>
        </w:tc>
      </w:tr>
      <w:tr>
        <w:trPr>
          <w:trHeight w:val="216"/>
        </w:trPr>
        <w:tc>
          <w:tcPr>
            <w:tcW w:w="8180" w:type="dxa"/>
            <w:vAlign w:val="bottom"/>
          </w:tcPr>
          <w:p>
            <w:pPr>
              <w:ind w:left="480"/>
              <w:spacing w:after="0" w:line="216" w:lineRule="exact"/>
              <w:rPr>
                <w:sz w:val="20"/>
                <w:szCs w:val="20"/>
                <w:color w:val="auto"/>
              </w:rPr>
            </w:pPr>
            <w:r>
              <w:rPr>
                <w:rFonts w:ascii="Arial" w:cs="Arial" w:eastAsia="Arial" w:hAnsi="Arial"/>
                <w:sz w:val="19"/>
                <w:szCs w:val="19"/>
                <w:color w:val="auto"/>
              </w:rPr>
              <w:t>Bad debt expense</w:t>
            </w:r>
          </w:p>
        </w:tc>
        <w:tc>
          <w:tcPr>
            <w:tcW w:w="2000" w:type="dxa"/>
            <w:vAlign w:val="bottom"/>
          </w:tcPr>
          <w:p>
            <w:pPr>
              <w:spacing w:after="0"/>
              <w:rPr>
                <w:sz w:val="18"/>
                <w:szCs w:val="18"/>
                <w:color w:val="auto"/>
              </w:rPr>
            </w:pPr>
          </w:p>
        </w:tc>
        <w:tc>
          <w:tcPr>
            <w:tcW w:w="1240" w:type="dxa"/>
            <w:vAlign w:val="bottom"/>
          </w:tcPr>
          <w:p>
            <w:pPr>
              <w:jc w:val="right"/>
              <w:ind w:right="5"/>
              <w:spacing w:after="0" w:line="216" w:lineRule="exact"/>
              <w:rPr>
                <w:sz w:val="20"/>
                <w:szCs w:val="20"/>
                <w:color w:val="auto"/>
              </w:rPr>
            </w:pPr>
            <w:r>
              <w:rPr>
                <w:rFonts w:ascii="Arial" w:cs="Arial" w:eastAsia="Arial" w:hAnsi="Arial"/>
                <w:sz w:val="19"/>
                <w:szCs w:val="19"/>
                <w:color w:val="auto"/>
              </w:rPr>
              <w:t>100,132</w:t>
            </w:r>
          </w:p>
        </w:tc>
      </w:tr>
      <w:tr>
        <w:trPr>
          <w:trHeight w:val="216"/>
        </w:trPr>
        <w:tc>
          <w:tcPr>
            <w:tcW w:w="8180" w:type="dxa"/>
            <w:vAlign w:val="bottom"/>
            <w:shd w:val="clear" w:color="auto" w:fill="CCEEFF"/>
          </w:tcPr>
          <w:p>
            <w:pPr>
              <w:ind w:left="480"/>
              <w:spacing w:after="0" w:line="216" w:lineRule="exact"/>
              <w:rPr>
                <w:sz w:val="20"/>
                <w:szCs w:val="20"/>
                <w:color w:val="auto"/>
              </w:rPr>
            </w:pPr>
            <w:r>
              <w:rPr>
                <w:rFonts w:ascii="Arial" w:cs="Arial" w:eastAsia="Arial" w:hAnsi="Arial"/>
                <w:sz w:val="19"/>
                <w:szCs w:val="19"/>
                <w:color w:val="auto"/>
              </w:rPr>
              <w:t>Losses on derivatives</w:t>
            </w:r>
          </w:p>
        </w:tc>
        <w:tc>
          <w:tcPr>
            <w:tcW w:w="20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
              <w:spacing w:after="0" w:line="216" w:lineRule="exact"/>
              <w:rPr>
                <w:sz w:val="20"/>
                <w:szCs w:val="20"/>
                <w:color w:val="auto"/>
              </w:rPr>
            </w:pPr>
            <w:r>
              <w:rPr>
                <w:rFonts w:ascii="Arial" w:cs="Arial" w:eastAsia="Arial" w:hAnsi="Arial"/>
                <w:sz w:val="19"/>
                <w:szCs w:val="19"/>
                <w:color w:val="auto"/>
              </w:rPr>
              <w:t>756,065</w:t>
            </w:r>
          </w:p>
        </w:tc>
      </w:tr>
      <w:tr>
        <w:trPr>
          <w:trHeight w:val="216"/>
        </w:trPr>
        <w:tc>
          <w:tcPr>
            <w:tcW w:w="8180" w:type="dxa"/>
            <w:vAlign w:val="bottom"/>
          </w:tcPr>
          <w:p>
            <w:pPr>
              <w:ind w:left="480"/>
              <w:spacing w:after="0" w:line="216" w:lineRule="exact"/>
              <w:rPr>
                <w:sz w:val="20"/>
                <w:szCs w:val="20"/>
                <w:color w:val="auto"/>
              </w:rPr>
            </w:pPr>
            <w:r>
              <w:rPr>
                <w:rFonts w:ascii="Arial" w:cs="Arial" w:eastAsia="Arial" w:hAnsi="Arial"/>
                <w:sz w:val="19"/>
                <w:szCs w:val="19"/>
                <w:color w:val="auto"/>
              </w:rPr>
              <w:t>Derivative settlements</w:t>
            </w:r>
          </w:p>
        </w:tc>
        <w:tc>
          <w:tcPr>
            <w:tcW w:w="2000" w:type="dxa"/>
            <w:vAlign w:val="bottom"/>
          </w:tcPr>
          <w:p>
            <w:pPr>
              <w:spacing w:after="0"/>
              <w:rPr>
                <w:sz w:val="18"/>
                <w:szCs w:val="18"/>
                <w:color w:val="auto"/>
              </w:rPr>
            </w:pPr>
          </w:p>
        </w:tc>
        <w:tc>
          <w:tcPr>
            <w:tcW w:w="1240" w:type="dxa"/>
            <w:vAlign w:val="bottom"/>
          </w:tcPr>
          <w:p>
            <w:pPr>
              <w:jc w:val="right"/>
              <w:ind w:right="5"/>
              <w:spacing w:after="0" w:line="216" w:lineRule="exact"/>
              <w:rPr>
                <w:sz w:val="20"/>
                <w:szCs w:val="20"/>
                <w:color w:val="auto"/>
              </w:rPr>
            </w:pPr>
            <w:r>
              <w:rPr>
                <w:rFonts w:ascii="Arial" w:cs="Arial" w:eastAsia="Arial" w:hAnsi="Arial"/>
                <w:sz w:val="19"/>
                <w:szCs w:val="19"/>
                <w:color w:val="auto"/>
              </w:rPr>
              <w:t>636,108</w:t>
            </w:r>
          </w:p>
        </w:tc>
      </w:tr>
      <w:tr>
        <w:trPr>
          <w:trHeight w:val="216"/>
        </w:trPr>
        <w:tc>
          <w:tcPr>
            <w:tcW w:w="8180" w:type="dxa"/>
            <w:vAlign w:val="bottom"/>
            <w:shd w:val="clear" w:color="auto" w:fill="CCEEFF"/>
          </w:tcPr>
          <w:p>
            <w:pPr>
              <w:ind w:left="300"/>
              <w:spacing w:after="0" w:line="216" w:lineRule="exact"/>
              <w:rPr>
                <w:sz w:val="20"/>
                <w:szCs w:val="20"/>
                <w:color w:val="auto"/>
              </w:rPr>
            </w:pPr>
            <w:r>
              <w:rPr>
                <w:rFonts w:ascii="Arial" w:cs="Arial" w:eastAsia="Arial" w:hAnsi="Arial"/>
                <w:sz w:val="19"/>
                <w:szCs w:val="19"/>
                <w:color w:val="auto"/>
              </w:rPr>
              <w:t>Changes in operating assets and liabilities:</w:t>
            </w:r>
          </w:p>
        </w:tc>
        <w:tc>
          <w:tcPr>
            <w:tcW w:w="20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180" w:type="dxa"/>
            <w:vAlign w:val="bottom"/>
          </w:tcPr>
          <w:p>
            <w:pPr>
              <w:ind w:left="480"/>
              <w:spacing w:after="0" w:line="216" w:lineRule="exact"/>
              <w:rPr>
                <w:sz w:val="20"/>
                <w:szCs w:val="20"/>
                <w:color w:val="auto"/>
              </w:rPr>
            </w:pPr>
            <w:r>
              <w:rPr>
                <w:rFonts w:ascii="Arial" w:cs="Arial" w:eastAsia="Arial" w:hAnsi="Arial"/>
                <w:sz w:val="19"/>
                <w:szCs w:val="19"/>
                <w:color w:val="auto"/>
              </w:rPr>
              <w:t>Accounts receivable</w:t>
            </w:r>
          </w:p>
        </w:tc>
        <w:tc>
          <w:tcPr>
            <w:tcW w:w="2000" w:type="dxa"/>
            <w:vAlign w:val="bottom"/>
          </w:tcPr>
          <w:p>
            <w:pPr>
              <w:spacing w:after="0"/>
              <w:rPr>
                <w:sz w:val="18"/>
                <w:szCs w:val="18"/>
                <w:color w:val="auto"/>
              </w:rPr>
            </w:pPr>
          </w:p>
        </w:tc>
        <w:tc>
          <w:tcPr>
            <w:tcW w:w="1240" w:type="dxa"/>
            <w:vAlign w:val="bottom"/>
          </w:tcPr>
          <w:p>
            <w:pPr>
              <w:jc w:val="right"/>
              <w:ind w:right="5"/>
              <w:spacing w:after="0" w:line="216" w:lineRule="exact"/>
              <w:rPr>
                <w:sz w:val="20"/>
                <w:szCs w:val="20"/>
                <w:color w:val="auto"/>
              </w:rPr>
            </w:pPr>
            <w:r>
              <w:rPr>
                <w:rFonts w:ascii="Arial" w:cs="Arial" w:eastAsia="Arial" w:hAnsi="Arial"/>
                <w:sz w:val="19"/>
                <w:szCs w:val="19"/>
                <w:color w:val="auto"/>
              </w:rPr>
              <w:t>211,538</w:t>
            </w:r>
          </w:p>
        </w:tc>
      </w:tr>
      <w:tr>
        <w:trPr>
          <w:trHeight w:val="216"/>
        </w:trPr>
        <w:tc>
          <w:tcPr>
            <w:tcW w:w="8180" w:type="dxa"/>
            <w:vAlign w:val="bottom"/>
            <w:shd w:val="clear" w:color="auto" w:fill="CCEEFF"/>
          </w:tcPr>
          <w:p>
            <w:pPr>
              <w:ind w:left="480"/>
              <w:spacing w:after="0" w:line="216" w:lineRule="exact"/>
              <w:rPr>
                <w:sz w:val="20"/>
                <w:szCs w:val="20"/>
                <w:color w:val="auto"/>
              </w:rPr>
            </w:pPr>
            <w:r>
              <w:rPr>
                <w:rFonts w:ascii="Arial" w:cs="Arial" w:eastAsia="Arial" w:hAnsi="Arial"/>
                <w:sz w:val="19"/>
                <w:szCs w:val="19"/>
                <w:color w:val="auto"/>
              </w:rPr>
              <w:t>Prepaid expenses and other assets</w:t>
            </w:r>
          </w:p>
        </w:tc>
        <w:tc>
          <w:tcPr>
            <w:tcW w:w="20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(8,479)</w:t>
            </w:r>
          </w:p>
        </w:tc>
      </w:tr>
      <w:tr>
        <w:trPr>
          <w:trHeight w:val="216"/>
        </w:trPr>
        <w:tc>
          <w:tcPr>
            <w:tcW w:w="8180" w:type="dxa"/>
            <w:vAlign w:val="bottom"/>
          </w:tcPr>
          <w:p>
            <w:pPr>
              <w:ind w:left="480"/>
              <w:spacing w:after="0" w:line="216" w:lineRule="exact"/>
              <w:rPr>
                <w:sz w:val="20"/>
                <w:szCs w:val="20"/>
                <w:color w:val="auto"/>
              </w:rPr>
            </w:pPr>
            <w:r>
              <w:rPr>
                <w:rFonts w:ascii="Arial" w:cs="Arial" w:eastAsia="Arial" w:hAnsi="Arial"/>
                <w:sz w:val="19"/>
                <w:szCs w:val="19"/>
                <w:color w:val="auto"/>
              </w:rPr>
              <w:t>Accounts payable and revenue payable</w:t>
            </w:r>
          </w:p>
        </w:tc>
        <w:tc>
          <w:tcPr>
            <w:tcW w:w="200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19"/>
                <w:szCs w:val="19"/>
                <w:color w:val="auto"/>
              </w:rPr>
              <w:t>(856,427)</w:t>
            </w:r>
          </w:p>
        </w:tc>
      </w:tr>
      <w:tr>
        <w:trPr>
          <w:trHeight w:val="216"/>
        </w:trPr>
        <w:tc>
          <w:tcPr>
            <w:tcW w:w="8180" w:type="dxa"/>
            <w:vAlign w:val="bottom"/>
            <w:tcBorders>
              <w:bottom w:val="single" w:sz="8" w:color="auto"/>
            </w:tcBorders>
            <w:shd w:val="clear" w:color="auto" w:fill="CCEEFF"/>
          </w:tcPr>
          <w:p>
            <w:pPr>
              <w:ind w:left="480"/>
              <w:spacing w:after="0" w:line="216" w:lineRule="exact"/>
              <w:rPr>
                <w:sz w:val="20"/>
                <w:szCs w:val="20"/>
                <w:color w:val="auto"/>
              </w:rPr>
            </w:pPr>
            <w:r>
              <w:rPr>
                <w:rFonts w:ascii="Arial" w:cs="Arial" w:eastAsia="Arial" w:hAnsi="Arial"/>
                <w:sz w:val="19"/>
                <w:szCs w:val="19"/>
                <w:color w:val="auto"/>
              </w:rPr>
              <w:t>Accrued liabilities</w:t>
            </w:r>
          </w:p>
        </w:tc>
        <w:tc>
          <w:tcPr>
            <w:tcW w:w="20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
              <w:spacing w:after="0" w:line="216" w:lineRule="exact"/>
              <w:rPr>
                <w:sz w:val="20"/>
                <w:szCs w:val="20"/>
                <w:color w:val="auto"/>
              </w:rPr>
            </w:pPr>
            <w:r>
              <w:rPr>
                <w:rFonts w:ascii="Arial" w:cs="Arial" w:eastAsia="Arial" w:hAnsi="Arial"/>
                <w:sz w:val="19"/>
                <w:szCs w:val="19"/>
                <w:color w:val="auto"/>
              </w:rPr>
              <w:t>87,697</w:t>
            </w:r>
          </w:p>
        </w:tc>
      </w:tr>
      <w:tr>
        <w:trPr>
          <w:trHeight w:val="372"/>
        </w:trPr>
        <w:tc>
          <w:tcPr>
            <w:tcW w:w="8180" w:type="dxa"/>
            <w:vAlign w:val="bottom"/>
            <w:tcBorders>
              <w:bottom w:val="single" w:sz="8" w:color="auto"/>
            </w:tcBorders>
          </w:tcPr>
          <w:p>
            <w:pPr>
              <w:ind w:left="100"/>
              <w:spacing w:after="0"/>
              <w:rPr>
                <w:sz w:val="20"/>
                <w:szCs w:val="20"/>
                <w:color w:val="auto"/>
              </w:rPr>
            </w:pPr>
            <w:r>
              <w:rPr>
                <w:rFonts w:ascii="Arial" w:cs="Arial" w:eastAsia="Arial" w:hAnsi="Arial"/>
                <w:sz w:val="19"/>
                <w:szCs w:val="19"/>
                <w:b w:val="1"/>
                <w:bCs w:val="1"/>
                <w:color w:val="auto"/>
              </w:rPr>
              <w:t>Net Cash Used in Operating Activities</w:t>
            </w:r>
          </w:p>
        </w:tc>
        <w:tc>
          <w:tcPr>
            <w:tcW w:w="20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(2,853,055)</w:t>
            </w:r>
          </w:p>
        </w:tc>
      </w:tr>
      <w:tr>
        <w:trPr>
          <w:trHeight w:val="156"/>
        </w:trPr>
        <w:tc>
          <w:tcPr>
            <w:tcW w:w="8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16"/>
        </w:trPr>
        <w:tc>
          <w:tcPr>
            <w:tcW w:w="8180" w:type="dxa"/>
            <w:vAlign w:val="bottom"/>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Cash Flows from Investing Activities</w:t>
            </w:r>
          </w:p>
        </w:tc>
        <w:tc>
          <w:tcPr>
            <w:tcW w:w="20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180" w:type="dxa"/>
            <w:vAlign w:val="bottom"/>
          </w:tcPr>
          <w:p>
            <w:pPr>
              <w:ind w:left="300"/>
              <w:spacing w:after="0" w:line="216" w:lineRule="exact"/>
              <w:rPr>
                <w:sz w:val="20"/>
                <w:szCs w:val="20"/>
                <w:color w:val="auto"/>
              </w:rPr>
            </w:pPr>
            <w:r>
              <w:rPr>
                <w:rFonts w:ascii="Arial" w:cs="Arial" w:eastAsia="Arial" w:hAnsi="Arial"/>
                <w:sz w:val="19"/>
                <w:szCs w:val="19"/>
                <w:color w:val="auto"/>
              </w:rPr>
              <w:t>Payments for oil and natural gas properties and equipment</w:t>
            </w:r>
          </w:p>
        </w:tc>
        <w:tc>
          <w:tcPr>
            <w:tcW w:w="200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19"/>
                <w:szCs w:val="19"/>
                <w:color w:val="auto"/>
              </w:rPr>
              <w:t>(110,211)</w:t>
            </w:r>
          </w:p>
        </w:tc>
      </w:tr>
      <w:tr>
        <w:trPr>
          <w:trHeight w:val="216"/>
        </w:trPr>
        <w:tc>
          <w:tcPr>
            <w:tcW w:w="8180" w:type="dxa"/>
            <w:vAlign w:val="bottom"/>
            <w:shd w:val="clear" w:color="auto" w:fill="CCEEFF"/>
          </w:tcPr>
          <w:p>
            <w:pPr>
              <w:ind w:left="300"/>
              <w:spacing w:after="0" w:line="216" w:lineRule="exact"/>
              <w:rPr>
                <w:sz w:val="20"/>
                <w:szCs w:val="20"/>
                <w:color w:val="auto"/>
              </w:rPr>
            </w:pPr>
            <w:r>
              <w:rPr>
                <w:rFonts w:ascii="Arial" w:cs="Arial" w:eastAsia="Arial" w:hAnsi="Arial"/>
                <w:sz w:val="19"/>
                <w:szCs w:val="19"/>
                <w:color w:val="auto"/>
              </w:rPr>
              <w:t>Payments for other property and equipment</w:t>
            </w:r>
          </w:p>
        </w:tc>
        <w:tc>
          <w:tcPr>
            <w:tcW w:w="20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(2,013)</w:t>
            </w:r>
          </w:p>
        </w:tc>
      </w:tr>
      <w:tr>
        <w:trPr>
          <w:trHeight w:val="216"/>
        </w:trPr>
        <w:tc>
          <w:tcPr>
            <w:tcW w:w="8180" w:type="dxa"/>
            <w:vAlign w:val="bottom"/>
          </w:tcPr>
          <w:p>
            <w:pPr>
              <w:ind w:left="300"/>
              <w:spacing w:after="0" w:line="216" w:lineRule="exact"/>
              <w:rPr>
                <w:sz w:val="20"/>
                <w:szCs w:val="20"/>
                <w:color w:val="auto"/>
              </w:rPr>
            </w:pPr>
            <w:r>
              <w:rPr>
                <w:rFonts w:ascii="Arial" w:cs="Arial" w:eastAsia="Arial" w:hAnsi="Arial"/>
                <w:sz w:val="19"/>
                <w:szCs w:val="19"/>
                <w:color w:val="auto"/>
              </w:rPr>
              <w:t>Proceeds from sales of oil and natural gas properties</w:t>
            </w:r>
          </w:p>
        </w:tc>
        <w:tc>
          <w:tcPr>
            <w:tcW w:w="2000" w:type="dxa"/>
            <w:vAlign w:val="bottom"/>
          </w:tcPr>
          <w:p>
            <w:pPr>
              <w:spacing w:after="0"/>
              <w:rPr>
                <w:sz w:val="18"/>
                <w:szCs w:val="18"/>
                <w:color w:val="auto"/>
              </w:rPr>
            </w:pPr>
          </w:p>
        </w:tc>
        <w:tc>
          <w:tcPr>
            <w:tcW w:w="1240" w:type="dxa"/>
            <w:vAlign w:val="bottom"/>
          </w:tcPr>
          <w:p>
            <w:pPr>
              <w:jc w:val="right"/>
              <w:ind w:right="5"/>
              <w:spacing w:after="0" w:line="216" w:lineRule="exact"/>
              <w:rPr>
                <w:sz w:val="20"/>
                <w:szCs w:val="20"/>
                <w:color w:val="auto"/>
              </w:rPr>
            </w:pPr>
            <w:r>
              <w:rPr>
                <w:rFonts w:ascii="Arial" w:cs="Arial" w:eastAsia="Arial" w:hAnsi="Arial"/>
                <w:sz w:val="19"/>
                <w:szCs w:val="19"/>
                <w:color w:val="auto"/>
              </w:rPr>
              <w:t>2,256,227</w:t>
            </w:r>
          </w:p>
        </w:tc>
      </w:tr>
      <w:tr>
        <w:trPr>
          <w:trHeight w:val="216"/>
        </w:trPr>
        <w:tc>
          <w:tcPr>
            <w:tcW w:w="8180" w:type="dxa"/>
            <w:vAlign w:val="bottom"/>
            <w:tcBorders>
              <w:bottom w:val="single" w:sz="8" w:color="auto"/>
            </w:tcBorders>
            <w:shd w:val="clear" w:color="auto" w:fill="CCEEFF"/>
          </w:tcPr>
          <w:p>
            <w:pPr>
              <w:ind w:left="300"/>
              <w:spacing w:after="0" w:line="216" w:lineRule="exact"/>
              <w:rPr>
                <w:sz w:val="20"/>
                <w:szCs w:val="20"/>
                <w:color w:val="auto"/>
              </w:rPr>
            </w:pPr>
            <w:r>
              <w:rPr>
                <w:rFonts w:ascii="Arial" w:cs="Arial" w:eastAsia="Arial" w:hAnsi="Arial"/>
                <w:sz w:val="19"/>
                <w:szCs w:val="19"/>
                <w:color w:val="auto"/>
              </w:rPr>
              <w:t>Restricted cash</w:t>
            </w:r>
          </w:p>
        </w:tc>
        <w:tc>
          <w:tcPr>
            <w:tcW w:w="20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
              <w:spacing w:after="0" w:line="216" w:lineRule="exact"/>
              <w:rPr>
                <w:sz w:val="20"/>
                <w:szCs w:val="20"/>
                <w:color w:val="auto"/>
              </w:rPr>
            </w:pPr>
            <w:r>
              <w:rPr>
                <w:rFonts w:ascii="Arial" w:cs="Arial" w:eastAsia="Arial" w:hAnsi="Arial"/>
                <w:sz w:val="19"/>
                <w:szCs w:val="19"/>
                <w:color w:val="auto"/>
              </w:rPr>
              <w:t>39,273</w:t>
            </w:r>
          </w:p>
        </w:tc>
      </w:tr>
      <w:tr>
        <w:trPr>
          <w:trHeight w:val="372"/>
        </w:trPr>
        <w:tc>
          <w:tcPr>
            <w:tcW w:w="8180" w:type="dxa"/>
            <w:vAlign w:val="bottom"/>
            <w:tcBorders>
              <w:bottom w:val="single" w:sz="8" w:color="auto"/>
            </w:tcBorders>
          </w:tcPr>
          <w:p>
            <w:pPr>
              <w:ind w:left="100"/>
              <w:spacing w:after="0"/>
              <w:rPr>
                <w:sz w:val="20"/>
                <w:szCs w:val="20"/>
                <w:color w:val="auto"/>
              </w:rPr>
            </w:pPr>
            <w:r>
              <w:rPr>
                <w:rFonts w:ascii="Arial" w:cs="Arial" w:eastAsia="Arial" w:hAnsi="Arial"/>
                <w:sz w:val="19"/>
                <w:szCs w:val="19"/>
                <w:b w:val="1"/>
                <w:bCs w:val="1"/>
                <w:color w:val="auto"/>
              </w:rPr>
              <w:t>Net Cash Provided by Investing Activities</w:t>
            </w:r>
          </w:p>
        </w:tc>
        <w:tc>
          <w:tcPr>
            <w:tcW w:w="20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2,183,276</w:t>
            </w:r>
          </w:p>
        </w:tc>
      </w:tr>
      <w:tr>
        <w:trPr>
          <w:trHeight w:val="156"/>
        </w:trPr>
        <w:tc>
          <w:tcPr>
            <w:tcW w:w="8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16"/>
        </w:trPr>
        <w:tc>
          <w:tcPr>
            <w:tcW w:w="8180" w:type="dxa"/>
            <w:vAlign w:val="bottom"/>
            <w:tcBorders>
              <w:bottom w:val="single" w:sz="8" w:color="auto"/>
            </w:tcBorders>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Net Decrease in Cash and Cash Equivalents</w:t>
            </w:r>
          </w:p>
        </w:tc>
        <w:tc>
          <w:tcPr>
            <w:tcW w:w="20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19"/>
                <w:szCs w:val="19"/>
                <w:color w:val="auto"/>
              </w:rPr>
              <w:t>(669,779)</w:t>
            </w:r>
          </w:p>
        </w:tc>
      </w:tr>
      <w:tr>
        <w:trPr>
          <w:trHeight w:val="372"/>
        </w:trPr>
        <w:tc>
          <w:tcPr>
            <w:tcW w:w="8180" w:type="dxa"/>
            <w:vAlign w:val="bottom"/>
            <w:tcBorders>
              <w:bottom w:val="single" w:sz="8" w:color="auto"/>
            </w:tcBorders>
          </w:tcPr>
          <w:p>
            <w:pPr>
              <w:ind w:left="100"/>
              <w:spacing w:after="0"/>
              <w:rPr>
                <w:sz w:val="20"/>
                <w:szCs w:val="20"/>
                <w:color w:val="auto"/>
              </w:rPr>
            </w:pPr>
            <w:r>
              <w:rPr>
                <w:rFonts w:ascii="Arial" w:cs="Arial" w:eastAsia="Arial" w:hAnsi="Arial"/>
                <w:sz w:val="19"/>
                <w:szCs w:val="19"/>
                <w:b w:val="1"/>
                <w:bCs w:val="1"/>
                <w:color w:val="auto"/>
              </w:rPr>
              <w:t>Cash and Cash Equivalents - Beginning of Year</w:t>
            </w:r>
          </w:p>
        </w:tc>
        <w:tc>
          <w:tcPr>
            <w:tcW w:w="20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1,068,613</w:t>
            </w:r>
          </w:p>
        </w:tc>
      </w:tr>
      <w:tr>
        <w:trPr>
          <w:trHeight w:val="156"/>
        </w:trPr>
        <w:tc>
          <w:tcPr>
            <w:tcW w:w="8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23"/>
        </w:trPr>
        <w:tc>
          <w:tcPr>
            <w:tcW w:w="8180" w:type="dxa"/>
            <w:vAlign w:val="bottom"/>
            <w:tcBorders>
              <w:bottom w:val="single" w:sz="8" w:color="auto"/>
            </w:tcBorders>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Cash and Cash Equivalents - End of Year</w:t>
            </w:r>
          </w:p>
        </w:tc>
        <w:tc>
          <w:tcPr>
            <w:tcW w:w="2000" w:type="dxa"/>
            <w:vAlign w:val="bottom"/>
            <w:tcBorders>
              <w:bottom w:val="single" w:sz="8" w:color="auto"/>
            </w:tcBorders>
            <w:shd w:val="clear" w:color="auto" w:fill="CCEEFF"/>
          </w:tcPr>
          <w:p>
            <w:pPr>
              <w:jc w:val="right"/>
              <w:ind w:right="5"/>
              <w:spacing w:after="0" w:line="216" w:lineRule="exact"/>
              <w:rPr>
                <w:sz w:val="20"/>
                <w:szCs w:val="20"/>
                <w:color w:val="auto"/>
              </w:rPr>
            </w:pPr>
            <w:r>
              <w:rPr>
                <w:rFonts w:ascii="Arial" w:cs="Arial" w:eastAsia="Arial" w:hAnsi="Arial"/>
                <w:sz w:val="19"/>
                <w:szCs w:val="19"/>
                <w:color w:val="auto"/>
              </w:rPr>
              <w:t>$</w:t>
            </w:r>
          </w:p>
        </w:tc>
        <w:tc>
          <w:tcPr>
            <w:tcW w:w="1240" w:type="dxa"/>
            <w:vAlign w:val="bottom"/>
            <w:tcBorders>
              <w:bottom w:val="single" w:sz="8" w:color="auto"/>
            </w:tcBorders>
            <w:shd w:val="clear" w:color="auto" w:fill="CCEEFF"/>
          </w:tcPr>
          <w:p>
            <w:pPr>
              <w:jc w:val="right"/>
              <w:ind w:right="5"/>
              <w:spacing w:after="0" w:line="216" w:lineRule="exact"/>
              <w:rPr>
                <w:sz w:val="20"/>
                <w:szCs w:val="20"/>
                <w:color w:val="auto"/>
              </w:rPr>
            </w:pPr>
            <w:r>
              <w:rPr>
                <w:rFonts w:ascii="Arial" w:cs="Arial" w:eastAsia="Arial" w:hAnsi="Arial"/>
                <w:sz w:val="19"/>
                <w:szCs w:val="19"/>
                <w:color w:val="auto"/>
              </w:rPr>
              <w:t>398,834</w:t>
            </w:r>
          </w:p>
        </w:tc>
      </w:tr>
      <w:tr>
        <w:trPr>
          <w:trHeight w:val="394"/>
        </w:trPr>
        <w:tc>
          <w:tcPr>
            <w:tcW w:w="8180" w:type="dxa"/>
            <w:vAlign w:val="bottom"/>
          </w:tcPr>
          <w:p>
            <w:pPr>
              <w:ind w:left="100"/>
              <w:spacing w:after="0"/>
              <w:rPr>
                <w:sz w:val="20"/>
                <w:szCs w:val="20"/>
                <w:color w:val="auto"/>
              </w:rPr>
            </w:pPr>
            <w:r>
              <w:rPr>
                <w:rFonts w:ascii="Arial" w:cs="Arial" w:eastAsia="Arial" w:hAnsi="Arial"/>
                <w:sz w:val="19"/>
                <w:szCs w:val="19"/>
                <w:b w:val="1"/>
                <w:bCs w:val="1"/>
                <w:color w:val="auto"/>
              </w:rPr>
              <w:t>Non-Cash Investing and Financing Activities</w:t>
            </w: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0"/>
        </w:trPr>
        <w:tc>
          <w:tcPr>
            <w:tcW w:w="8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23"/>
        </w:trPr>
        <w:tc>
          <w:tcPr>
            <w:tcW w:w="8180" w:type="dxa"/>
            <w:vAlign w:val="bottom"/>
            <w:tcBorders>
              <w:bottom w:val="single" w:sz="8" w:color="auto"/>
            </w:tcBorders>
            <w:shd w:val="clear" w:color="auto" w:fill="CCEEFF"/>
          </w:tcPr>
          <w:p>
            <w:pPr>
              <w:ind w:left="300"/>
              <w:spacing w:after="0" w:line="216" w:lineRule="exact"/>
              <w:rPr>
                <w:sz w:val="20"/>
                <w:szCs w:val="20"/>
                <w:color w:val="auto"/>
              </w:rPr>
            </w:pPr>
            <w:r>
              <w:rPr>
                <w:rFonts w:ascii="Arial" w:cs="Arial" w:eastAsia="Arial" w:hAnsi="Arial"/>
                <w:sz w:val="19"/>
                <w:szCs w:val="19"/>
                <w:color w:val="auto"/>
              </w:rPr>
              <w:t>Asset retirement obligations</w:t>
            </w:r>
          </w:p>
        </w:tc>
        <w:tc>
          <w:tcPr>
            <w:tcW w:w="2000" w:type="dxa"/>
            <w:vAlign w:val="bottom"/>
            <w:tcBorders>
              <w:bottom w:val="single" w:sz="8" w:color="auto"/>
            </w:tcBorders>
            <w:shd w:val="clear" w:color="auto" w:fill="CCEEFF"/>
          </w:tcPr>
          <w:p>
            <w:pPr>
              <w:jc w:val="right"/>
              <w:ind w:right="5"/>
              <w:spacing w:after="0" w:line="216" w:lineRule="exact"/>
              <w:rPr>
                <w:sz w:val="20"/>
                <w:szCs w:val="20"/>
                <w:color w:val="auto"/>
              </w:rPr>
            </w:pPr>
            <w:r>
              <w:rPr>
                <w:rFonts w:ascii="Arial" w:cs="Arial" w:eastAsia="Arial" w:hAnsi="Arial"/>
                <w:sz w:val="19"/>
                <w:szCs w:val="19"/>
                <w:color w:val="auto"/>
              </w:rPr>
              <w:t>$</w:t>
            </w:r>
          </w:p>
        </w:tc>
        <w:tc>
          <w:tcPr>
            <w:tcW w:w="124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19"/>
                <w:szCs w:val="19"/>
                <w:color w:val="auto"/>
              </w:rPr>
              <w:t>(182,263)</w:t>
            </w:r>
          </w:p>
        </w:tc>
      </w:tr>
    </w:tbl>
    <w:p>
      <w:pPr>
        <w:spacing w:after="0" w:line="160" w:lineRule="exact"/>
        <w:rPr>
          <w:sz w:val="20"/>
          <w:szCs w:val="20"/>
          <w:color w:val="auto"/>
        </w:rPr>
      </w:pPr>
    </w:p>
    <w:p>
      <w:pPr>
        <w:ind w:left="3940"/>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142" w:lineRule="exact"/>
        <w:rPr>
          <w:sz w:val="20"/>
          <w:szCs w:val="20"/>
          <w:color w:val="auto"/>
        </w:rPr>
      </w:pPr>
    </w:p>
    <w:p>
      <w:pPr>
        <w:ind w:left="5660"/>
        <w:spacing w:after="0"/>
        <w:rPr>
          <w:sz w:val="20"/>
          <w:szCs w:val="20"/>
          <w:color w:val="auto"/>
        </w:rPr>
      </w:pPr>
      <w:r>
        <w:rPr>
          <w:rFonts w:ascii="Arial" w:cs="Arial" w:eastAsia="Arial" w:hAnsi="Arial"/>
          <w:sz w:val="19"/>
          <w:szCs w:val="19"/>
          <w:b w:val="1"/>
          <w:bCs w:val="1"/>
          <w:color w:val="auto"/>
        </w:rPr>
        <w:t>7</w:t>
      </w:r>
    </w:p>
    <w:p>
      <w:pPr>
        <w:sectPr>
          <w:pgSz w:w="11900" w:h="16838" w:orient="portrait"/>
          <w:cols w:equalWidth="0" w:num="1">
            <w:col w:w="11420"/>
          </w:cols>
          <w:pgMar w:left="240" w:top="258" w:right="2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RAM Energy Holdings LLC</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Nature of Operations and Organization</w:t>
      </w:r>
    </w:p>
    <w:p>
      <w:pPr>
        <w:spacing w:after="0" w:line="203"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RAM Energy Holdings LLC (formerly named PNNT RAM Energy LLC) is a Delaware limited liability company, wholly-owned by PennantPark Investment Corporation, and was formed in July 2014 as a holding company for interest ownership in RAM Energy LLC (“RAM”). RAM Energy Holdings LLC and RAM are herein referred to as the “Company.”</w:t>
      </w:r>
    </w:p>
    <w:p>
      <w:pPr>
        <w:spacing w:after="0" w:line="163"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RAM was formed in April 2012 as a privately held, independent oil and natural gas company engaged in the acquisition, exploration, exploitation, development and production of oil and natural gas.</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In July 2014, RAM acquired certain oil and natural gas properties from Chaparral Energy for a purchase price of approximately $98 million, after post-closing adjustments. The acquisition was funded by debt and the lenders, which included RAM Energy Holdings LLC, initially received approximately 10% minority interests in RAM in exchange for deal fees. RAM issued 531.25 common units to its lenders in connection with the First Event under the credit agreement in January 2015 and 531.25 common units to its lenders in connection with the Second Event under the credit agreement in April 2015. In August 2015, in resolution of RAM’s then default under its credit agreement, all remaining interests in RAM were transferred to RAM Energy Holdings LLC; the credit agreement was restructured and $20 million of debt was canceled. Prior to the debt restructuring, RAM Energy Holdings LLC held a minority interest in RAM, and after the debt restructuring, RAM became a wholly-owned and consolidated subsidiary of RAM Energy Holdings LLC. See Notes 8 and 9. Upon this change in control, the assets and liabilities of RAM were revalued to fair value.</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RAM operates exclusively in the upstream segment of the oil and gas industry with activities including the drilling, completion, and operation of oil and natural gas wells. RAM conducts the majority of its operations in the states of Texas, Louisiana, New Mexico and Oklahoma.</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Liquidity</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Company had a member’s deficit of $65.4 million, and a working capital deficit of $4.6 million at December 31, 2016. On January 5, 2017, the Company closed on the sale of certain oil and natural gas properties located in Texas for $5.7 million net proceeds. The proceeds will be used for general operating purposes. The Company also obtained a debt covenant waiver for all of its financial covenants and intends to exercise the paid-in-kind interest election through March 2018. As of March 9, 2017, after the January 2017 property sale and given the remedial actions taken on the credit agreement, management believes it has the funds necessary to maintain operations beyond one year after the date of these consolidated financial statements.</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Prior Period Adjustment</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9"/>
          <w:szCs w:val="19"/>
          <w:color w:val="auto"/>
        </w:rPr>
        <w:t>In connection with the preparation of the Company’s 2016 consolidated financial statements, management identified certain errors amounting to approximately $390,000 that related to the Company’s 2015 consolidated financial statements. The beginning balance of member’s deficit in the accompanying consolidated statement of member’s deficit has been revised to give effect to the correction of these errors.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8</w:t>
      </w:r>
    </w:p>
    <w:p>
      <w:pPr>
        <w:sectPr>
          <w:pgSz w:w="11900" w:h="16838" w:orient="portrait"/>
          <w:cols w:equalWidth="0" w:num="1">
            <w:col w:w="11420"/>
          </w:cols>
          <w:pgMar w:left="240" w:top="258" w:right="239" w:bottom="1440" w:gutter="0" w:footer="0" w:header="0"/>
        </w:sectPr>
      </w:pPr>
    </w:p>
    <w:bookmarkStart w:id="202" w:name="page203"/>
    <w:bookmarkEnd w:id="202"/>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RAM Energy Holdings LLC</w:t>
      </w:r>
    </w:p>
    <w:p>
      <w:pPr>
        <w:spacing w:after="0" w:line="183"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Summary of Significant Accounting Policies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of Presentation</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accompanying consolidated financial statements include the accounts of RAM Energy Holdings LLC and its wholly-owned subsidiary, RAM. All significant intercompany accounts and transactions have been eliminated in consolidation.</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Property and Equipment</w:t>
      </w:r>
    </w:p>
    <w:p>
      <w:pPr>
        <w:spacing w:after="0" w:line="194"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Company follows the full cost method of accounting for oil and natural gas properties. Under this method, all productive and nonproductive costs incurred in connection with the acquisition, exploration, and development of oil and natural gas reserves are capitalized. No gains or losses are recognized upon the sale or other disposition of oil and natural gas properties except in transactions that would significantly alter the relationship between capitalized costs and proved reserves. The costs of unevaluated oil and natural gas properties are excluded from the amortizable base until the time that either proven reserves are found or it has been determined that such properties are impaired. As properties become evaluated, the related costs are transferred to proved oil and natural gas properties.</w:t>
      </w:r>
    </w:p>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Under the full cost method, the net book value of oil and natural gas properties may not exceed the estimated after-tax future net revenues from proved oil and natural gas properties, discounted at 10% (the “Ceiling Limitation”). In arriving at estimated future net revenues, estimated lease operating expenses, development costs, and certain production-related and ad valorem taxes are deducted.</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9"/>
          <w:szCs w:val="19"/>
          <w:color w:val="auto"/>
        </w:rPr>
        <w:t>In calculating future net revenues, prices and costs are held constant indefinitely, except for changes that are fixed and determinable by existing contracts. The net book value is compared to the Ceiling Limitation and the excess, if any, of the net book value above the Ceiling Limitation is charged to expense in the period in which it occurs and is not subsequently reinstated. At December 31, 2016, the net book value of the Company’s oil and natural gas properties exceeded the Ceiling Limitation by $4.6 million.</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costs directly associated with unevaluated oil and natural gas properties are not initially included in the amortization base and relate to unproved leasehold acreage, seismic data, wells and production facilities in progress and wells pending determination. Unevaluated leasehold costs are transferred to the amortization base once determination has been made or upon expiration of a lease. Geological and geophysical costs and cumulative drilling costs to date associated with a specific unevaluated property are transferred to the amortization base with the associated leasehold costs on a specific project basis. Costs associated with wells in progress and wells pending determination are transferred to the amortization base once a determination is made whether or not proved reserves can be assigned to the property. All costs included in the Company’s unevaluated property balance are assessed on a periodic basis for possible impairment or reduction in value. The assessment includes consideration of numerous factors, including intent to drill, remaining lease term, geological and geophysical evaluations, drilling results and activity, assignment of proved reserves and economic viability of development if proved reserves are assigned. Any impairments of unevaluated properties are transferred to the amortization base. The Company did not have any impairment of its unproved oil and gas properties for the year ended December 31, 2016.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9</w:t>
      </w:r>
    </w:p>
    <w:p>
      <w:pPr>
        <w:sectPr>
          <w:pgSz w:w="11900" w:h="16838" w:orient="portrait"/>
          <w:cols w:equalWidth="0" w:num="1">
            <w:col w:w="11420"/>
          </w:cols>
          <w:pgMar w:left="240" w:top="258" w:right="239" w:bottom="1440" w:gutter="0" w:footer="0" w:header="0"/>
        </w:sectPr>
      </w:pPr>
    </w:p>
    <w:bookmarkStart w:id="203" w:name="page204"/>
    <w:bookmarkEnd w:id="203"/>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RAM Energy Holdings LLC</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4" w:lineRule="exact"/>
        <w:rPr>
          <w:sz w:val="20"/>
          <w:szCs w:val="20"/>
          <w:color w:val="auto"/>
        </w:rPr>
      </w:pPr>
    </w:p>
    <w:p>
      <w:pPr>
        <w:jc w:val="both"/>
        <w:spacing w:after="0"/>
        <w:rPr>
          <w:sz w:val="20"/>
          <w:szCs w:val="20"/>
          <w:color w:val="auto"/>
        </w:rPr>
      </w:pPr>
      <w:r>
        <w:rPr>
          <w:rFonts w:ascii="Arial" w:cs="Arial" w:eastAsia="Arial" w:hAnsi="Arial"/>
          <w:sz w:val="19"/>
          <w:szCs w:val="19"/>
          <w:color w:val="auto"/>
        </w:rPr>
        <w:t>Other property and equipment consists principally of furniture and equipment and leasehold improvements. Other property and equipment and related accumulated depreciation and amortization are relieved upon retirement or sale and the gain or loss is included in operations. Renewals and replacements that extend the useful life of property and equipment are treated as capital additions. Depreciation expense of other property and equipment for the year ended December 31, 2016 was approximately $233 thousand.</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In accordance with authoritative guidance on accounting for the impairment or disposal of long-lived assets, as set forth in Topic 360 of the Accounting Standards Codification (the “Codification”) implemented by the Financial Accounting Standards Board (the “FASB”), the Company assesses the recoverability of the carrying value of its non-oil and natural gas long-lived assets whenever events occur that indicate an impairment in value may exist. An impairment loss is indicated if the sum of the expected undiscounted future net cash flows is less than the carrying amount of the assets. If this occurs, an impairment loss is recognized for the amount by which the carrying amount of the asset exceeds the estimated fair value of the asset.</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Depreciation, Depletion and Amortization</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All capitalized costs of oil and natural gas properties and equipment, including the estimated future costs to develop proved reserves, are amortized using the unit-of-production method based on total proved reserves. Depreciation of other equipment is computed on the straight-line method over the estimated useful lives of the assets, which currently are three years. Amortization of leasehold improvements is computed based on the straight-line method over the term of the associated lease or estimated useful life, whichever is shorter.</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Natural Gas Sales and Gas Imbalances</w:t>
      </w:r>
    </w:p>
    <w:p>
      <w:pPr>
        <w:spacing w:after="0" w:line="195"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Company follows the entitlement method of accounting for natural gas sales, recognizing as revenues only its net interest share of all production sold. Any amount attributable to the sale of production in excess of or less than the Company’s net interest is recorded as a gas balancing asset or liability. At December 31, 2016, the Company’s gas imbalances were not significant.</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and Cash Equivalents</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All highly liquid unrestricted investments with a maturity of three months or less when purchased are considered to be cash equivalents.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Restricted Cash</w:t>
      </w:r>
    </w:p>
    <w:p>
      <w:pPr>
        <w:spacing w:after="0" w:line="20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At December 31, 2016, the Company had $0.5 million in certificates of deposit held as collateral for letters of credit for the beneficiary of states for the purpose of plugging and abandonment costs of the wells in which the Company has an interest. Such amounts are classified as restricted cash in the accompanying consolidated balance sheets.</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Concentrations of Credit Risk</w:t>
      </w:r>
    </w:p>
    <w:p>
      <w:pPr>
        <w:spacing w:after="0" w:line="195"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Company sells oil and natural gas to various customers and participates with other parties in the drilling, completion and operation of oil and natural gas wells. Joint interest and oil and natural gas sales receivables related to these operations are generally unsecured. For the year ended December 31, 2016, 21% of total revenues were from two customers and 11% of receivables were from one customer. The Company provides an allowance for doubtful accounts for certain purchasers and certain joint interest owners’ receivable balances when the Company believes the receivable balance may not be collected. Accounts receivable are presented net of the related allowance for doubtful accounts. At December 31, 2016, the allowance for doubtful accounts was $129 thousand.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10</w:t>
      </w:r>
    </w:p>
    <w:p>
      <w:pPr>
        <w:sectPr>
          <w:pgSz w:w="11900" w:h="16838" w:orient="portrait"/>
          <w:cols w:equalWidth="0" w:num="1">
            <w:col w:w="11420"/>
          </w:cols>
          <w:pgMar w:left="240" w:top="258" w:right="239" w:bottom="1440" w:gutter="0" w:footer="0" w:header="0"/>
        </w:sectPr>
      </w:pPr>
    </w:p>
    <w:bookmarkStart w:id="204" w:name="page205"/>
    <w:bookmarkEnd w:id="204"/>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RAM Energy Holdings LLC</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4"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In 2016, the Company had cash deposits in certain banks that at times exceeded the maximum insured by the Federal Deposit Insurance Corporation. The Company monitors the financial condition of the banks and has experienced no losses on these accounts.</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 and Administrative Expenses</w:t>
      </w:r>
    </w:p>
    <w:p>
      <w:pPr>
        <w:spacing w:after="0" w:line="195" w:lineRule="exact"/>
        <w:rPr>
          <w:sz w:val="20"/>
          <w:szCs w:val="20"/>
          <w:color w:val="auto"/>
        </w:rPr>
      </w:pPr>
    </w:p>
    <w:p>
      <w:pPr>
        <w:jc w:val="both"/>
        <w:ind w:right="20"/>
        <w:spacing w:after="0" w:line="273" w:lineRule="auto"/>
        <w:rPr>
          <w:sz w:val="20"/>
          <w:szCs w:val="20"/>
          <w:color w:val="auto"/>
        </w:rPr>
      </w:pPr>
      <w:r>
        <w:rPr>
          <w:rFonts w:ascii="Arial" w:cs="Arial" w:eastAsia="Arial" w:hAnsi="Arial"/>
          <w:sz w:val="18"/>
          <w:szCs w:val="18"/>
          <w:color w:val="auto"/>
        </w:rPr>
        <w:t>The Company receives fees for the operation of jointly owned oil and natural gas properties and records such reimbursements as reductions of general and administrative expenses. Such fees totaled approximately $0.5 million for the year ended December 31, 2016.</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Use of Estimates</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and assumptions that, in the opinion of management are significant, include oil and natural gas reserves, depreciation, depletion and amortization related to oil and natural gas properties, asset retirement obligations and derivative instrument valuations. The Company evaluates its estimates and assumptions on a regular basis. Estimates are based on historical experience and various other assumptions that are believed to be reasonable under the circumstances. Actual results may differ from these estimates.</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Oil and Natural Gas Reserves Estimates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Independent petroleum and geological engineers prepare estimates of the Company’s oil and natural gas reserves. Proved reserves and the estimated future net revenues are estimated based upon a combination of historical data and estimates of future activity. Consistent with Topic 932 of the Codification, at December 31, 2016, the Company calculated its estimate of proved reserves using a twelve month average price, calculated as the unweighted arithmetic average of the first-day-of-the-month price for each period within the twelve-month period prior to the end of the reporting period. The reserve estimates are used in the assessment of the Company’s Ceiling Limitation and in calculating depreciation, depletion and amortization. Significant assumptions are required in the valuation of proved oil and natural gas reserves which, as described herein, may affect the amount at which oil and natural gas properties are recorded. Actual results could differ materially from these estimates.</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Derivatives</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Company recognizes all derivative instruments as either assets or liabilities in the consolidated balance sheets at fair value in accordance with authoritative guidance as set forth in Topic 815 of the Codification.</w:t>
      </w:r>
    </w:p>
    <w:p>
      <w:pPr>
        <w:spacing w:after="0" w:line="173"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Company entered into numerous derivative contracts to reduce the impact of oil and natural gas price fluctuations and as required by the terms of its credit facility. See Notes 5 and 6. The Company did not designate these transactions as hedges. Accordingly, all gains and losses on the derivative instruments during 2016 have been recorded in the consolidated statement of operations.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11</w:t>
      </w:r>
    </w:p>
    <w:p>
      <w:pPr>
        <w:sectPr>
          <w:pgSz w:w="11900" w:h="16838" w:orient="portrait"/>
          <w:cols w:equalWidth="0" w:num="1">
            <w:col w:w="11420"/>
          </w:cols>
          <w:pgMar w:left="240" w:top="258" w:right="239" w:bottom="1440" w:gutter="0" w:footer="0" w:header="0"/>
        </w:sectPr>
      </w:pPr>
    </w:p>
    <w:bookmarkStart w:id="205" w:name="page206"/>
    <w:bookmarkEnd w:id="205"/>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RAM Energy Holdings LLC</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Authoritative guidance, set forth in Topic 410 of the Codification, addresses financial accounting and reporting for obligations associated with the retirement of tangible long-lived assets and the associated asset retirement costs. The authoritative guidance requires that the fair value of a liability for an asset retirement obligation be recognized in the period in which it is incurred if a reasonable estimate of fair value can be made, and that the associated asset retirement costs be capitalized as part of the carrying amount of the long-lived asset. The Company determines its asset retirement obligations on its oil and natural gas properties by calculating the present value of the estimated cash flows related to the estimated liability. Periodic accretion of the discount of the estimated liability on the Company’s oil and natural gas properties is recorded in the consolidated statement of operations.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40" w:type="dxa"/>
            <w:vAlign w:val="bottom"/>
          </w:tcPr>
          <w:p>
            <w:pPr>
              <w:spacing w:after="0"/>
              <w:rPr>
                <w:sz w:val="20"/>
                <w:szCs w:val="20"/>
                <w:color w:val="auto"/>
              </w:rPr>
            </w:pPr>
            <w:r>
              <w:rPr>
                <w:rFonts w:ascii="Arial" w:cs="Arial" w:eastAsia="Arial" w:hAnsi="Arial"/>
                <w:sz w:val="19"/>
                <w:szCs w:val="19"/>
                <w:color w:val="auto"/>
              </w:rPr>
              <w:t>The Company recorded the following activity related to the asset retirement obligations (in thousands):</w:t>
            </w: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7"/>
        </w:trPr>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19"/>
                <w:szCs w:val="19"/>
                <w:b w:val="1"/>
                <w:bCs w:val="1"/>
                <w:i w:val="1"/>
                <w:iCs w:val="1"/>
                <w:color w:val="auto"/>
              </w:rPr>
              <w:t>Year Ended December 31,</w:t>
            </w:r>
          </w:p>
        </w:tc>
        <w:tc>
          <w:tcPr>
            <w:tcW w:w="10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5"/>
              <w:spacing w:after="0"/>
              <w:rPr>
                <w:sz w:val="20"/>
                <w:szCs w:val="20"/>
                <w:color w:val="auto"/>
              </w:rPr>
            </w:pPr>
            <w:r>
              <w:rPr>
                <w:rFonts w:ascii="Arial" w:cs="Arial" w:eastAsia="Arial" w:hAnsi="Arial"/>
                <w:sz w:val="19"/>
                <w:szCs w:val="19"/>
                <w:b w:val="1"/>
                <w:bCs w:val="1"/>
                <w:color w:val="auto"/>
              </w:rPr>
              <w:t>2016</w:t>
            </w:r>
          </w:p>
        </w:tc>
        <w:tc>
          <w:tcPr>
            <w:tcW w:w="60" w:type="dxa"/>
            <w:vAlign w:val="bottom"/>
          </w:tcPr>
          <w:p>
            <w:pPr>
              <w:spacing w:after="0"/>
              <w:rPr>
                <w:sz w:val="24"/>
                <w:szCs w:val="24"/>
                <w:color w:val="auto"/>
              </w:rPr>
            </w:pPr>
          </w:p>
        </w:tc>
      </w:tr>
      <w:tr>
        <w:trPr>
          <w:trHeight w:val="183"/>
        </w:trPr>
        <w:tc>
          <w:tcPr>
            <w:tcW w:w="9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9240" w:type="dxa"/>
            <w:vAlign w:val="bottom"/>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Liability for Asset Retirement Obligations, Beginning of Year</w:t>
            </w:r>
          </w:p>
        </w:tc>
        <w:tc>
          <w:tcPr>
            <w:tcW w:w="1080" w:type="dxa"/>
            <w:vAlign w:val="bottom"/>
            <w:shd w:val="clear" w:color="auto" w:fill="CCEEFF"/>
          </w:tcPr>
          <w:p>
            <w:pPr>
              <w:jc w:val="right"/>
              <w:ind w:right="205"/>
              <w:spacing w:after="0" w:line="216" w:lineRule="exact"/>
              <w:rPr>
                <w:sz w:val="20"/>
                <w:szCs w:val="20"/>
                <w:color w:val="auto"/>
              </w:rPr>
            </w:pPr>
            <w:r>
              <w:rPr>
                <w:rFonts w:ascii="Arial" w:cs="Arial" w:eastAsia="Arial" w:hAnsi="Arial"/>
                <w:sz w:val="19"/>
                <w:szCs w:val="19"/>
                <w:color w:val="auto"/>
              </w:rPr>
              <w:t>$</w:t>
            </w:r>
          </w:p>
        </w:tc>
        <w:tc>
          <w:tcPr>
            <w:tcW w:w="10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5,624</w:t>
            </w:r>
          </w:p>
        </w:tc>
        <w:tc>
          <w:tcPr>
            <w:tcW w:w="60" w:type="dxa"/>
            <w:vAlign w:val="bottom"/>
            <w:shd w:val="clear" w:color="auto" w:fill="CCEEFF"/>
          </w:tcPr>
          <w:p>
            <w:pPr>
              <w:spacing w:after="0"/>
              <w:rPr>
                <w:sz w:val="18"/>
                <w:szCs w:val="18"/>
                <w:color w:val="auto"/>
              </w:rPr>
            </w:pPr>
          </w:p>
        </w:tc>
      </w:tr>
      <w:tr>
        <w:trPr>
          <w:trHeight w:val="243"/>
        </w:trPr>
        <w:tc>
          <w:tcPr>
            <w:tcW w:w="9240" w:type="dxa"/>
            <w:vAlign w:val="bottom"/>
          </w:tcPr>
          <w:p>
            <w:pPr>
              <w:ind w:left="480"/>
              <w:spacing w:after="0"/>
              <w:rPr>
                <w:sz w:val="20"/>
                <w:szCs w:val="20"/>
                <w:color w:val="auto"/>
              </w:rPr>
            </w:pPr>
            <w:r>
              <w:rPr>
                <w:rFonts w:ascii="Arial" w:cs="Arial" w:eastAsia="Arial" w:hAnsi="Arial"/>
                <w:sz w:val="19"/>
                <w:szCs w:val="19"/>
                <w:color w:val="auto"/>
              </w:rPr>
              <w:t>Accretion</w:t>
            </w:r>
          </w:p>
        </w:tc>
        <w:tc>
          <w:tcPr>
            <w:tcW w:w="10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689</w:t>
            </w:r>
          </w:p>
        </w:tc>
        <w:tc>
          <w:tcPr>
            <w:tcW w:w="60" w:type="dxa"/>
            <w:vAlign w:val="bottom"/>
          </w:tcPr>
          <w:p>
            <w:pPr>
              <w:spacing w:after="0"/>
              <w:rPr>
                <w:sz w:val="21"/>
                <w:szCs w:val="21"/>
                <w:color w:val="auto"/>
              </w:rPr>
            </w:pPr>
          </w:p>
        </w:tc>
      </w:tr>
      <w:tr>
        <w:trPr>
          <w:trHeight w:val="216"/>
        </w:trPr>
        <w:tc>
          <w:tcPr>
            <w:tcW w:w="9240" w:type="dxa"/>
            <w:vAlign w:val="bottom"/>
            <w:shd w:val="clear" w:color="auto" w:fill="CCEEFF"/>
          </w:tcPr>
          <w:p>
            <w:pPr>
              <w:ind w:left="480"/>
              <w:spacing w:after="0" w:line="216" w:lineRule="exact"/>
              <w:rPr>
                <w:sz w:val="20"/>
                <w:szCs w:val="20"/>
                <w:color w:val="auto"/>
              </w:rPr>
            </w:pPr>
            <w:r>
              <w:rPr>
                <w:rFonts w:ascii="Arial" w:cs="Arial" w:eastAsia="Arial" w:hAnsi="Arial"/>
                <w:sz w:val="19"/>
                <w:szCs w:val="19"/>
                <w:color w:val="auto"/>
              </w:rPr>
              <w:t>Change in estimate</w:t>
            </w:r>
          </w:p>
        </w:tc>
        <w:tc>
          <w:tcPr>
            <w:tcW w:w="10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line="216" w:lineRule="exact"/>
              <w:rPr>
                <w:sz w:val="20"/>
                <w:szCs w:val="20"/>
                <w:color w:val="auto"/>
              </w:rPr>
            </w:pPr>
            <w:r>
              <w:rPr>
                <w:rFonts w:ascii="Arial" w:cs="Arial" w:eastAsia="Arial" w:hAnsi="Arial"/>
                <w:sz w:val="19"/>
                <w:szCs w:val="19"/>
                <w:color w:val="auto"/>
              </w:rPr>
              <w:t>(152)</w:t>
            </w:r>
          </w:p>
        </w:tc>
      </w:tr>
      <w:tr>
        <w:trPr>
          <w:trHeight w:val="270"/>
        </w:trPr>
        <w:tc>
          <w:tcPr>
            <w:tcW w:w="9240" w:type="dxa"/>
            <w:vAlign w:val="bottom"/>
            <w:tcBorders>
              <w:bottom w:val="single" w:sz="8" w:color="auto"/>
            </w:tcBorders>
          </w:tcPr>
          <w:p>
            <w:pPr>
              <w:ind w:left="480"/>
              <w:spacing w:after="0"/>
              <w:rPr>
                <w:sz w:val="20"/>
                <w:szCs w:val="20"/>
                <w:color w:val="auto"/>
              </w:rPr>
            </w:pPr>
            <w:r>
              <w:rPr>
                <w:rFonts w:ascii="Arial" w:cs="Arial" w:eastAsia="Arial" w:hAnsi="Arial"/>
                <w:sz w:val="19"/>
                <w:szCs w:val="19"/>
                <w:color w:val="auto"/>
              </w:rPr>
              <w:t>Obligations for wells sold</w:t>
            </w:r>
          </w:p>
        </w:tc>
        <w:tc>
          <w:tcPr>
            <w:tcW w:w="10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9"/>
                <w:szCs w:val="19"/>
                <w:color w:val="auto"/>
              </w:rPr>
              <w:t>(29)</w:t>
            </w:r>
          </w:p>
        </w:tc>
      </w:tr>
      <w:tr>
        <w:trPr>
          <w:trHeight w:val="156"/>
        </w:trPr>
        <w:tc>
          <w:tcPr>
            <w:tcW w:w="9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6"/>
        </w:trPr>
        <w:tc>
          <w:tcPr>
            <w:tcW w:w="9240" w:type="dxa"/>
            <w:vAlign w:val="bottom"/>
            <w:shd w:val="clear" w:color="auto" w:fill="CCEEFF"/>
          </w:tcPr>
          <w:p>
            <w:pPr>
              <w:ind w:left="100"/>
              <w:spacing w:after="0" w:line="216" w:lineRule="exact"/>
              <w:rPr>
                <w:sz w:val="20"/>
                <w:szCs w:val="20"/>
                <w:color w:val="auto"/>
              </w:rPr>
            </w:pPr>
            <w:r>
              <w:rPr>
                <w:rFonts w:ascii="Arial" w:cs="Arial" w:eastAsia="Arial" w:hAnsi="Arial"/>
                <w:sz w:val="19"/>
                <w:szCs w:val="19"/>
                <w:b w:val="1"/>
                <w:bCs w:val="1"/>
                <w:color w:val="auto"/>
              </w:rPr>
              <w:t>Liability for Asset Retirement Obligations, End of Year</w:t>
            </w:r>
          </w:p>
        </w:tc>
        <w:tc>
          <w:tcPr>
            <w:tcW w:w="10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6,132</w:t>
            </w:r>
          </w:p>
        </w:tc>
        <w:tc>
          <w:tcPr>
            <w:tcW w:w="60" w:type="dxa"/>
            <w:vAlign w:val="bottom"/>
            <w:shd w:val="clear" w:color="auto" w:fill="CCEEFF"/>
          </w:tcPr>
          <w:p>
            <w:pPr>
              <w:spacing w:after="0"/>
              <w:rPr>
                <w:sz w:val="18"/>
                <w:szCs w:val="18"/>
                <w:color w:val="auto"/>
              </w:rPr>
            </w:pPr>
          </w:p>
        </w:tc>
      </w:tr>
      <w:tr>
        <w:trPr>
          <w:trHeight w:val="446"/>
        </w:trPr>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19"/>
                <w:szCs w:val="19"/>
                <w:color w:val="auto"/>
              </w:rPr>
              <w:t>Less: current asset retirement obligations</w:t>
            </w:r>
          </w:p>
        </w:tc>
        <w:tc>
          <w:tcPr>
            <w:tcW w:w="10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1,989</w:t>
            </w:r>
          </w:p>
        </w:tc>
        <w:tc>
          <w:tcPr>
            <w:tcW w:w="60" w:type="dxa"/>
            <w:vAlign w:val="bottom"/>
            <w:tcBorders>
              <w:bottom w:val="single" w:sz="8" w:color="auto"/>
            </w:tcBorders>
          </w:tcPr>
          <w:p>
            <w:pPr>
              <w:spacing w:after="0"/>
              <w:rPr>
                <w:sz w:val="24"/>
                <w:szCs w:val="24"/>
                <w:color w:val="auto"/>
              </w:rPr>
            </w:pPr>
          </w:p>
        </w:tc>
      </w:tr>
      <w:tr>
        <w:trPr>
          <w:trHeight w:val="88"/>
        </w:trPr>
        <w:tc>
          <w:tcPr>
            <w:tcW w:w="9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277"/>
        </w:trPr>
        <w:tc>
          <w:tcPr>
            <w:tcW w:w="9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9"/>
                <w:szCs w:val="19"/>
                <w:b w:val="1"/>
                <w:bCs w:val="1"/>
                <w:color w:val="auto"/>
              </w:rPr>
              <w:t>Long-Term Asset Retirement Obligations</w:t>
            </w:r>
          </w:p>
        </w:tc>
        <w:tc>
          <w:tcPr>
            <w:tcW w:w="108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9"/>
                <w:szCs w:val="19"/>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4,143</w:t>
            </w:r>
          </w:p>
        </w:tc>
        <w:tc>
          <w:tcPr>
            <w:tcW w:w="60" w:type="dxa"/>
            <w:vAlign w:val="bottom"/>
            <w:tcBorders>
              <w:bottom w:val="single" w:sz="8" w:color="auto"/>
            </w:tcBorders>
            <w:shd w:val="clear" w:color="auto" w:fill="CCEEFF"/>
          </w:tcPr>
          <w:p>
            <w:pPr>
              <w:spacing w:after="0"/>
              <w:rPr>
                <w:sz w:val="24"/>
                <w:szCs w:val="24"/>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9"/>
          <w:szCs w:val="19"/>
          <w:color w:val="auto"/>
        </w:rPr>
        <w:t>Prior to the debt restructuring effective August 31, 2015, the Company held a minority interest in RAM, and after the debt restructuring, RAM became a wholly-owned, disregarded subsidiary of the Company. As the Company has elected to be classified as a corporation, a tax benefit has been calculated for the year ended December 31, 2016. See Notes 8 and 9 for discussion of debt restructuring and member’s deficit.</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The benefit for income taxes differs from the amount computed by applying the statutory federal income tax rate to income before provision for income taxes. For the year ended December 31, 2016, the Company had a benefit for income taxes of $7.0 million, which was completely offset by a valuation allowance. The significant differences between pre-tax book income and taxable book income relate to non-deductible expenses, state income taxes, change in valuation allowance, and other adjustments to deferred tax balances.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12</w:t>
      </w:r>
    </w:p>
    <w:p>
      <w:pPr>
        <w:sectPr>
          <w:pgSz w:w="11900" w:h="16838" w:orient="portrait"/>
          <w:cols w:equalWidth="0" w:num="1">
            <w:col w:w="11420"/>
          </w:cols>
          <w:pgMar w:left="240" w:top="258" w:right="239" w:bottom="1440" w:gutter="0" w:footer="0" w:header="0"/>
        </w:sectPr>
      </w:pPr>
    </w:p>
    <w:bookmarkStart w:id="206" w:name="page207"/>
    <w:bookmarkEnd w:id="206"/>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RAM Energy Holdings LLC</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58" w:right="23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sources and tax effects of the differences are as follows (in thousands):</w:t>
      </w:r>
    </w:p>
    <w:p>
      <w:pPr>
        <w:spacing w:after="0" w:line="203" w:lineRule="exact"/>
        <w:rPr>
          <w:sz w:val="20"/>
          <w:szCs w:val="20"/>
          <w:color w:val="auto"/>
        </w:rPr>
      </w:pPr>
    </w:p>
    <w:p>
      <w:pPr>
        <w:ind w:left="100"/>
        <w:spacing w:after="0"/>
        <w:rPr>
          <w:sz w:val="20"/>
          <w:szCs w:val="20"/>
          <w:color w:val="auto"/>
        </w:rPr>
      </w:pPr>
      <w:r>
        <w:rPr>
          <w:rFonts w:ascii="Arial" w:cs="Arial" w:eastAsia="Arial" w:hAnsi="Arial"/>
          <w:sz w:val="19"/>
          <w:szCs w:val="19"/>
          <w:b w:val="1"/>
          <w:bCs w:val="1"/>
          <w:i w:val="1"/>
          <w:i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1371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9"/>
          <w:szCs w:val="19"/>
          <w:color w:val="auto"/>
        </w:rPr>
        <w:t>Income tax benefit at the federal statutory rate (34%)</w:t>
      </w:r>
    </w:p>
    <w:p>
      <w:pPr>
        <w:ind w:left="60"/>
        <w:spacing w:after="0" w:line="237" w:lineRule="auto"/>
        <w:rPr>
          <w:sz w:val="20"/>
          <w:szCs w:val="20"/>
          <w:color w:val="auto"/>
        </w:rPr>
      </w:pPr>
      <w:r>
        <w:rPr>
          <w:rFonts w:ascii="Arial" w:cs="Arial" w:eastAsia="Arial" w:hAnsi="Arial"/>
          <w:sz w:val="19"/>
          <w:szCs w:val="19"/>
          <w:color w:val="auto"/>
        </w:rPr>
        <w:t>State income tax expense, net of federal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371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0"/>
        <w:spacing w:after="0" w:line="237" w:lineRule="auto"/>
        <w:rPr>
          <w:sz w:val="20"/>
          <w:szCs w:val="20"/>
          <w:color w:val="auto"/>
        </w:rPr>
      </w:pPr>
      <w:r>
        <w:rPr>
          <w:rFonts w:ascii="Arial" w:cs="Arial" w:eastAsia="Arial" w:hAnsi="Arial"/>
          <w:sz w:val="19"/>
          <w:szCs w:val="19"/>
          <w:color w:val="auto"/>
        </w:rPr>
        <w:t>Other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9"/>
          <w:szCs w:val="19"/>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Income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885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auto"/>
        </w:rPr>
        <w:t>2016</w:t>
      </w:r>
    </w:p>
    <w:p>
      <w:pPr>
        <w:spacing w:after="0" w:line="195" w:lineRule="exact"/>
        <w:rPr>
          <w:sz w:val="20"/>
          <w:szCs w:val="20"/>
          <w:color w:val="auto"/>
        </w:rPr>
      </w:pPr>
    </w:p>
    <w:p>
      <w:pPr>
        <w:ind w:left="760" w:hanging="757"/>
        <w:spacing w:after="0"/>
        <w:tabs>
          <w:tab w:leader="none" w:pos="76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6,593</w:t>
      </w:r>
    </w:p>
    <w:p>
      <w:pPr>
        <w:ind w:left="920"/>
        <w:spacing w:after="0" w:line="237" w:lineRule="auto"/>
        <w:rPr>
          <w:rFonts w:ascii="Arial" w:cs="Arial" w:eastAsia="Arial" w:hAnsi="Arial"/>
          <w:sz w:val="19"/>
          <w:szCs w:val="19"/>
          <w:color w:val="auto"/>
        </w:rPr>
      </w:pPr>
      <w:r>
        <w:rPr>
          <w:rFonts w:ascii="Arial" w:cs="Arial" w:eastAsia="Arial" w:hAnsi="Arial"/>
          <w:sz w:val="19"/>
          <w:szCs w:val="19"/>
          <w:color w:val="auto"/>
        </w:rPr>
        <w:t>403</w:t>
      </w:r>
    </w:p>
    <w:p>
      <w:pPr>
        <w:ind w:left="1060"/>
        <w:spacing w:after="0"/>
        <w:rPr>
          <w:rFonts w:ascii="Arial" w:cs="Arial" w:eastAsia="Arial" w:hAnsi="Arial"/>
          <w:sz w:val="19"/>
          <w:szCs w:val="19"/>
          <w:color w:val="auto"/>
        </w:rPr>
      </w:pPr>
      <w:r>
        <w:rPr>
          <w:rFonts w:ascii="Arial" w:cs="Arial" w:eastAsia="Arial" w:hAnsi="Arial"/>
          <w:sz w:val="18"/>
          <w:szCs w:val="18"/>
          <w:color w:val="auto"/>
        </w:rPr>
        <w:t>(3)</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9"/>
          <w:szCs w:val="19"/>
          <w:color w:val="auto"/>
        </w:rPr>
        <w:t>(6,993)</w:t>
      </w:r>
    </w:p>
    <w:p>
      <w:pPr>
        <w:spacing w:after="0" w:line="160" w:lineRule="exact"/>
        <w:rPr>
          <w:sz w:val="20"/>
          <w:szCs w:val="20"/>
          <w:color w:val="auto"/>
        </w:rPr>
      </w:pPr>
    </w:p>
    <w:p>
      <w:pPr>
        <w:ind w:left="1180" w:hanging="1177"/>
        <w:spacing w:after="0"/>
        <w:tabs>
          <w:tab w:leader="none" w:pos="118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w:t>
      </w:r>
    </w:p>
    <w:p>
      <w:pPr>
        <w:spacing w:after="0" w:line="200" w:lineRule="exact"/>
        <w:rPr>
          <w:sz w:val="20"/>
          <w:szCs w:val="20"/>
          <w:color w:val="auto"/>
        </w:rPr>
      </w:pPr>
    </w:p>
    <w:p>
      <w:pPr>
        <w:sectPr>
          <w:pgSz w:w="11900" w:h="16838" w:orient="portrait"/>
          <w:cols w:equalWidth="0" w:num="2">
            <w:col w:w="9360" w:space="720"/>
            <w:col w:w="1340"/>
          </w:cols>
          <w:pgMar w:left="240" w:top="258" w:right="239" w:bottom="1440" w:gutter="0" w:footer="0" w:header="0"/>
          <w:type w:val="continuous"/>
        </w:sectPr>
      </w:pPr>
    </w:p>
    <w:p>
      <w:pPr>
        <w:jc w:val="both"/>
        <w:spacing w:after="0" w:line="242" w:lineRule="auto"/>
        <w:rPr>
          <w:sz w:val="20"/>
          <w:szCs w:val="20"/>
          <w:color w:val="auto"/>
        </w:rPr>
      </w:pPr>
      <w:r>
        <w:rPr>
          <w:rFonts w:ascii="Arial" w:cs="Arial" w:eastAsia="Arial" w:hAnsi="Arial"/>
          <w:sz w:val="19"/>
          <w:szCs w:val="19"/>
          <w:color w:val="auto"/>
        </w:rPr>
        <w:t>The Company’s income tax benefit was computed based on the federal statutory rate and the average state statutory rates, net of the related federal benefit. Deferred income taxes reflect the net tax effects of temporary differences between the carrying amounts of assets and liabilities for financial reporting purposes and the amounts used for income tax purposes.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440" w:type="dxa"/>
            <w:vAlign w:val="bottom"/>
          </w:tcPr>
          <w:p>
            <w:pPr>
              <w:spacing w:after="0"/>
              <w:rPr>
                <w:sz w:val="20"/>
                <w:szCs w:val="20"/>
                <w:color w:val="auto"/>
              </w:rPr>
            </w:pPr>
            <w:r>
              <w:rPr>
                <w:rFonts w:ascii="Arial" w:cs="Arial" w:eastAsia="Arial" w:hAnsi="Arial"/>
                <w:sz w:val="19"/>
                <w:szCs w:val="19"/>
                <w:color w:val="auto"/>
              </w:rPr>
              <w:t>Significant components of the Company’s deferred tax assets and liabilities are as follows (in thousands):</w:t>
            </w: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44"/>
        </w:trPr>
        <w:tc>
          <w:tcPr>
            <w:tcW w:w="9440" w:type="dxa"/>
            <w:vAlign w:val="bottom"/>
            <w:tcBorders>
              <w:bottom w:val="single" w:sz="8" w:color="auto"/>
            </w:tcBorders>
          </w:tcPr>
          <w:p>
            <w:pPr>
              <w:ind w:left="120"/>
              <w:spacing w:after="0"/>
              <w:rPr>
                <w:sz w:val="20"/>
                <w:szCs w:val="20"/>
                <w:color w:val="auto"/>
              </w:rPr>
            </w:pPr>
            <w:r>
              <w:rPr>
                <w:rFonts w:ascii="Arial" w:cs="Arial" w:eastAsia="Arial" w:hAnsi="Arial"/>
                <w:sz w:val="19"/>
                <w:szCs w:val="19"/>
                <w:b w:val="1"/>
                <w:bCs w:val="1"/>
                <w:i w:val="1"/>
                <w:iCs w:val="1"/>
                <w:color w:val="auto"/>
              </w:rPr>
              <w:t>December 31,</w:t>
            </w:r>
          </w:p>
        </w:tc>
        <w:tc>
          <w:tcPr>
            <w:tcW w:w="9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85"/>
              <w:spacing w:after="0"/>
              <w:rPr>
                <w:sz w:val="20"/>
                <w:szCs w:val="20"/>
                <w:color w:val="auto"/>
              </w:rPr>
            </w:pPr>
            <w:r>
              <w:rPr>
                <w:rFonts w:ascii="Arial" w:cs="Arial" w:eastAsia="Arial" w:hAnsi="Arial"/>
                <w:sz w:val="19"/>
                <w:szCs w:val="19"/>
                <w:b w:val="1"/>
                <w:bCs w:val="1"/>
                <w:color w:val="auto"/>
              </w:rPr>
              <w:t>2016</w:t>
            </w:r>
          </w:p>
        </w:tc>
      </w:tr>
      <w:tr>
        <w:trPr>
          <w:trHeight w:val="156"/>
        </w:trPr>
        <w:tc>
          <w:tcPr>
            <w:tcW w:w="9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6"/>
        </w:trPr>
        <w:tc>
          <w:tcPr>
            <w:tcW w:w="9440" w:type="dxa"/>
            <w:vAlign w:val="bottom"/>
            <w:shd w:val="clear" w:color="auto" w:fill="CCEEFF"/>
          </w:tcPr>
          <w:p>
            <w:pPr>
              <w:ind w:left="100"/>
              <w:spacing w:after="0" w:line="216" w:lineRule="exact"/>
              <w:rPr>
                <w:sz w:val="20"/>
                <w:szCs w:val="20"/>
                <w:color w:val="auto"/>
              </w:rPr>
            </w:pPr>
            <w:r>
              <w:rPr>
                <w:rFonts w:ascii="Arial" w:cs="Arial" w:eastAsia="Arial" w:hAnsi="Arial"/>
                <w:sz w:val="19"/>
                <w:szCs w:val="19"/>
                <w:color w:val="auto"/>
              </w:rPr>
              <w:t>Depreciable/ depletable property, plant and equipment</w:t>
            </w:r>
          </w:p>
        </w:tc>
        <w:tc>
          <w:tcPr>
            <w:tcW w:w="920" w:type="dxa"/>
            <w:vAlign w:val="bottom"/>
            <w:shd w:val="clear" w:color="auto" w:fill="CCEEFF"/>
          </w:tcPr>
          <w:p>
            <w:pPr>
              <w:jc w:val="right"/>
              <w:ind w:right="85"/>
              <w:spacing w:after="0" w:line="216" w:lineRule="exact"/>
              <w:rPr>
                <w:sz w:val="20"/>
                <w:szCs w:val="20"/>
                <w:color w:val="auto"/>
              </w:rPr>
            </w:pPr>
            <w:r>
              <w:rPr>
                <w:rFonts w:ascii="Arial" w:cs="Arial" w:eastAsia="Arial" w:hAnsi="Arial"/>
                <w:sz w:val="19"/>
                <w:szCs w:val="19"/>
                <w:color w:val="auto"/>
              </w:rPr>
              <w:t>$</w:t>
            </w:r>
          </w:p>
        </w:tc>
        <w:tc>
          <w:tcPr>
            <w:tcW w:w="1060" w:type="dxa"/>
            <w:vAlign w:val="bottom"/>
            <w:shd w:val="clear" w:color="auto" w:fill="CCEEFF"/>
          </w:tcPr>
          <w:p>
            <w:pPr>
              <w:jc w:val="right"/>
              <w:ind w:right="5"/>
              <w:spacing w:after="0" w:line="216" w:lineRule="exact"/>
              <w:rPr>
                <w:sz w:val="20"/>
                <w:szCs w:val="20"/>
                <w:color w:val="auto"/>
              </w:rPr>
            </w:pPr>
            <w:r>
              <w:rPr>
                <w:rFonts w:ascii="Arial" w:cs="Arial" w:eastAsia="Arial" w:hAnsi="Arial"/>
                <w:sz w:val="19"/>
                <w:szCs w:val="19"/>
                <w:color w:val="auto"/>
              </w:rPr>
              <w:t>21,705</w:t>
            </w:r>
          </w:p>
        </w:tc>
      </w:tr>
      <w:tr>
        <w:trPr>
          <w:trHeight w:val="216"/>
        </w:trPr>
        <w:tc>
          <w:tcPr>
            <w:tcW w:w="9440" w:type="dxa"/>
            <w:vAlign w:val="bottom"/>
          </w:tcPr>
          <w:p>
            <w:pPr>
              <w:ind w:left="100"/>
              <w:spacing w:after="0" w:line="216" w:lineRule="exact"/>
              <w:rPr>
                <w:sz w:val="20"/>
                <w:szCs w:val="20"/>
                <w:color w:val="auto"/>
              </w:rPr>
            </w:pPr>
            <w:r>
              <w:rPr>
                <w:rFonts w:ascii="Arial" w:cs="Arial" w:eastAsia="Arial" w:hAnsi="Arial"/>
                <w:sz w:val="19"/>
                <w:szCs w:val="19"/>
                <w:color w:val="auto"/>
              </w:rPr>
              <w:t>Asset retirement obligation</w:t>
            </w:r>
          </w:p>
        </w:tc>
        <w:tc>
          <w:tcPr>
            <w:tcW w:w="920" w:type="dxa"/>
            <w:vAlign w:val="bottom"/>
          </w:tcPr>
          <w:p>
            <w:pPr>
              <w:spacing w:after="0"/>
              <w:rPr>
                <w:sz w:val="18"/>
                <w:szCs w:val="18"/>
                <w:color w:val="auto"/>
              </w:rPr>
            </w:pPr>
          </w:p>
        </w:tc>
        <w:tc>
          <w:tcPr>
            <w:tcW w:w="1060" w:type="dxa"/>
            <w:vAlign w:val="bottom"/>
          </w:tcPr>
          <w:p>
            <w:pPr>
              <w:jc w:val="right"/>
              <w:ind w:right="5"/>
              <w:spacing w:after="0" w:line="216" w:lineRule="exact"/>
              <w:rPr>
                <w:sz w:val="20"/>
                <w:szCs w:val="20"/>
                <w:color w:val="auto"/>
              </w:rPr>
            </w:pPr>
            <w:r>
              <w:rPr>
                <w:rFonts w:ascii="Arial" w:cs="Arial" w:eastAsia="Arial" w:hAnsi="Arial"/>
                <w:sz w:val="19"/>
                <w:szCs w:val="19"/>
                <w:color w:val="auto"/>
              </w:rPr>
              <w:t>2,277</w:t>
            </w:r>
          </w:p>
        </w:tc>
      </w:tr>
      <w:tr>
        <w:trPr>
          <w:trHeight w:val="216"/>
        </w:trPr>
        <w:tc>
          <w:tcPr>
            <w:tcW w:w="9440" w:type="dxa"/>
            <w:vAlign w:val="bottom"/>
            <w:shd w:val="clear" w:color="auto" w:fill="CCEEFF"/>
          </w:tcPr>
          <w:p>
            <w:pPr>
              <w:ind w:left="100"/>
              <w:spacing w:after="0" w:line="216" w:lineRule="exact"/>
              <w:rPr>
                <w:sz w:val="20"/>
                <w:szCs w:val="20"/>
                <w:color w:val="auto"/>
              </w:rPr>
            </w:pPr>
            <w:r>
              <w:rPr>
                <w:rFonts w:ascii="Arial" w:cs="Arial" w:eastAsia="Arial" w:hAnsi="Arial"/>
                <w:sz w:val="19"/>
                <w:szCs w:val="19"/>
                <w:color w:val="auto"/>
              </w:rPr>
              <w:t>Derivative assets</w:t>
            </w: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
              <w:spacing w:after="0" w:line="216" w:lineRule="exact"/>
              <w:rPr>
                <w:sz w:val="20"/>
                <w:szCs w:val="20"/>
                <w:color w:val="auto"/>
              </w:rPr>
            </w:pPr>
            <w:r>
              <w:rPr>
                <w:rFonts w:ascii="Arial" w:cs="Arial" w:eastAsia="Arial" w:hAnsi="Arial"/>
                <w:sz w:val="19"/>
                <w:szCs w:val="19"/>
                <w:color w:val="auto"/>
              </w:rPr>
              <w:t>806</w:t>
            </w:r>
          </w:p>
        </w:tc>
      </w:tr>
      <w:tr>
        <w:trPr>
          <w:trHeight w:val="216"/>
        </w:trPr>
        <w:tc>
          <w:tcPr>
            <w:tcW w:w="9440" w:type="dxa"/>
            <w:vAlign w:val="bottom"/>
          </w:tcPr>
          <w:p>
            <w:pPr>
              <w:ind w:left="100"/>
              <w:spacing w:after="0" w:line="216" w:lineRule="exact"/>
              <w:rPr>
                <w:sz w:val="20"/>
                <w:szCs w:val="20"/>
                <w:color w:val="auto"/>
              </w:rPr>
            </w:pPr>
            <w:r>
              <w:rPr>
                <w:rFonts w:ascii="Arial" w:cs="Arial" w:eastAsia="Arial" w:hAnsi="Arial"/>
                <w:sz w:val="19"/>
                <w:szCs w:val="19"/>
                <w:color w:val="auto"/>
              </w:rPr>
              <w:t>Reserves and other</w:t>
            </w:r>
          </w:p>
        </w:tc>
        <w:tc>
          <w:tcPr>
            <w:tcW w:w="920" w:type="dxa"/>
            <w:vAlign w:val="bottom"/>
          </w:tcPr>
          <w:p>
            <w:pPr>
              <w:spacing w:after="0"/>
              <w:rPr>
                <w:sz w:val="18"/>
                <w:szCs w:val="18"/>
                <w:color w:val="auto"/>
              </w:rPr>
            </w:pPr>
          </w:p>
        </w:tc>
        <w:tc>
          <w:tcPr>
            <w:tcW w:w="1060" w:type="dxa"/>
            <w:vAlign w:val="bottom"/>
          </w:tcPr>
          <w:p>
            <w:pPr>
              <w:jc w:val="right"/>
              <w:ind w:right="5"/>
              <w:spacing w:after="0" w:line="216" w:lineRule="exact"/>
              <w:rPr>
                <w:sz w:val="20"/>
                <w:szCs w:val="20"/>
                <w:color w:val="auto"/>
              </w:rPr>
            </w:pPr>
            <w:r>
              <w:rPr>
                <w:rFonts w:ascii="Arial" w:cs="Arial" w:eastAsia="Arial" w:hAnsi="Arial"/>
                <w:sz w:val="19"/>
                <w:szCs w:val="19"/>
                <w:color w:val="auto"/>
              </w:rPr>
              <w:t>44</w:t>
            </w:r>
          </w:p>
        </w:tc>
      </w:tr>
      <w:tr>
        <w:trPr>
          <w:trHeight w:val="270"/>
        </w:trPr>
        <w:tc>
          <w:tcPr>
            <w:tcW w:w="94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9"/>
                <w:szCs w:val="19"/>
                <w:color w:val="auto"/>
              </w:rPr>
              <w:t>Net operating loss carryforward</w:t>
            </w:r>
          </w:p>
        </w:tc>
        <w:tc>
          <w:tcPr>
            <w:tcW w:w="9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9"/>
                <w:szCs w:val="19"/>
                <w:color w:val="auto"/>
              </w:rPr>
              <w:t>5,468</w:t>
            </w:r>
          </w:p>
        </w:tc>
      </w:tr>
      <w:tr>
        <w:trPr>
          <w:trHeight w:val="210"/>
        </w:trPr>
        <w:tc>
          <w:tcPr>
            <w:tcW w:w="9440" w:type="dxa"/>
            <w:vAlign w:val="bottom"/>
          </w:tcPr>
          <w:p>
            <w:pPr>
              <w:ind w:left="100"/>
              <w:spacing w:after="0" w:line="210" w:lineRule="exact"/>
              <w:rPr>
                <w:sz w:val="20"/>
                <w:szCs w:val="20"/>
                <w:color w:val="auto"/>
              </w:rPr>
            </w:pPr>
            <w:r>
              <w:rPr>
                <w:rFonts w:ascii="Arial" w:cs="Arial" w:eastAsia="Arial" w:hAnsi="Arial"/>
                <w:sz w:val="19"/>
                <w:szCs w:val="19"/>
                <w:color w:val="auto"/>
              </w:rPr>
              <w:t>Total noncurrent deferred tax assets</w:t>
            </w:r>
          </w:p>
        </w:tc>
        <w:tc>
          <w:tcPr>
            <w:tcW w:w="920" w:type="dxa"/>
            <w:vAlign w:val="bottom"/>
          </w:tcPr>
          <w:p>
            <w:pPr>
              <w:spacing w:after="0"/>
              <w:rPr>
                <w:sz w:val="18"/>
                <w:szCs w:val="18"/>
                <w:color w:val="auto"/>
              </w:rPr>
            </w:pPr>
          </w:p>
        </w:tc>
        <w:tc>
          <w:tcPr>
            <w:tcW w:w="1060" w:type="dxa"/>
            <w:vAlign w:val="bottom"/>
          </w:tcPr>
          <w:p>
            <w:pPr>
              <w:jc w:val="right"/>
              <w:ind w:right="5"/>
              <w:spacing w:after="0" w:line="210" w:lineRule="exact"/>
              <w:rPr>
                <w:sz w:val="20"/>
                <w:szCs w:val="20"/>
                <w:color w:val="auto"/>
              </w:rPr>
            </w:pPr>
            <w:r>
              <w:rPr>
                <w:rFonts w:ascii="Arial" w:cs="Arial" w:eastAsia="Arial" w:hAnsi="Arial"/>
                <w:sz w:val="19"/>
                <w:szCs w:val="19"/>
                <w:color w:val="auto"/>
              </w:rPr>
              <w:t>30,300</w:t>
            </w:r>
          </w:p>
        </w:tc>
      </w:tr>
      <w:tr>
        <w:trPr>
          <w:trHeight w:val="270"/>
        </w:trPr>
        <w:tc>
          <w:tcPr>
            <w:tcW w:w="94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9"/>
                <w:szCs w:val="19"/>
                <w:color w:val="auto"/>
              </w:rPr>
              <w:t>Valuation allowance</w:t>
            </w:r>
          </w:p>
        </w:tc>
        <w:tc>
          <w:tcPr>
            <w:tcW w:w="9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(30,300)</w:t>
            </w:r>
          </w:p>
        </w:tc>
      </w:tr>
      <w:tr>
        <w:trPr>
          <w:trHeight w:val="365"/>
        </w:trPr>
        <w:tc>
          <w:tcPr>
            <w:tcW w:w="9440" w:type="dxa"/>
            <w:vAlign w:val="bottom"/>
            <w:tcBorders>
              <w:bottom w:val="single" w:sz="8" w:color="auto"/>
            </w:tcBorders>
          </w:tcPr>
          <w:p>
            <w:pPr>
              <w:ind w:left="100"/>
              <w:spacing w:after="0"/>
              <w:rPr>
                <w:sz w:val="20"/>
                <w:szCs w:val="20"/>
                <w:color w:val="auto"/>
              </w:rPr>
            </w:pPr>
            <w:r>
              <w:rPr>
                <w:rFonts w:ascii="Arial" w:cs="Arial" w:eastAsia="Arial" w:hAnsi="Arial"/>
                <w:sz w:val="19"/>
                <w:szCs w:val="19"/>
                <w:b w:val="1"/>
                <w:bCs w:val="1"/>
                <w:color w:val="auto"/>
              </w:rPr>
              <w:t>Net noncurrent deferred tax assets</w:t>
            </w:r>
          </w:p>
        </w:tc>
        <w:tc>
          <w:tcPr>
            <w:tcW w:w="920" w:type="dxa"/>
            <w:vAlign w:val="bottom"/>
            <w:tcBorders>
              <w:bottom w:val="single" w:sz="8" w:color="auto"/>
            </w:tcBorders>
          </w:tcPr>
          <w:p>
            <w:pPr>
              <w:jc w:val="right"/>
              <w:ind w:right="85"/>
              <w:spacing w:after="0"/>
              <w:rPr>
                <w:sz w:val="20"/>
                <w:szCs w:val="20"/>
                <w:color w:val="auto"/>
              </w:rPr>
            </w:pPr>
            <w:r>
              <w:rPr>
                <w:rFonts w:ascii="Arial" w:cs="Arial" w:eastAsia="Arial" w:hAnsi="Arial"/>
                <w:sz w:val="19"/>
                <w:szCs w:val="19"/>
                <w:color w:val="auto"/>
              </w:rPr>
              <w:t>$</w:t>
            </w: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w:t>
            </w:r>
          </w:p>
        </w:tc>
      </w:tr>
    </w:tbl>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As of December 31, 2016, the Company has a net operating loss carryforward of approximately $15.2 million for federal income tax reporting purposes which will expire beginning in 2036. Based on the history of losses of the predecessor entity and the continued depression of oil and gas prices, the Company expects the net operating loss to expire without being utilized; accordingly, no deferred tax asset has been established for the amount of net operating losses that are not expected to be utilized under the applicable provisions of the tax law prior to their expiration. In addition, the Company has generated a net operating loss carryforward for state income tax purposes, which the Company believes will not be realized during the relevant carryforward periods; however, such amounts have not been separately disclosed in the consolidated financial statements as the Company does not believe that these net operating losses are material to the amounts presented herein.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13</w:t>
      </w:r>
    </w:p>
    <w:p>
      <w:pPr>
        <w:sectPr>
          <w:pgSz w:w="11900" w:h="16838" w:orient="portrait"/>
          <w:cols w:equalWidth="0" w:num="1">
            <w:col w:w="11420"/>
          </w:cols>
          <w:pgMar w:left="240" w:top="258" w:right="239" w:bottom="1440" w:gutter="0" w:footer="0" w:header="0"/>
          <w:type w:val="continuous"/>
        </w:sectPr>
      </w:pPr>
    </w:p>
    <w:bookmarkStart w:id="207" w:name="page208"/>
    <w:bookmarkEnd w:id="207"/>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RAM Energy Holdings LLC</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4" w:lineRule="exact"/>
        <w:rPr>
          <w:sz w:val="20"/>
          <w:szCs w:val="20"/>
          <w:color w:val="auto"/>
        </w:rPr>
      </w:pPr>
    </w:p>
    <w:p>
      <w:pPr>
        <w:jc w:val="both"/>
        <w:spacing w:after="0"/>
        <w:rPr>
          <w:sz w:val="20"/>
          <w:szCs w:val="20"/>
          <w:color w:val="auto"/>
        </w:rPr>
      </w:pPr>
      <w:r>
        <w:rPr>
          <w:rFonts w:ascii="Arial" w:cs="Arial" w:eastAsia="Arial" w:hAnsi="Arial"/>
          <w:sz w:val="19"/>
          <w:szCs w:val="19"/>
          <w:color w:val="auto"/>
        </w:rPr>
        <w:t>A valuation allowance has been established with respect to the portion of the deferred tax asset associated with tax basis in excess of carrying value of the Company’s assets for which the Company currently does not reasonably believe under the deferred tax asset realization criteria set forth in Topic 740 that it will more likely than not realize a benefit in future periods. During the year ended December 31, 2016, the Company recorded a valuation allowance of $30.3 million.</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Company follows guidance issued by the FASB in accounting for uncertainty in income taxes. This guidance clarifies the accounting for income taxes by prescribing the minimum recognition threshold an income tax position is required to meet before being recognized in the consolidated financial statements and applies to all income tax positions. Each income tax position is assessed using a two-step process. A determination is first made as to whether it is more likely than not that the income tax position will be sustained, based upon technical merits, upon examination by the taxing authorities. If the income tax position is expected to meet the more likely than not criteria, the benefit recorded in the consolidated financial statements equals the largest amount that is greater than 50 percent likely to be realized upon its ultimate settlement. The Company had no uncertain tax positions as of December 31, 2016.</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The Company’s federal and state tax returns from its inception remain subject to examination by the applicable tax authorities.</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Fair Value Measurements</w:t>
      </w:r>
    </w:p>
    <w:p>
      <w:pPr>
        <w:spacing w:after="0" w:line="196"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 xml:space="preserve">The Company follows FASB ASC 820, </w:t>
      </w:r>
      <w:r>
        <w:rPr>
          <w:rFonts w:ascii="Arial" w:cs="Arial" w:eastAsia="Arial" w:hAnsi="Arial"/>
          <w:sz w:val="19"/>
          <w:szCs w:val="19"/>
          <w:i w:val="1"/>
          <w:iCs w:val="1"/>
          <w:color w:val="auto"/>
        </w:rPr>
        <w:t>Fair Value Measurements and Disclosures</w:t>
      </w:r>
      <w:r>
        <w:rPr>
          <w:rFonts w:ascii="Arial" w:cs="Arial" w:eastAsia="Arial" w:hAnsi="Arial"/>
          <w:sz w:val="19"/>
          <w:szCs w:val="19"/>
          <w:color w:val="auto"/>
        </w:rPr>
        <w:t>, which defines fair value, establishes a framework for measuring fair value, establishes a fair value hierarchy based on the quality of inputs used to measure fair value and enhances disclosure requirements for fair value measurements. The implementation of FASB ASC 820 did not cause a change in the method of calculating fair value of assets or liabilities, with the exception of incorporating a measure regarding credit risk. This change is usually not material hence the primary impact from the adoption was additional disclosures.</w:t>
      </w:r>
    </w:p>
    <w:p>
      <w:pPr>
        <w:spacing w:after="0" w:line="161"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FASB ASC 820 establishes a three-level valuation hierarchy for disclosure of fair value measurements. The valuation hierarchy categorizes assets and liabilities measured at fair value into one of three different levels depending on the observability of the inputs employed in the measurement. The three levels are defined as follows:</w:t>
      </w:r>
    </w:p>
    <w:p>
      <w:pPr>
        <w:spacing w:after="0" w:line="139" w:lineRule="exact"/>
        <w:rPr>
          <w:sz w:val="20"/>
          <w:szCs w:val="20"/>
          <w:color w:val="auto"/>
        </w:rPr>
      </w:pPr>
    </w:p>
    <w:p>
      <w:pPr>
        <w:jc w:val="both"/>
        <w:ind w:left="580" w:right="340"/>
        <w:spacing w:after="0" w:line="273" w:lineRule="auto"/>
        <w:rPr>
          <w:sz w:val="20"/>
          <w:szCs w:val="20"/>
          <w:color w:val="auto"/>
        </w:rPr>
      </w:pPr>
      <w:r>
        <w:rPr>
          <w:rFonts w:ascii="Arial" w:cs="Arial" w:eastAsia="Arial" w:hAnsi="Arial"/>
          <w:sz w:val="19"/>
          <w:szCs w:val="19"/>
          <w:b w:val="1"/>
          <w:bCs w:val="1"/>
          <w:color w:val="auto"/>
        </w:rPr>
        <w:t xml:space="preserve">Level 1 </w:t>
      </w:r>
      <w:r>
        <w:rPr>
          <w:rFonts w:ascii="Arial" w:cs="Arial" w:eastAsia="Arial" w:hAnsi="Arial"/>
          <w:sz w:val="19"/>
          <w:szCs w:val="19"/>
          <w:color w:val="auto"/>
        </w:rPr>
        <w:t>- inputs to the valuation methodology are quoted prices (unadjusted) for identical assets or liabilities in active</w:t>
      </w:r>
      <w:r>
        <w:rPr>
          <w:rFonts w:ascii="Arial" w:cs="Arial" w:eastAsia="Arial" w:hAnsi="Arial"/>
          <w:sz w:val="19"/>
          <w:szCs w:val="19"/>
          <w:b w:val="1"/>
          <w:bCs w:val="1"/>
          <w:color w:val="auto"/>
        </w:rPr>
        <w:t xml:space="preserve"> </w:t>
      </w:r>
      <w:r>
        <w:rPr>
          <w:rFonts w:ascii="Arial" w:cs="Arial" w:eastAsia="Arial" w:hAnsi="Arial"/>
          <w:sz w:val="19"/>
          <w:szCs w:val="19"/>
          <w:color w:val="auto"/>
        </w:rPr>
        <w:t>markets.</w:t>
      </w:r>
    </w:p>
    <w:p>
      <w:pPr>
        <w:spacing w:after="0" w:line="124" w:lineRule="exact"/>
        <w:rPr>
          <w:sz w:val="20"/>
          <w:szCs w:val="20"/>
          <w:color w:val="auto"/>
        </w:rPr>
      </w:pPr>
    </w:p>
    <w:p>
      <w:pPr>
        <w:jc w:val="both"/>
        <w:ind w:left="580" w:right="340"/>
        <w:spacing w:after="0" w:line="255" w:lineRule="auto"/>
        <w:rPr>
          <w:sz w:val="20"/>
          <w:szCs w:val="20"/>
          <w:color w:val="auto"/>
        </w:rPr>
      </w:pPr>
      <w:r>
        <w:rPr>
          <w:rFonts w:ascii="Arial" w:cs="Arial" w:eastAsia="Arial" w:hAnsi="Arial"/>
          <w:sz w:val="19"/>
          <w:szCs w:val="19"/>
          <w:b w:val="1"/>
          <w:bCs w:val="1"/>
          <w:color w:val="auto"/>
        </w:rPr>
        <w:t xml:space="preserve">Level 2 </w:t>
      </w:r>
      <w:r>
        <w:rPr>
          <w:rFonts w:ascii="Arial" w:cs="Arial" w:eastAsia="Arial" w:hAnsi="Arial"/>
          <w:sz w:val="19"/>
          <w:szCs w:val="19"/>
          <w:color w:val="auto"/>
        </w:rPr>
        <w:t>- inputs to the valuation methodology include quoted prices for similar assets and liabilities in active markets, and</w:t>
      </w:r>
      <w:r>
        <w:rPr>
          <w:rFonts w:ascii="Arial" w:cs="Arial" w:eastAsia="Arial" w:hAnsi="Arial"/>
          <w:sz w:val="19"/>
          <w:szCs w:val="19"/>
          <w:b w:val="1"/>
          <w:bCs w:val="1"/>
          <w:color w:val="auto"/>
        </w:rPr>
        <w:t xml:space="preserve"> </w:t>
      </w:r>
      <w:r>
        <w:rPr>
          <w:rFonts w:ascii="Arial" w:cs="Arial" w:eastAsia="Arial" w:hAnsi="Arial"/>
          <w:sz w:val="19"/>
          <w:szCs w:val="19"/>
          <w:color w:val="auto"/>
        </w:rPr>
        <w:t>inputs that are observable for the asset or liability, either directly or indirectly, for substantially the full term of the financial instrument.</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9"/>
          <w:szCs w:val="19"/>
          <w:b w:val="1"/>
          <w:bCs w:val="1"/>
          <w:color w:val="auto"/>
        </w:rPr>
        <w:t xml:space="preserve">Level 3 </w:t>
      </w:r>
      <w:r>
        <w:rPr>
          <w:rFonts w:ascii="Arial" w:cs="Arial" w:eastAsia="Arial" w:hAnsi="Arial"/>
          <w:sz w:val="19"/>
          <w:szCs w:val="19"/>
          <w:color w:val="auto"/>
        </w:rPr>
        <w:t>- inputs to the valuation methodology are unobservable and significant to the fair value measurement.</w:t>
      </w:r>
    </w:p>
    <w:p>
      <w:pPr>
        <w:spacing w:after="0" w:line="197"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A financial instrument’s categorization within the valuation hierarchy is based upon the lowest level of input that is significant to the fair value measurement. The Company’s assessment of the significance of a particular input to the fair value measurement in its entirety requires judgment and considers factors specific to the asset or liability.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14</w:t>
      </w:r>
    </w:p>
    <w:p>
      <w:pPr>
        <w:sectPr>
          <w:pgSz w:w="11900" w:h="16838" w:orient="portrait"/>
          <w:cols w:equalWidth="0" w:num="1">
            <w:col w:w="11420"/>
          </w:cols>
          <w:pgMar w:left="240" w:top="258" w:right="2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RAM Energy Holdings LLC</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sets forth the assets and liabilities measured at fair value on a recurring basis, by level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7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2"/>
          </w:tcPr>
          <w:p>
            <w:pPr>
              <w:jc w:val="right"/>
              <w:ind w:right="445"/>
              <w:spacing w:after="0"/>
              <w:rPr>
                <w:sz w:val="20"/>
                <w:szCs w:val="20"/>
                <w:color w:val="auto"/>
              </w:rPr>
            </w:pPr>
            <w:r>
              <w:rPr>
                <w:rFonts w:ascii="Arial" w:cs="Arial" w:eastAsia="Arial" w:hAnsi="Arial"/>
                <w:sz w:val="19"/>
                <w:szCs w:val="19"/>
                <w:b w:val="1"/>
                <w:bCs w:val="1"/>
                <w:color w:val="auto"/>
              </w:rPr>
              <w:t>As of December 31, 2016</w:t>
            </w:r>
          </w:p>
        </w:tc>
        <w:tc>
          <w:tcPr>
            <w:tcW w:w="5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3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5"/>
              <w:spacing w:after="0" w:line="210" w:lineRule="exact"/>
              <w:rPr>
                <w:sz w:val="20"/>
                <w:szCs w:val="20"/>
                <w:color w:val="auto"/>
              </w:rPr>
            </w:pPr>
            <w:r>
              <w:rPr>
                <w:rFonts w:ascii="Arial" w:cs="Arial" w:eastAsia="Arial" w:hAnsi="Arial"/>
                <w:sz w:val="19"/>
                <w:szCs w:val="19"/>
                <w:b w:val="1"/>
                <w:bCs w:val="1"/>
                <w:color w:val="auto"/>
              </w:rPr>
              <w:t>Level 1</w:t>
            </w:r>
          </w:p>
        </w:tc>
        <w:tc>
          <w:tcPr>
            <w:tcW w:w="5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ind w:left="160"/>
              <w:spacing w:after="0" w:line="210" w:lineRule="exact"/>
              <w:rPr>
                <w:sz w:val="20"/>
                <w:szCs w:val="20"/>
                <w:color w:val="auto"/>
              </w:rPr>
            </w:pPr>
            <w:r>
              <w:rPr>
                <w:rFonts w:ascii="Arial" w:cs="Arial" w:eastAsia="Arial" w:hAnsi="Arial"/>
                <w:sz w:val="19"/>
                <w:szCs w:val="19"/>
                <w:b w:val="1"/>
                <w:bCs w:val="1"/>
                <w:color w:val="auto"/>
              </w:rPr>
              <w:t>Level 2</w:t>
            </w:r>
          </w:p>
        </w:tc>
        <w:tc>
          <w:tcPr>
            <w:tcW w:w="1560" w:type="dxa"/>
            <w:vAlign w:val="bottom"/>
            <w:tcBorders>
              <w:bottom w:val="single" w:sz="8" w:color="auto"/>
            </w:tcBorders>
          </w:tcPr>
          <w:p>
            <w:pPr>
              <w:jc w:val="right"/>
              <w:ind w:right="85"/>
              <w:spacing w:after="0" w:line="210" w:lineRule="exact"/>
              <w:rPr>
                <w:sz w:val="20"/>
                <w:szCs w:val="20"/>
                <w:color w:val="auto"/>
              </w:rPr>
            </w:pPr>
            <w:r>
              <w:rPr>
                <w:rFonts w:ascii="Arial" w:cs="Arial" w:eastAsia="Arial" w:hAnsi="Arial"/>
                <w:sz w:val="19"/>
                <w:szCs w:val="19"/>
                <w:b w:val="1"/>
                <w:bCs w:val="1"/>
                <w:color w:val="auto"/>
              </w:rPr>
              <w:t>Level 3</w:t>
            </w:r>
          </w:p>
        </w:tc>
        <w:tc>
          <w:tcPr>
            <w:tcW w:w="5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60"/>
              <w:spacing w:after="0" w:line="210" w:lineRule="exact"/>
              <w:rPr>
                <w:sz w:val="20"/>
                <w:szCs w:val="20"/>
                <w:color w:val="auto"/>
              </w:rPr>
            </w:pPr>
            <w:r>
              <w:rPr>
                <w:rFonts w:ascii="Arial" w:cs="Arial" w:eastAsia="Arial" w:hAnsi="Arial"/>
                <w:sz w:val="19"/>
                <w:szCs w:val="19"/>
                <w:b w:val="1"/>
                <w:bCs w:val="1"/>
                <w:color w:val="auto"/>
              </w:rPr>
              <w:t>Total</w:t>
            </w:r>
          </w:p>
        </w:tc>
        <w:tc>
          <w:tcPr>
            <w:tcW w:w="60" w:type="dxa"/>
            <w:vAlign w:val="bottom"/>
          </w:tcPr>
          <w:p>
            <w:pPr>
              <w:spacing w:after="0"/>
              <w:rPr>
                <w:sz w:val="18"/>
                <w:szCs w:val="18"/>
                <w:color w:val="auto"/>
              </w:rPr>
            </w:pPr>
          </w:p>
        </w:tc>
      </w:tr>
      <w:tr>
        <w:trPr>
          <w:trHeight w:val="115"/>
        </w:trPr>
        <w:tc>
          <w:tcPr>
            <w:tcW w:w="37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21"/>
        </w:trPr>
        <w:tc>
          <w:tcPr>
            <w:tcW w:w="3740" w:type="dxa"/>
            <w:vAlign w:val="bottom"/>
            <w:shd w:val="clear" w:color="auto" w:fill="CCEEFF"/>
          </w:tcPr>
          <w:p>
            <w:pPr>
              <w:ind w:left="100"/>
              <w:spacing w:after="0"/>
              <w:rPr>
                <w:sz w:val="20"/>
                <w:szCs w:val="20"/>
                <w:color w:val="auto"/>
              </w:rPr>
            </w:pPr>
            <w:r>
              <w:rPr>
                <w:rFonts w:ascii="Arial" w:cs="Arial" w:eastAsia="Arial" w:hAnsi="Arial"/>
                <w:sz w:val="19"/>
                <w:szCs w:val="19"/>
                <w:color w:val="auto"/>
              </w:rPr>
              <w:t>Derivative Asset</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9"/>
        </w:trPr>
        <w:tc>
          <w:tcPr>
            <w:tcW w:w="3740" w:type="dxa"/>
            <w:vAlign w:val="bottom"/>
            <w:tcBorders>
              <w:bottom w:val="single" w:sz="8" w:color="auto"/>
            </w:tcBorders>
            <w:shd w:val="clear" w:color="auto" w:fill="CCEEFF"/>
          </w:tcPr>
          <w:p>
            <w:pPr>
              <w:ind w:left="300"/>
              <w:spacing w:after="0" w:line="212" w:lineRule="exact"/>
              <w:rPr>
                <w:sz w:val="20"/>
                <w:szCs w:val="20"/>
                <w:color w:val="auto"/>
              </w:rPr>
            </w:pPr>
            <w:r>
              <w:rPr>
                <w:rFonts w:ascii="Arial" w:cs="Arial" w:eastAsia="Arial" w:hAnsi="Arial"/>
                <w:sz w:val="19"/>
                <w:szCs w:val="19"/>
                <w:color w:val="auto"/>
              </w:rPr>
              <w:t>(Commodity Contracts)</w:t>
            </w:r>
          </w:p>
        </w:tc>
        <w:tc>
          <w:tcPr>
            <w:tcW w:w="1240" w:type="dxa"/>
            <w:vAlign w:val="bottom"/>
            <w:tcBorders>
              <w:bottom w:val="single" w:sz="8" w:color="auto"/>
            </w:tcBorders>
            <w:shd w:val="clear" w:color="auto" w:fill="CCEEFF"/>
          </w:tcPr>
          <w:p>
            <w:pPr>
              <w:jc w:val="right"/>
              <w:ind w:right="985"/>
              <w:spacing w:after="0" w:line="212" w:lineRule="exact"/>
              <w:rPr>
                <w:sz w:val="20"/>
                <w:szCs w:val="20"/>
                <w:color w:val="auto"/>
              </w:rPr>
            </w:pPr>
            <w:r>
              <w:rPr>
                <w:rFonts w:ascii="Arial" w:cs="Arial" w:eastAsia="Arial" w:hAnsi="Arial"/>
                <w:sz w:val="19"/>
                <w:szCs w:val="19"/>
                <w:color w:val="auto"/>
              </w:rPr>
              <w:t>$</w:t>
            </w:r>
          </w:p>
        </w:tc>
        <w:tc>
          <w:tcPr>
            <w:tcW w:w="560" w:type="dxa"/>
            <w:vAlign w:val="bottom"/>
            <w:tcBorders>
              <w:bottom w:val="single" w:sz="8" w:color="auto"/>
            </w:tcBorders>
            <w:shd w:val="clear" w:color="auto" w:fill="CCEEFF"/>
          </w:tcPr>
          <w:p>
            <w:pPr>
              <w:jc w:val="right"/>
              <w:ind w:right="225"/>
              <w:spacing w:after="0" w:line="212" w:lineRule="exact"/>
              <w:rPr>
                <w:sz w:val="20"/>
                <w:szCs w:val="20"/>
                <w:color w:val="auto"/>
              </w:rPr>
            </w:pPr>
            <w:r>
              <w:rPr>
                <w:rFonts w:ascii="Arial" w:cs="Arial" w:eastAsia="Arial" w:hAnsi="Arial"/>
                <w:sz w:val="19"/>
                <w:szCs w:val="19"/>
                <w:color w:val="auto"/>
              </w:rPr>
              <w:t>-</w:t>
            </w:r>
          </w:p>
        </w:tc>
        <w:tc>
          <w:tcPr>
            <w:tcW w:w="560" w:type="dxa"/>
            <w:vAlign w:val="bottom"/>
            <w:tcBorders>
              <w:bottom w:val="single" w:sz="8" w:color="auto"/>
            </w:tcBorders>
            <w:shd w:val="clear" w:color="auto" w:fill="CCEEFF"/>
          </w:tcPr>
          <w:p>
            <w:pPr>
              <w:jc w:val="right"/>
              <w:ind w:right="65"/>
              <w:spacing w:after="0" w:line="212" w:lineRule="exact"/>
              <w:rPr>
                <w:sz w:val="20"/>
                <w:szCs w:val="20"/>
                <w:color w:val="auto"/>
              </w:rPr>
            </w:pPr>
            <w:r>
              <w:rPr>
                <w:rFonts w:ascii="Arial" w:cs="Arial" w:eastAsia="Arial" w:hAnsi="Arial"/>
                <w:sz w:val="19"/>
                <w:szCs w:val="19"/>
                <w:color w:val="auto"/>
              </w:rPr>
              <w:t>$</w:t>
            </w:r>
          </w:p>
        </w:tc>
        <w:tc>
          <w:tcPr>
            <w:tcW w:w="1540" w:type="dxa"/>
            <w:vAlign w:val="bottom"/>
            <w:tcBorders>
              <w:bottom w:val="single" w:sz="8" w:color="auto"/>
            </w:tcBorders>
            <w:shd w:val="clear" w:color="auto" w:fill="CCEEFF"/>
          </w:tcPr>
          <w:p>
            <w:pPr>
              <w:jc w:val="right"/>
              <w:ind w:right="265"/>
              <w:spacing w:after="0" w:line="212" w:lineRule="exact"/>
              <w:rPr>
                <w:sz w:val="20"/>
                <w:szCs w:val="20"/>
                <w:color w:val="auto"/>
              </w:rPr>
            </w:pPr>
            <w:r>
              <w:rPr>
                <w:rFonts w:ascii="Arial" w:cs="Arial" w:eastAsia="Arial" w:hAnsi="Arial"/>
                <w:sz w:val="19"/>
                <w:szCs w:val="19"/>
                <w:color w:val="auto"/>
              </w:rPr>
              <w:t>100</w:t>
            </w:r>
          </w:p>
        </w:tc>
        <w:tc>
          <w:tcPr>
            <w:tcW w:w="1560" w:type="dxa"/>
            <w:vAlign w:val="bottom"/>
            <w:tcBorders>
              <w:bottom w:val="single" w:sz="8" w:color="auto"/>
            </w:tcBorders>
            <w:shd w:val="clear" w:color="auto" w:fill="CCEEFF"/>
          </w:tcPr>
          <w:p>
            <w:pPr>
              <w:jc w:val="right"/>
              <w:ind w:right="1045"/>
              <w:spacing w:after="0" w:line="212" w:lineRule="exact"/>
              <w:rPr>
                <w:sz w:val="20"/>
                <w:szCs w:val="20"/>
                <w:color w:val="auto"/>
              </w:rPr>
            </w:pPr>
            <w:r>
              <w:rPr>
                <w:rFonts w:ascii="Arial" w:cs="Arial" w:eastAsia="Arial" w:hAnsi="Arial"/>
                <w:sz w:val="19"/>
                <w:szCs w:val="19"/>
                <w:color w:val="auto"/>
              </w:rPr>
              <w:t>$</w:t>
            </w:r>
          </w:p>
        </w:tc>
        <w:tc>
          <w:tcPr>
            <w:tcW w:w="560" w:type="dxa"/>
            <w:vAlign w:val="bottom"/>
            <w:tcBorders>
              <w:bottom w:val="single" w:sz="8" w:color="auto"/>
            </w:tcBorders>
            <w:shd w:val="clear" w:color="auto" w:fill="CCEEFF"/>
          </w:tcPr>
          <w:p>
            <w:pPr>
              <w:jc w:val="right"/>
              <w:ind w:right="225"/>
              <w:spacing w:after="0" w:line="212" w:lineRule="exact"/>
              <w:rPr>
                <w:sz w:val="20"/>
                <w:szCs w:val="20"/>
                <w:color w:val="auto"/>
              </w:rPr>
            </w:pPr>
            <w:r>
              <w:rPr>
                <w:rFonts w:ascii="Arial" w:cs="Arial" w:eastAsia="Arial" w:hAnsi="Arial"/>
                <w:sz w:val="19"/>
                <w:szCs w:val="19"/>
                <w:color w:val="auto"/>
              </w:rPr>
              <w:t>-</w:t>
            </w:r>
          </w:p>
        </w:tc>
        <w:tc>
          <w:tcPr>
            <w:tcW w:w="580" w:type="dxa"/>
            <w:vAlign w:val="bottom"/>
            <w:tcBorders>
              <w:bottom w:val="single" w:sz="8" w:color="auto"/>
            </w:tcBorders>
            <w:shd w:val="clear" w:color="auto" w:fill="CCEEFF"/>
          </w:tcPr>
          <w:p>
            <w:pPr>
              <w:jc w:val="right"/>
              <w:ind w:right="65"/>
              <w:spacing w:after="0" w:line="212" w:lineRule="exact"/>
              <w:rPr>
                <w:sz w:val="20"/>
                <w:szCs w:val="20"/>
                <w:color w:val="auto"/>
              </w:rPr>
            </w:pPr>
            <w:r>
              <w:rPr>
                <w:rFonts w:ascii="Arial" w:cs="Arial" w:eastAsia="Arial" w:hAnsi="Arial"/>
                <w:sz w:val="19"/>
                <w:szCs w:val="19"/>
                <w:color w:val="auto"/>
              </w:rPr>
              <w:t>$</w:t>
            </w:r>
          </w:p>
        </w:tc>
        <w:tc>
          <w:tcPr>
            <w:tcW w:w="1020" w:type="dxa"/>
            <w:vAlign w:val="bottom"/>
            <w:tcBorders>
              <w:bottom w:val="single" w:sz="8" w:color="auto"/>
            </w:tcBorders>
            <w:shd w:val="clear" w:color="auto" w:fill="CCEEFF"/>
          </w:tcPr>
          <w:p>
            <w:pPr>
              <w:jc w:val="right"/>
              <w:spacing w:after="0" w:line="212" w:lineRule="exact"/>
              <w:rPr>
                <w:sz w:val="20"/>
                <w:szCs w:val="20"/>
                <w:color w:val="auto"/>
              </w:rPr>
            </w:pPr>
            <w:r>
              <w:rPr>
                <w:rFonts w:ascii="Arial" w:cs="Arial" w:eastAsia="Arial" w:hAnsi="Arial"/>
                <w:sz w:val="19"/>
                <w:szCs w:val="19"/>
                <w:color w:val="auto"/>
              </w:rPr>
              <w:t>100</w:t>
            </w:r>
          </w:p>
        </w:tc>
        <w:tc>
          <w:tcPr>
            <w:tcW w:w="60" w:type="dxa"/>
            <w:vAlign w:val="bottom"/>
            <w:tcBorders>
              <w:bottom w:val="single" w:sz="8" w:color="auto"/>
            </w:tcBorders>
            <w:shd w:val="clear" w:color="auto" w:fill="CCEEFF"/>
          </w:tcPr>
          <w:p>
            <w:pPr>
              <w:spacing w:after="0"/>
              <w:rPr>
                <w:sz w:val="19"/>
                <w:szCs w:val="19"/>
                <w:color w:val="auto"/>
              </w:rPr>
            </w:pPr>
          </w:p>
        </w:tc>
      </w:tr>
      <w:tr>
        <w:trPr>
          <w:trHeight w:val="315"/>
        </w:trPr>
        <w:tc>
          <w:tcPr>
            <w:tcW w:w="3740" w:type="dxa"/>
            <w:vAlign w:val="bottom"/>
          </w:tcPr>
          <w:p>
            <w:pPr>
              <w:ind w:left="100"/>
              <w:spacing w:after="0"/>
              <w:rPr>
                <w:sz w:val="20"/>
                <w:szCs w:val="20"/>
                <w:color w:val="auto"/>
              </w:rPr>
            </w:pPr>
            <w:r>
              <w:rPr>
                <w:rFonts w:ascii="Arial" w:cs="Arial" w:eastAsia="Arial" w:hAnsi="Arial"/>
                <w:sz w:val="19"/>
                <w:szCs w:val="19"/>
                <w:color w:val="auto"/>
              </w:rPr>
              <w:t>Derivative Liability</w:t>
            </w: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9"/>
        </w:trPr>
        <w:tc>
          <w:tcPr>
            <w:tcW w:w="3740" w:type="dxa"/>
            <w:vAlign w:val="bottom"/>
            <w:tcBorders>
              <w:bottom w:val="single" w:sz="8" w:color="auto"/>
            </w:tcBorders>
          </w:tcPr>
          <w:p>
            <w:pPr>
              <w:ind w:left="300"/>
              <w:spacing w:after="0" w:line="212" w:lineRule="exact"/>
              <w:rPr>
                <w:sz w:val="20"/>
                <w:szCs w:val="20"/>
                <w:color w:val="auto"/>
              </w:rPr>
            </w:pPr>
            <w:r>
              <w:rPr>
                <w:rFonts w:ascii="Arial" w:cs="Arial" w:eastAsia="Arial" w:hAnsi="Arial"/>
                <w:sz w:val="19"/>
                <w:szCs w:val="19"/>
                <w:color w:val="auto"/>
              </w:rPr>
              <w:t>(Commodity Contracts)</w:t>
            </w:r>
          </w:p>
        </w:tc>
        <w:tc>
          <w:tcPr>
            <w:tcW w:w="1240" w:type="dxa"/>
            <w:vAlign w:val="bottom"/>
            <w:tcBorders>
              <w:bottom w:val="single" w:sz="8" w:color="auto"/>
            </w:tcBorders>
          </w:tcPr>
          <w:p>
            <w:pPr>
              <w:jc w:val="right"/>
              <w:ind w:right="985"/>
              <w:spacing w:after="0" w:line="212" w:lineRule="exact"/>
              <w:rPr>
                <w:sz w:val="20"/>
                <w:szCs w:val="20"/>
                <w:color w:val="auto"/>
              </w:rPr>
            </w:pPr>
            <w:r>
              <w:rPr>
                <w:rFonts w:ascii="Arial" w:cs="Arial" w:eastAsia="Arial" w:hAnsi="Arial"/>
                <w:sz w:val="19"/>
                <w:szCs w:val="19"/>
                <w:color w:val="auto"/>
              </w:rPr>
              <w:t>$</w:t>
            </w:r>
          </w:p>
        </w:tc>
        <w:tc>
          <w:tcPr>
            <w:tcW w:w="560" w:type="dxa"/>
            <w:vAlign w:val="bottom"/>
            <w:tcBorders>
              <w:bottom w:val="single" w:sz="8" w:color="auto"/>
            </w:tcBorders>
          </w:tcPr>
          <w:p>
            <w:pPr>
              <w:jc w:val="right"/>
              <w:ind w:right="225"/>
              <w:spacing w:after="0" w:line="212" w:lineRule="exact"/>
              <w:rPr>
                <w:sz w:val="20"/>
                <w:szCs w:val="20"/>
                <w:color w:val="auto"/>
              </w:rPr>
            </w:pPr>
            <w:r>
              <w:rPr>
                <w:rFonts w:ascii="Arial" w:cs="Arial" w:eastAsia="Arial" w:hAnsi="Arial"/>
                <w:sz w:val="19"/>
                <w:szCs w:val="19"/>
                <w:color w:val="auto"/>
              </w:rPr>
              <w:t>-</w:t>
            </w:r>
          </w:p>
        </w:tc>
        <w:tc>
          <w:tcPr>
            <w:tcW w:w="560" w:type="dxa"/>
            <w:vAlign w:val="bottom"/>
            <w:tcBorders>
              <w:bottom w:val="single" w:sz="8" w:color="auto"/>
            </w:tcBorders>
          </w:tcPr>
          <w:p>
            <w:pPr>
              <w:jc w:val="right"/>
              <w:ind w:right="65"/>
              <w:spacing w:after="0" w:line="212" w:lineRule="exact"/>
              <w:rPr>
                <w:sz w:val="20"/>
                <w:szCs w:val="20"/>
                <w:color w:val="auto"/>
              </w:rPr>
            </w:pPr>
            <w:r>
              <w:rPr>
                <w:rFonts w:ascii="Arial" w:cs="Arial" w:eastAsia="Arial" w:hAnsi="Arial"/>
                <w:sz w:val="19"/>
                <w:szCs w:val="19"/>
                <w:color w:val="auto"/>
              </w:rPr>
              <w:t>$</w:t>
            </w:r>
          </w:p>
        </w:tc>
        <w:tc>
          <w:tcPr>
            <w:tcW w:w="1540" w:type="dxa"/>
            <w:vAlign w:val="bottom"/>
            <w:tcBorders>
              <w:bottom w:val="single" w:sz="8" w:color="auto"/>
            </w:tcBorders>
          </w:tcPr>
          <w:p>
            <w:pPr>
              <w:jc w:val="right"/>
              <w:ind w:right="225"/>
              <w:spacing w:after="0" w:line="212" w:lineRule="exact"/>
              <w:rPr>
                <w:sz w:val="20"/>
                <w:szCs w:val="20"/>
                <w:color w:val="auto"/>
              </w:rPr>
            </w:pPr>
            <w:r>
              <w:rPr>
                <w:rFonts w:ascii="Arial" w:cs="Arial" w:eastAsia="Arial" w:hAnsi="Arial"/>
                <w:sz w:val="19"/>
                <w:szCs w:val="19"/>
                <w:color w:val="auto"/>
              </w:rPr>
              <w:t>(210)</w:t>
            </w:r>
          </w:p>
        </w:tc>
        <w:tc>
          <w:tcPr>
            <w:tcW w:w="1560" w:type="dxa"/>
            <w:vAlign w:val="bottom"/>
            <w:tcBorders>
              <w:bottom w:val="single" w:sz="8" w:color="auto"/>
            </w:tcBorders>
          </w:tcPr>
          <w:p>
            <w:pPr>
              <w:jc w:val="right"/>
              <w:ind w:right="1045"/>
              <w:spacing w:after="0" w:line="212" w:lineRule="exact"/>
              <w:rPr>
                <w:sz w:val="20"/>
                <w:szCs w:val="20"/>
                <w:color w:val="auto"/>
              </w:rPr>
            </w:pPr>
            <w:r>
              <w:rPr>
                <w:rFonts w:ascii="Arial" w:cs="Arial" w:eastAsia="Arial" w:hAnsi="Arial"/>
                <w:sz w:val="19"/>
                <w:szCs w:val="19"/>
                <w:color w:val="auto"/>
              </w:rPr>
              <w:t>$</w:t>
            </w:r>
          </w:p>
        </w:tc>
        <w:tc>
          <w:tcPr>
            <w:tcW w:w="560" w:type="dxa"/>
            <w:vAlign w:val="bottom"/>
            <w:tcBorders>
              <w:bottom w:val="single" w:sz="8" w:color="auto"/>
            </w:tcBorders>
          </w:tcPr>
          <w:p>
            <w:pPr>
              <w:jc w:val="right"/>
              <w:ind w:right="225"/>
              <w:spacing w:after="0" w:line="212" w:lineRule="exact"/>
              <w:rPr>
                <w:sz w:val="20"/>
                <w:szCs w:val="20"/>
                <w:color w:val="auto"/>
              </w:rPr>
            </w:pPr>
            <w:r>
              <w:rPr>
                <w:rFonts w:ascii="Arial" w:cs="Arial" w:eastAsia="Arial" w:hAnsi="Arial"/>
                <w:sz w:val="19"/>
                <w:szCs w:val="19"/>
                <w:color w:val="auto"/>
              </w:rPr>
              <w:t>-</w:t>
            </w:r>
          </w:p>
        </w:tc>
        <w:tc>
          <w:tcPr>
            <w:tcW w:w="580" w:type="dxa"/>
            <w:vAlign w:val="bottom"/>
            <w:tcBorders>
              <w:bottom w:val="single" w:sz="8" w:color="auto"/>
            </w:tcBorders>
          </w:tcPr>
          <w:p>
            <w:pPr>
              <w:jc w:val="right"/>
              <w:ind w:right="65"/>
              <w:spacing w:after="0" w:line="212" w:lineRule="exact"/>
              <w:rPr>
                <w:sz w:val="20"/>
                <w:szCs w:val="20"/>
                <w:color w:val="auto"/>
              </w:rPr>
            </w:pPr>
            <w:r>
              <w:rPr>
                <w:rFonts w:ascii="Arial" w:cs="Arial" w:eastAsia="Arial" w:hAnsi="Arial"/>
                <w:sz w:val="19"/>
                <w:szCs w:val="19"/>
                <w:color w:val="auto"/>
              </w:rPr>
              <w:t>$</w:t>
            </w:r>
          </w:p>
        </w:tc>
        <w:tc>
          <w:tcPr>
            <w:tcW w:w="1080" w:type="dxa"/>
            <w:vAlign w:val="bottom"/>
            <w:tcBorders>
              <w:bottom w:val="single" w:sz="8" w:color="auto"/>
            </w:tcBorders>
            <w:gridSpan w:val="2"/>
          </w:tcPr>
          <w:p>
            <w:pPr>
              <w:jc w:val="right"/>
              <w:ind w:right="60"/>
              <w:spacing w:after="0" w:line="212" w:lineRule="exact"/>
              <w:rPr>
                <w:sz w:val="20"/>
                <w:szCs w:val="20"/>
                <w:color w:val="auto"/>
              </w:rPr>
            </w:pPr>
            <w:r>
              <w:rPr>
                <w:rFonts w:ascii="Arial" w:cs="Arial" w:eastAsia="Arial" w:hAnsi="Arial"/>
                <w:sz w:val="19"/>
                <w:szCs w:val="19"/>
                <w:color w:val="auto"/>
              </w:rPr>
              <w:t>(210)</w:t>
            </w:r>
          </w:p>
        </w:tc>
      </w:tr>
    </w:tbl>
    <w:p>
      <w:pPr>
        <w:spacing w:after="0" w:line="248"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Company estimates the fair value of its derivative instruments based on published forward commodity price curves as of the date of the estimate, less discounts to recognize present values. The Company estimated the fair value of its derivatives using a pricing model which also considered market volatility, counterparty credit risk and additional criteria in determining discount rates. The discount rate used in the discounted cash flow projections was based on published LIBOR rates, Eurodollar futures rates and interest swap rates. The counterparty credit risk was determined by calculating the difference between the derivative counterparty’s bond rate and published bond rates. A credit valuation adjustment (“CVA”) for the Company is incorporated into the derivative valuation when the overall derivative position with a counterparty is in a liability position. A CVA is calculated based on the spread between the Company’s credit curve and a risk-free rate.</w:t>
      </w:r>
    </w:p>
    <w:p>
      <w:pPr>
        <w:spacing w:after="0" w:line="184"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At December 31, 2016, the carrying value of cash, receivables and payables reflected in the Company’s consolidated financial statements approximates fair value due to their short-term nature. Additionally, the carrying value of the Company’s long-term debt under the credit facility approximates fair value because the credit facility carries a variable interest rate based on market interest rates.</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Derivative Contracts</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Company periodically utilizes various hedging strategies to manage the price received for a portion of its future oil and natural gas production to reduce exposure to fluctuations in oil and natural gas prices and to achieve a more predictable cash flow.</w:t>
      </w:r>
    </w:p>
    <w:p>
      <w:pPr>
        <w:spacing w:after="0" w:line="160"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During 2016, the Company entered into numerous derivative contracts to manage the impact of oil and natural gas price fluctuations and as required by the terms of its credit facility. The Company did not designate these transactions as hedges. Accordingly, all gains and losses on the derivative instruments during 2016 have been recorded in the consolidated statement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color w:val="auto"/>
        </w:rPr>
        <w:t>The Company’s derivative positions at December 31, 2016, consisting of put/call “collars” are shown in the following table: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9"/>
                <w:szCs w:val="19"/>
                <w:b w:val="1"/>
                <w:bCs w:val="1"/>
                <w:color w:val="auto"/>
              </w:rPr>
              <w:t>Collars - Natural Gas (Mmbtu)</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520" w:type="dxa"/>
            <w:vAlign w:val="bottom"/>
            <w:tcBorders>
              <w:bottom w:val="single" w:sz="8" w:color="auto"/>
            </w:tcBorders>
            <w:gridSpan w:val="2"/>
          </w:tcPr>
          <w:p>
            <w:pPr>
              <w:jc w:val="right"/>
              <w:spacing w:after="0" w:line="210" w:lineRule="exact"/>
              <w:rPr>
                <w:sz w:val="20"/>
                <w:szCs w:val="20"/>
                <w:color w:val="auto"/>
              </w:rPr>
            </w:pPr>
            <w:r>
              <w:rPr>
                <w:rFonts w:ascii="Arial" w:cs="Arial" w:eastAsia="Arial" w:hAnsi="Arial"/>
                <w:sz w:val="19"/>
                <w:szCs w:val="19"/>
                <w:b w:val="1"/>
                <w:bCs w:val="1"/>
                <w:color w:val="auto"/>
              </w:rPr>
              <w:t>Floors</w:t>
            </w:r>
          </w:p>
        </w:tc>
        <w:tc>
          <w:tcPr>
            <w:tcW w:w="8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Borders>
              <w:bottom w:val="single" w:sz="8" w:color="auto"/>
            </w:tcBorders>
            <w:gridSpan w:val="2"/>
          </w:tcPr>
          <w:p>
            <w:pPr>
              <w:jc w:val="right"/>
              <w:ind w:right="25"/>
              <w:spacing w:after="0" w:line="210" w:lineRule="exact"/>
              <w:rPr>
                <w:sz w:val="20"/>
                <w:szCs w:val="20"/>
                <w:color w:val="auto"/>
              </w:rPr>
            </w:pPr>
            <w:r>
              <w:rPr>
                <w:rFonts w:ascii="Arial" w:cs="Arial" w:eastAsia="Arial" w:hAnsi="Arial"/>
                <w:sz w:val="19"/>
                <w:szCs w:val="19"/>
                <w:b w:val="1"/>
                <w:bCs w:val="1"/>
                <w:color w:val="auto"/>
              </w:rPr>
              <w:t>Ceilings</w:t>
            </w:r>
          </w:p>
        </w:tc>
        <w:tc>
          <w:tcPr>
            <w:tcW w:w="1100" w:type="dxa"/>
            <w:vAlign w:val="bottom"/>
            <w:tcBorders>
              <w:bottom w:val="single" w:sz="8" w:color="auto"/>
            </w:tcBorders>
          </w:tcPr>
          <w:p>
            <w:pPr>
              <w:spacing w:after="0"/>
              <w:rPr>
                <w:sz w:val="18"/>
                <w:szCs w:val="18"/>
                <w:color w:val="auto"/>
              </w:rPr>
            </w:pPr>
          </w:p>
        </w:tc>
        <w:tc>
          <w:tcPr>
            <w:tcW w:w="1720" w:type="dxa"/>
            <w:vAlign w:val="bottom"/>
            <w:vMerge w:val="restart"/>
          </w:tcPr>
          <w:p>
            <w:pPr>
              <w:jc w:val="center"/>
              <w:ind w:left="5"/>
              <w:spacing w:after="0"/>
              <w:rPr>
                <w:sz w:val="20"/>
                <w:szCs w:val="20"/>
                <w:color w:val="auto"/>
              </w:rPr>
            </w:pPr>
            <w:r>
              <w:rPr>
                <w:rFonts w:ascii="Arial" w:cs="Arial" w:eastAsia="Arial" w:hAnsi="Arial"/>
                <w:sz w:val="19"/>
                <w:szCs w:val="19"/>
                <w:b w:val="1"/>
                <w:bCs w:val="1"/>
                <w:color w:val="auto"/>
                <w:w w:val="97"/>
              </w:rPr>
              <w:t>Months</w:t>
            </w:r>
          </w:p>
        </w:tc>
        <w:tc>
          <w:tcPr>
            <w:tcW w:w="0" w:type="dxa"/>
            <w:vAlign w:val="bottom"/>
          </w:tcPr>
          <w:p>
            <w:pPr>
              <w:spacing w:after="0"/>
              <w:rPr>
                <w:sz w:val="1"/>
                <w:szCs w:val="1"/>
                <w:color w:val="auto"/>
              </w:rPr>
            </w:pPr>
          </w:p>
        </w:tc>
      </w:tr>
      <w:tr>
        <w:trPr>
          <w:trHeight w:val="190"/>
        </w:trPr>
        <w:tc>
          <w:tcPr>
            <w:tcW w:w="3280" w:type="dxa"/>
            <w:vAlign w:val="bottom"/>
          </w:tcPr>
          <w:p>
            <w:pPr>
              <w:spacing w:after="0"/>
              <w:rPr>
                <w:sz w:val="16"/>
                <w:szCs w:val="16"/>
                <w:color w:val="auto"/>
              </w:rPr>
            </w:pPr>
          </w:p>
        </w:tc>
        <w:tc>
          <w:tcPr>
            <w:tcW w:w="1140" w:type="dxa"/>
            <w:vAlign w:val="bottom"/>
          </w:tcPr>
          <w:p>
            <w:pPr>
              <w:jc w:val="right"/>
              <w:ind w:right="305"/>
              <w:spacing w:after="0" w:line="190" w:lineRule="exact"/>
              <w:rPr>
                <w:sz w:val="20"/>
                <w:szCs w:val="20"/>
                <w:color w:val="auto"/>
              </w:rPr>
            </w:pPr>
            <w:r>
              <w:rPr>
                <w:rFonts w:ascii="Arial" w:cs="Arial" w:eastAsia="Arial" w:hAnsi="Arial"/>
                <w:sz w:val="19"/>
                <w:szCs w:val="19"/>
                <w:b w:val="1"/>
                <w:bCs w:val="1"/>
                <w:color w:val="auto"/>
              </w:rPr>
              <w:t>Per</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jc w:val="right"/>
              <w:ind w:right="625"/>
              <w:spacing w:after="0" w:line="190" w:lineRule="exact"/>
              <w:rPr>
                <w:sz w:val="20"/>
                <w:szCs w:val="20"/>
                <w:color w:val="auto"/>
              </w:rPr>
            </w:pPr>
            <w:r>
              <w:rPr>
                <w:rFonts w:ascii="Arial" w:cs="Arial" w:eastAsia="Arial" w:hAnsi="Arial"/>
                <w:sz w:val="19"/>
                <w:szCs w:val="19"/>
                <w:b w:val="1"/>
                <w:bCs w:val="1"/>
                <w:color w:val="auto"/>
              </w:rPr>
              <w:t>Per</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280" w:type="dxa"/>
            <w:vAlign w:val="bottom"/>
            <w:tcBorders>
              <w:bottom w:val="single" w:sz="8" w:color="auto"/>
            </w:tcBorders>
          </w:tcPr>
          <w:p>
            <w:pPr>
              <w:jc w:val="right"/>
              <w:ind w:right="1345"/>
              <w:spacing w:after="0"/>
              <w:rPr>
                <w:sz w:val="20"/>
                <w:szCs w:val="20"/>
                <w:color w:val="auto"/>
              </w:rPr>
            </w:pPr>
            <w:r>
              <w:rPr>
                <w:rFonts w:ascii="Arial" w:cs="Arial" w:eastAsia="Arial" w:hAnsi="Arial"/>
                <w:sz w:val="19"/>
                <w:szCs w:val="19"/>
                <w:b w:val="1"/>
                <w:bCs w:val="1"/>
                <w:color w:val="auto"/>
              </w:rPr>
              <w:t>Year</w:t>
            </w:r>
          </w:p>
        </w:tc>
        <w:tc>
          <w:tcPr>
            <w:tcW w:w="1140" w:type="dxa"/>
            <w:vAlign w:val="bottom"/>
            <w:tcBorders>
              <w:bottom w:val="single" w:sz="8" w:color="auto"/>
            </w:tcBorders>
          </w:tcPr>
          <w:p>
            <w:pPr>
              <w:jc w:val="right"/>
              <w:ind w:right="145"/>
              <w:spacing w:after="0"/>
              <w:rPr>
                <w:sz w:val="20"/>
                <w:szCs w:val="20"/>
                <w:color w:val="auto"/>
              </w:rPr>
            </w:pPr>
            <w:r>
              <w:rPr>
                <w:rFonts w:ascii="Arial" w:cs="Arial" w:eastAsia="Arial" w:hAnsi="Arial"/>
                <w:sz w:val="19"/>
                <w:szCs w:val="19"/>
                <w:b w:val="1"/>
                <w:bCs w:val="1"/>
                <w:color w:val="auto"/>
              </w:rPr>
              <w:t>Day (1)</w:t>
            </w: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b w:val="1"/>
                <w:bCs w:val="1"/>
                <w:color w:val="auto"/>
              </w:rPr>
              <w:t>Price</w:t>
            </w:r>
          </w:p>
        </w:tc>
        <w:tc>
          <w:tcPr>
            <w:tcW w:w="1780" w:type="dxa"/>
            <w:vAlign w:val="bottom"/>
            <w:tcBorders>
              <w:bottom w:val="single" w:sz="8" w:color="auto"/>
            </w:tcBorders>
          </w:tcPr>
          <w:p>
            <w:pPr>
              <w:jc w:val="right"/>
              <w:ind w:right="465"/>
              <w:spacing w:after="0"/>
              <w:rPr>
                <w:sz w:val="20"/>
                <w:szCs w:val="20"/>
                <w:color w:val="auto"/>
              </w:rPr>
            </w:pPr>
            <w:r>
              <w:rPr>
                <w:rFonts w:ascii="Arial" w:cs="Arial" w:eastAsia="Arial" w:hAnsi="Arial"/>
                <w:sz w:val="19"/>
                <w:szCs w:val="19"/>
                <w:b w:val="1"/>
                <w:bCs w:val="1"/>
                <w:color w:val="auto"/>
              </w:rPr>
              <w:t>Day (1)</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5"/>
              <w:spacing w:after="0"/>
              <w:rPr>
                <w:sz w:val="20"/>
                <w:szCs w:val="20"/>
                <w:color w:val="auto"/>
              </w:rPr>
            </w:pPr>
            <w:r>
              <w:rPr>
                <w:rFonts w:ascii="Arial" w:cs="Arial" w:eastAsia="Arial" w:hAnsi="Arial"/>
                <w:sz w:val="19"/>
                <w:szCs w:val="19"/>
                <w:b w:val="1"/>
                <w:bCs w:val="1"/>
                <w:color w:val="auto"/>
              </w:rPr>
              <w:t>Price</w:t>
            </w:r>
          </w:p>
        </w:tc>
        <w:tc>
          <w:tcPr>
            <w:tcW w:w="1720" w:type="dxa"/>
            <w:vAlign w:val="bottom"/>
            <w:tcBorders>
              <w:bottom w:val="single" w:sz="8" w:color="auto"/>
            </w:tcBorders>
          </w:tcPr>
          <w:p>
            <w:pPr>
              <w:jc w:val="center"/>
              <w:ind w:left="5"/>
              <w:spacing w:after="0"/>
              <w:rPr>
                <w:sz w:val="20"/>
                <w:szCs w:val="20"/>
                <w:color w:val="auto"/>
              </w:rPr>
            </w:pPr>
            <w:r>
              <w:rPr>
                <w:rFonts w:ascii="Arial" w:cs="Arial" w:eastAsia="Arial" w:hAnsi="Arial"/>
                <w:sz w:val="19"/>
                <w:szCs w:val="19"/>
                <w:b w:val="1"/>
                <w:bCs w:val="1"/>
                <w:color w:val="auto"/>
                <w:w w:val="97"/>
              </w:rPr>
              <w:t>Covered</w:t>
            </w:r>
          </w:p>
        </w:tc>
        <w:tc>
          <w:tcPr>
            <w:tcW w:w="0" w:type="dxa"/>
            <w:vAlign w:val="bottom"/>
          </w:tcPr>
          <w:p>
            <w:pPr>
              <w:spacing w:after="0"/>
              <w:rPr>
                <w:sz w:val="1"/>
                <w:szCs w:val="1"/>
                <w:color w:val="auto"/>
              </w:rPr>
            </w:pPr>
          </w:p>
        </w:tc>
      </w:tr>
      <w:tr>
        <w:trPr>
          <w:trHeight w:val="88"/>
        </w:trPr>
        <w:tc>
          <w:tcPr>
            <w:tcW w:w="3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jc w:val="right"/>
              <w:ind w:right="2665"/>
              <w:spacing w:after="0" w:line="216" w:lineRule="exact"/>
              <w:rPr>
                <w:sz w:val="20"/>
                <w:szCs w:val="20"/>
                <w:color w:val="auto"/>
              </w:rPr>
            </w:pPr>
            <w:r>
              <w:rPr>
                <w:rFonts w:ascii="Arial" w:cs="Arial" w:eastAsia="Arial" w:hAnsi="Arial"/>
                <w:sz w:val="19"/>
                <w:szCs w:val="19"/>
                <w:color w:val="auto"/>
              </w:rPr>
              <w:t>2017</w:t>
            </w:r>
          </w:p>
        </w:tc>
        <w:tc>
          <w:tcPr>
            <w:tcW w:w="11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2,833</w:t>
            </w:r>
          </w:p>
        </w:tc>
        <w:tc>
          <w:tcPr>
            <w:tcW w:w="380" w:type="dxa"/>
            <w:vAlign w:val="bottom"/>
            <w:shd w:val="clear" w:color="auto" w:fill="CCEEFF"/>
          </w:tcPr>
          <w:p>
            <w:pPr>
              <w:jc w:val="right"/>
              <w:ind w:right="85"/>
              <w:spacing w:after="0" w:line="216" w:lineRule="exact"/>
              <w:rPr>
                <w:sz w:val="20"/>
                <w:szCs w:val="20"/>
                <w:color w:val="auto"/>
              </w:rPr>
            </w:pPr>
            <w:r>
              <w:rPr>
                <w:rFonts w:ascii="Arial" w:cs="Arial" w:eastAsia="Arial" w:hAnsi="Arial"/>
                <w:sz w:val="19"/>
                <w:szCs w:val="19"/>
                <w:color w:val="auto"/>
              </w:rPr>
              <w:t>$</w:t>
            </w:r>
          </w:p>
        </w:tc>
        <w:tc>
          <w:tcPr>
            <w:tcW w:w="86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3.00</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2,833</w:t>
            </w:r>
          </w:p>
        </w:tc>
        <w:tc>
          <w:tcPr>
            <w:tcW w:w="360" w:type="dxa"/>
            <w:vAlign w:val="bottom"/>
            <w:shd w:val="clear" w:color="auto" w:fill="CCEEFF"/>
          </w:tcPr>
          <w:p>
            <w:pPr>
              <w:jc w:val="right"/>
              <w:ind w:right="85"/>
              <w:spacing w:after="0" w:line="216" w:lineRule="exact"/>
              <w:rPr>
                <w:sz w:val="20"/>
                <w:szCs w:val="20"/>
                <w:color w:val="auto"/>
              </w:rPr>
            </w:pPr>
            <w:r>
              <w:rPr>
                <w:rFonts w:ascii="Arial" w:cs="Arial" w:eastAsia="Arial" w:hAnsi="Arial"/>
                <w:sz w:val="19"/>
                <w:szCs w:val="19"/>
                <w:color w:val="auto"/>
              </w:rPr>
              <w:t>$</w:t>
            </w:r>
          </w:p>
        </w:tc>
        <w:tc>
          <w:tcPr>
            <w:tcW w:w="110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3.79</w:t>
            </w:r>
          </w:p>
        </w:tc>
        <w:tc>
          <w:tcPr>
            <w:tcW w:w="1720" w:type="dxa"/>
            <w:vAlign w:val="bottom"/>
            <w:shd w:val="clear" w:color="auto" w:fill="CCEEFF"/>
          </w:tcPr>
          <w:p>
            <w:pPr>
              <w:jc w:val="center"/>
              <w:ind w:left="5"/>
              <w:spacing w:after="0" w:line="216" w:lineRule="exact"/>
              <w:rPr>
                <w:sz w:val="20"/>
                <w:szCs w:val="20"/>
                <w:color w:val="auto"/>
              </w:rPr>
            </w:pPr>
            <w:r>
              <w:rPr>
                <w:rFonts w:ascii="Arial" w:cs="Arial" w:eastAsia="Arial" w:hAnsi="Arial"/>
                <w:sz w:val="19"/>
                <w:szCs w:val="19"/>
                <w:color w:val="auto"/>
              </w:rPr>
              <w:t>January-December</w:t>
            </w:r>
          </w:p>
        </w:tc>
        <w:tc>
          <w:tcPr>
            <w:tcW w:w="0" w:type="dxa"/>
            <w:vAlign w:val="bottom"/>
          </w:tcPr>
          <w:p>
            <w:pPr>
              <w:spacing w:after="0"/>
              <w:rPr>
                <w:sz w:val="1"/>
                <w:szCs w:val="1"/>
                <w:color w:val="auto"/>
              </w:rPr>
            </w:pPr>
          </w:p>
        </w:tc>
      </w:tr>
      <w:tr>
        <w:trPr>
          <w:trHeight w:val="232"/>
        </w:trPr>
        <w:tc>
          <w:tcPr>
            <w:tcW w:w="3280" w:type="dxa"/>
            <w:vAlign w:val="bottom"/>
          </w:tcPr>
          <w:p>
            <w:pPr>
              <w:jc w:val="right"/>
              <w:ind w:right="2665"/>
              <w:spacing w:after="0"/>
              <w:rPr>
                <w:sz w:val="20"/>
                <w:szCs w:val="20"/>
                <w:color w:val="auto"/>
              </w:rPr>
            </w:pPr>
            <w:r>
              <w:rPr>
                <w:rFonts w:ascii="Arial" w:cs="Arial" w:eastAsia="Arial" w:hAnsi="Arial"/>
                <w:sz w:val="19"/>
                <w:szCs w:val="19"/>
                <w:color w:val="auto"/>
              </w:rPr>
              <w:t>2018</w:t>
            </w:r>
          </w:p>
        </w:tc>
        <w:tc>
          <w:tcPr>
            <w:tcW w:w="1140" w:type="dxa"/>
            <w:vAlign w:val="bottom"/>
          </w:tcPr>
          <w:p>
            <w:pPr>
              <w:jc w:val="right"/>
              <w:spacing w:after="0"/>
              <w:rPr>
                <w:sz w:val="20"/>
                <w:szCs w:val="20"/>
                <w:color w:val="auto"/>
              </w:rPr>
            </w:pPr>
            <w:r>
              <w:rPr>
                <w:rFonts w:ascii="Arial" w:cs="Arial" w:eastAsia="Arial" w:hAnsi="Arial"/>
                <w:sz w:val="19"/>
                <w:szCs w:val="19"/>
                <w:color w:val="auto"/>
              </w:rPr>
              <w:t>2,000</w:t>
            </w:r>
          </w:p>
        </w:tc>
        <w:tc>
          <w:tcPr>
            <w:tcW w:w="380" w:type="dxa"/>
            <w:vAlign w:val="bottom"/>
          </w:tcPr>
          <w:p>
            <w:pPr>
              <w:jc w:val="right"/>
              <w:ind w:right="85"/>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3.00</w:t>
            </w: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9"/>
                <w:szCs w:val="19"/>
                <w:color w:val="auto"/>
              </w:rPr>
              <w:t>2,000</w:t>
            </w:r>
          </w:p>
        </w:tc>
        <w:tc>
          <w:tcPr>
            <w:tcW w:w="360" w:type="dxa"/>
            <w:vAlign w:val="bottom"/>
          </w:tcPr>
          <w:p>
            <w:pPr>
              <w:jc w:val="right"/>
              <w:ind w:right="85"/>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3.82</w:t>
            </w:r>
          </w:p>
        </w:tc>
        <w:tc>
          <w:tcPr>
            <w:tcW w:w="1720" w:type="dxa"/>
            <w:vAlign w:val="bottom"/>
          </w:tcPr>
          <w:p>
            <w:pPr>
              <w:jc w:val="center"/>
              <w:ind w:left="5"/>
              <w:spacing w:after="0"/>
              <w:rPr>
                <w:sz w:val="20"/>
                <w:szCs w:val="20"/>
                <w:color w:val="auto"/>
              </w:rPr>
            </w:pPr>
            <w:r>
              <w:rPr>
                <w:rFonts w:ascii="Arial" w:cs="Arial" w:eastAsia="Arial" w:hAnsi="Arial"/>
                <w:sz w:val="19"/>
                <w:szCs w:val="19"/>
                <w:color w:val="auto"/>
              </w:rPr>
              <w:t>January-October</w:t>
            </w:r>
          </w:p>
        </w:tc>
        <w:tc>
          <w:tcPr>
            <w:tcW w:w="0" w:type="dxa"/>
            <w:vAlign w:val="bottom"/>
          </w:tcPr>
          <w:p>
            <w:pPr>
              <w:spacing w:after="0"/>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(1) Per day amounts are calculated based on a 365-day year.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15</w:t>
      </w:r>
    </w:p>
    <w:p>
      <w:pPr>
        <w:sectPr>
          <w:pgSz w:w="11900" w:h="16838" w:orient="portrait"/>
          <w:cols w:equalWidth="0" w:num="1">
            <w:col w:w="11420"/>
          </w:cols>
          <w:pgMar w:left="240" w:top="258" w:right="2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RAM Energy Holdings LLC</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4"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Gross fair values of the Company’s derivative instruments, prior to netting of assets and liabilities subject to a master netting arrangement, are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70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auto"/>
                <w:w w:val="96"/>
              </w:rPr>
              <w:t>Fair Value as of</w:t>
            </w:r>
          </w:p>
        </w:tc>
      </w:tr>
      <w:tr>
        <w:trPr>
          <w:trHeight w:val="236"/>
        </w:trPr>
        <w:tc>
          <w:tcPr>
            <w:tcW w:w="2700" w:type="dxa"/>
            <w:vAlign w:val="bottom"/>
          </w:tcPr>
          <w:p>
            <w:pPr>
              <w:jc w:val="center"/>
              <w:ind w:right="145"/>
              <w:spacing w:after="0"/>
              <w:rPr>
                <w:sz w:val="20"/>
                <w:szCs w:val="20"/>
                <w:color w:val="auto"/>
              </w:rPr>
            </w:pPr>
            <w:r>
              <w:rPr>
                <w:rFonts w:ascii="Arial" w:cs="Arial" w:eastAsia="Arial" w:hAnsi="Arial"/>
                <w:sz w:val="19"/>
                <w:szCs w:val="19"/>
                <w:b w:val="1"/>
                <w:bCs w:val="1"/>
                <w:color w:val="auto"/>
                <w:w w:val="99"/>
              </w:rPr>
              <w:t>Derivative</w:t>
            </w:r>
          </w:p>
        </w:tc>
        <w:tc>
          <w:tcPr>
            <w:tcW w:w="7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auto"/>
              </w:rPr>
              <w:t>December 31,</w:t>
            </w:r>
          </w:p>
        </w:tc>
      </w:tr>
      <w:tr>
        <w:trPr>
          <w:trHeight w:val="210"/>
        </w:trPr>
        <w:tc>
          <w:tcPr>
            <w:tcW w:w="2700" w:type="dxa"/>
            <w:vAlign w:val="bottom"/>
            <w:tcBorders>
              <w:bottom w:val="single" w:sz="8" w:color="auto"/>
            </w:tcBorders>
          </w:tcPr>
          <w:p>
            <w:pPr>
              <w:ind w:left="220"/>
              <w:spacing w:after="0" w:line="210" w:lineRule="exact"/>
              <w:rPr>
                <w:sz w:val="20"/>
                <w:szCs w:val="20"/>
                <w:color w:val="auto"/>
              </w:rPr>
            </w:pPr>
            <w:r>
              <w:rPr>
                <w:rFonts w:ascii="Arial" w:cs="Arial" w:eastAsia="Arial" w:hAnsi="Arial"/>
                <w:sz w:val="19"/>
                <w:szCs w:val="19"/>
                <w:b w:val="1"/>
                <w:bCs w:val="1"/>
                <w:color w:val="auto"/>
              </w:rPr>
              <w:t>Financial Instruments</w:t>
            </w:r>
          </w:p>
        </w:tc>
        <w:tc>
          <w:tcPr>
            <w:tcW w:w="7000" w:type="dxa"/>
            <w:vAlign w:val="bottom"/>
            <w:tcBorders>
              <w:bottom w:val="single" w:sz="8" w:color="auto"/>
            </w:tcBorders>
          </w:tcPr>
          <w:p>
            <w:pPr>
              <w:ind w:left="2300"/>
              <w:spacing w:after="0" w:line="210" w:lineRule="exact"/>
              <w:rPr>
                <w:sz w:val="20"/>
                <w:szCs w:val="20"/>
                <w:color w:val="auto"/>
              </w:rPr>
            </w:pPr>
            <w:r>
              <w:rPr>
                <w:rFonts w:ascii="Arial" w:cs="Arial" w:eastAsia="Arial" w:hAnsi="Arial"/>
                <w:sz w:val="19"/>
                <w:szCs w:val="19"/>
                <w:b w:val="1"/>
                <w:bCs w:val="1"/>
                <w:color w:val="auto"/>
              </w:rPr>
              <w:t>Balance Sheet Location</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25"/>
              <w:spacing w:after="0" w:line="210" w:lineRule="exact"/>
              <w:rPr>
                <w:sz w:val="20"/>
                <w:szCs w:val="20"/>
                <w:color w:val="auto"/>
              </w:rPr>
            </w:pPr>
            <w:r>
              <w:rPr>
                <w:rFonts w:ascii="Arial" w:cs="Arial" w:eastAsia="Arial" w:hAnsi="Arial"/>
                <w:sz w:val="19"/>
                <w:szCs w:val="19"/>
                <w:b w:val="1"/>
                <w:bCs w:val="1"/>
                <w:color w:val="auto"/>
              </w:rPr>
              <w:t>2016</w:t>
            </w:r>
          </w:p>
        </w:tc>
        <w:tc>
          <w:tcPr>
            <w:tcW w:w="60" w:type="dxa"/>
            <w:vAlign w:val="bottom"/>
            <w:tcBorders>
              <w:bottom w:val="single" w:sz="8" w:color="auto"/>
            </w:tcBorders>
          </w:tcPr>
          <w:p>
            <w:pPr>
              <w:spacing w:after="0"/>
              <w:rPr>
                <w:sz w:val="18"/>
                <w:szCs w:val="18"/>
                <w:color w:val="auto"/>
              </w:rPr>
            </w:pPr>
          </w:p>
        </w:tc>
      </w:tr>
      <w:tr>
        <w:trPr>
          <w:trHeight w:val="156"/>
        </w:trPr>
        <w:tc>
          <w:tcPr>
            <w:tcW w:w="270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6"/>
        </w:trPr>
        <w:tc>
          <w:tcPr>
            <w:tcW w:w="2700" w:type="dxa"/>
            <w:vAlign w:val="bottom"/>
            <w:shd w:val="clear" w:color="auto" w:fill="CCEEFF"/>
          </w:tcPr>
          <w:p>
            <w:pPr>
              <w:jc w:val="center"/>
              <w:ind w:right="205"/>
              <w:spacing w:after="0" w:line="216" w:lineRule="exact"/>
              <w:rPr>
                <w:sz w:val="20"/>
                <w:szCs w:val="20"/>
                <w:color w:val="auto"/>
              </w:rPr>
            </w:pPr>
            <w:r>
              <w:rPr>
                <w:rFonts w:ascii="Arial" w:cs="Arial" w:eastAsia="Arial" w:hAnsi="Arial"/>
                <w:sz w:val="19"/>
                <w:szCs w:val="19"/>
                <w:color w:val="auto"/>
                <w:w w:val="98"/>
              </w:rPr>
              <w:t>Commodity Contracts</w:t>
            </w:r>
          </w:p>
        </w:tc>
        <w:tc>
          <w:tcPr>
            <w:tcW w:w="7120" w:type="dxa"/>
            <w:vAlign w:val="bottom"/>
            <w:gridSpan w:val="2"/>
            <w:shd w:val="clear" w:color="auto" w:fill="CCEEFF"/>
          </w:tcPr>
          <w:p>
            <w:pPr>
              <w:ind w:left="500"/>
              <w:spacing w:after="0" w:line="216" w:lineRule="exact"/>
              <w:rPr>
                <w:sz w:val="20"/>
                <w:szCs w:val="20"/>
                <w:color w:val="auto"/>
              </w:rPr>
            </w:pPr>
            <w:r>
              <w:rPr>
                <w:rFonts w:ascii="Arial" w:cs="Arial" w:eastAsia="Arial" w:hAnsi="Arial"/>
                <w:sz w:val="19"/>
                <w:szCs w:val="19"/>
                <w:color w:val="auto"/>
              </w:rPr>
              <w:t>Long-Term Assets-Derivative Assets</w:t>
            </w:r>
          </w:p>
        </w:tc>
        <w:tc>
          <w:tcPr>
            <w:tcW w:w="10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w w:val="75"/>
              </w:rPr>
              <w:t>$</w:t>
            </w:r>
          </w:p>
        </w:tc>
        <w:tc>
          <w:tcPr>
            <w:tcW w:w="14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100</w:t>
            </w:r>
          </w:p>
        </w:tc>
        <w:tc>
          <w:tcPr>
            <w:tcW w:w="60" w:type="dxa"/>
            <w:vAlign w:val="bottom"/>
            <w:shd w:val="clear" w:color="auto" w:fill="CCEEFF"/>
          </w:tcPr>
          <w:p>
            <w:pPr>
              <w:spacing w:after="0"/>
              <w:rPr>
                <w:sz w:val="18"/>
                <w:szCs w:val="18"/>
                <w:color w:val="auto"/>
              </w:rPr>
            </w:pPr>
          </w:p>
        </w:tc>
      </w:tr>
      <w:tr>
        <w:trPr>
          <w:trHeight w:val="216"/>
        </w:trPr>
        <w:tc>
          <w:tcPr>
            <w:tcW w:w="2700" w:type="dxa"/>
            <w:vAlign w:val="bottom"/>
          </w:tcPr>
          <w:p>
            <w:pPr>
              <w:jc w:val="center"/>
              <w:ind w:right="205"/>
              <w:spacing w:after="0" w:line="216" w:lineRule="exact"/>
              <w:rPr>
                <w:sz w:val="20"/>
                <w:szCs w:val="20"/>
                <w:color w:val="auto"/>
              </w:rPr>
            </w:pPr>
            <w:r>
              <w:rPr>
                <w:rFonts w:ascii="Arial" w:cs="Arial" w:eastAsia="Arial" w:hAnsi="Arial"/>
                <w:sz w:val="19"/>
                <w:szCs w:val="19"/>
                <w:color w:val="auto"/>
                <w:w w:val="98"/>
              </w:rPr>
              <w:t>Commodity Contracts</w:t>
            </w:r>
          </w:p>
        </w:tc>
        <w:tc>
          <w:tcPr>
            <w:tcW w:w="7120" w:type="dxa"/>
            <w:vAlign w:val="bottom"/>
            <w:gridSpan w:val="2"/>
          </w:tcPr>
          <w:p>
            <w:pPr>
              <w:ind w:left="500"/>
              <w:spacing w:after="0" w:line="216" w:lineRule="exact"/>
              <w:rPr>
                <w:sz w:val="20"/>
                <w:szCs w:val="20"/>
                <w:color w:val="auto"/>
              </w:rPr>
            </w:pPr>
            <w:r>
              <w:rPr>
                <w:rFonts w:ascii="Arial" w:cs="Arial" w:eastAsia="Arial" w:hAnsi="Arial"/>
                <w:sz w:val="19"/>
                <w:szCs w:val="19"/>
                <w:color w:val="auto"/>
              </w:rPr>
              <w:t>Current Liabilities-Derivative Liabilities</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line="216" w:lineRule="exact"/>
              <w:rPr>
                <w:sz w:val="20"/>
                <w:szCs w:val="20"/>
                <w:color w:val="auto"/>
              </w:rPr>
            </w:pPr>
            <w:r>
              <w:rPr>
                <w:rFonts w:ascii="Arial" w:cs="Arial" w:eastAsia="Arial" w:hAnsi="Arial"/>
                <w:sz w:val="19"/>
                <w:szCs w:val="19"/>
                <w:color w:val="auto"/>
              </w:rPr>
              <w:t>(189)</w:t>
            </w:r>
          </w:p>
        </w:tc>
      </w:tr>
      <w:tr>
        <w:trPr>
          <w:trHeight w:val="216"/>
        </w:trPr>
        <w:tc>
          <w:tcPr>
            <w:tcW w:w="2700" w:type="dxa"/>
            <w:vAlign w:val="bottom"/>
            <w:tcBorders>
              <w:bottom w:val="single" w:sz="8" w:color="auto"/>
            </w:tcBorders>
            <w:shd w:val="clear" w:color="auto" w:fill="CCEEFF"/>
          </w:tcPr>
          <w:p>
            <w:pPr>
              <w:jc w:val="center"/>
              <w:ind w:right="205"/>
              <w:spacing w:after="0" w:line="216" w:lineRule="exact"/>
              <w:rPr>
                <w:sz w:val="20"/>
                <w:szCs w:val="20"/>
                <w:color w:val="auto"/>
              </w:rPr>
            </w:pPr>
            <w:r>
              <w:rPr>
                <w:rFonts w:ascii="Arial" w:cs="Arial" w:eastAsia="Arial" w:hAnsi="Arial"/>
                <w:sz w:val="19"/>
                <w:szCs w:val="19"/>
                <w:color w:val="auto"/>
                <w:w w:val="98"/>
              </w:rPr>
              <w:t>Commodity Contracts</w:t>
            </w:r>
          </w:p>
        </w:tc>
        <w:tc>
          <w:tcPr>
            <w:tcW w:w="7120" w:type="dxa"/>
            <w:vAlign w:val="bottom"/>
            <w:tcBorders>
              <w:bottom w:val="single" w:sz="8" w:color="auto"/>
            </w:tcBorders>
            <w:gridSpan w:val="2"/>
            <w:shd w:val="clear" w:color="auto" w:fill="CCEEFF"/>
          </w:tcPr>
          <w:p>
            <w:pPr>
              <w:ind w:left="500"/>
              <w:spacing w:after="0" w:line="216" w:lineRule="exact"/>
              <w:rPr>
                <w:sz w:val="20"/>
                <w:szCs w:val="20"/>
                <w:color w:val="auto"/>
              </w:rPr>
            </w:pPr>
            <w:r>
              <w:rPr>
                <w:rFonts w:ascii="Arial" w:cs="Arial" w:eastAsia="Arial" w:hAnsi="Arial"/>
                <w:sz w:val="19"/>
                <w:szCs w:val="19"/>
                <w:color w:val="auto"/>
              </w:rPr>
              <w:t>Long-Term Liabilities-Derivative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gridSpan w:val="2"/>
            <w:shd w:val="clear" w:color="auto" w:fill="CCEEFF"/>
          </w:tcPr>
          <w:p>
            <w:pPr>
              <w:jc w:val="right"/>
              <w:ind w:right="60"/>
              <w:spacing w:after="0" w:line="216" w:lineRule="exact"/>
              <w:rPr>
                <w:sz w:val="20"/>
                <w:szCs w:val="20"/>
                <w:color w:val="auto"/>
              </w:rPr>
            </w:pPr>
            <w:r>
              <w:rPr>
                <w:rFonts w:ascii="Arial" w:cs="Arial" w:eastAsia="Arial" w:hAnsi="Arial"/>
                <w:sz w:val="19"/>
                <w:szCs w:val="19"/>
                <w:color w:val="auto"/>
              </w:rPr>
              <w:t>(21)</w:t>
            </w:r>
          </w:p>
        </w:tc>
      </w:tr>
      <w:tr>
        <w:trPr>
          <w:trHeight w:val="311"/>
        </w:trPr>
        <w:tc>
          <w:tcPr>
            <w:tcW w:w="270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w:t>
            </w: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9"/>
                <w:szCs w:val="19"/>
                <w:color w:val="auto"/>
              </w:rPr>
              <w:t>(110)</w:t>
            </w:r>
          </w:p>
        </w:tc>
      </w:tr>
    </w:tbl>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All of the losses related derivative contracts are recorded through the “losses on derivatives” account in the consolidated statement of operations.</w:t>
      </w:r>
    </w:p>
    <w:p>
      <w:pPr>
        <w:spacing w:after="0" w:line="160"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We monitor the creditworthiness of our counterparty, however we are not able to predict sudden changes in their creditworthiness. Should our financial counterparty not perform, we may not realize the results of some of our derivative instruments and could incur differing results. As of December 31, 2016, we had no deposits for collateral with our counterparty.</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Acquisition and Divestitures</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Arco-Vickers Disposition</w:t>
      </w:r>
    </w:p>
    <w:p>
      <w:pPr>
        <w:spacing w:after="0" w:line="195" w:lineRule="exact"/>
        <w:rPr>
          <w:sz w:val="20"/>
          <w:szCs w:val="20"/>
          <w:color w:val="auto"/>
        </w:rPr>
      </w:pPr>
    </w:p>
    <w:p>
      <w:pPr>
        <w:jc w:val="both"/>
        <w:ind w:right="20"/>
        <w:spacing w:after="0" w:line="246" w:lineRule="auto"/>
        <w:rPr>
          <w:sz w:val="20"/>
          <w:szCs w:val="20"/>
          <w:color w:val="auto"/>
        </w:rPr>
      </w:pPr>
      <w:r>
        <w:rPr>
          <w:rFonts w:ascii="Arial" w:cs="Arial" w:eastAsia="Arial" w:hAnsi="Arial"/>
          <w:sz w:val="19"/>
          <w:szCs w:val="19"/>
          <w:color w:val="auto"/>
        </w:rPr>
        <w:t>On January 5, 2016, the Company closed on the sale of certain oil and natural gas properties located in Texas for $0.1 million net proceeds. The full cost pool was reduced by the net proceeds in accordance with the full cost method of accounting.</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Reagan County Dispositions</w:t>
      </w:r>
    </w:p>
    <w:p>
      <w:pPr>
        <w:spacing w:after="0" w:line="20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On April 19, 2016 and on May 12, 2016, the Company closed on two sales of mineral interest properties located in Reagan County, Texas for $0.8 million each. The full cost pool was reduced by the net proceeds of $1.6 million in accordance with the full cost method of accounting. The proceeds were used for general corporate purposes.</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Glasscock County Disposition</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On September 15, 2016, the Company closed on the sale of mineral interest properties located in Glasscock County, Texas for $0.5 million net proceeds. The full cost pool was reduced by the net proceeds in accordance with the full cost method of accounting.</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Long-Term Debt - Affiliate</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Long-term debt - affiliate consists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60" w:type="dxa"/>
            <w:vAlign w:val="bottom"/>
            <w:tcBorders>
              <w:bottom w:val="single" w:sz="8" w:color="auto"/>
            </w:tcBorders>
          </w:tcPr>
          <w:p>
            <w:pPr>
              <w:ind w:left="120"/>
              <w:spacing w:after="0"/>
              <w:rPr>
                <w:sz w:val="20"/>
                <w:szCs w:val="20"/>
                <w:color w:val="auto"/>
              </w:rPr>
            </w:pPr>
            <w:r>
              <w:rPr>
                <w:rFonts w:ascii="Arial" w:cs="Arial" w:eastAsia="Arial" w:hAnsi="Arial"/>
                <w:sz w:val="19"/>
                <w:szCs w:val="19"/>
                <w:b w:val="1"/>
                <w:bCs w:val="1"/>
                <w:i w:val="1"/>
                <w:iCs w:val="1"/>
                <w:color w:val="auto"/>
              </w:rPr>
              <w:t>December 31,</w:t>
            </w:r>
          </w:p>
        </w:tc>
        <w:tc>
          <w:tcPr>
            <w:tcW w:w="6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25"/>
              <w:spacing w:after="0"/>
              <w:rPr>
                <w:sz w:val="20"/>
                <w:szCs w:val="20"/>
                <w:color w:val="auto"/>
              </w:rPr>
            </w:pPr>
            <w:r>
              <w:rPr>
                <w:rFonts w:ascii="Arial" w:cs="Arial" w:eastAsia="Arial" w:hAnsi="Arial"/>
                <w:sz w:val="19"/>
                <w:szCs w:val="19"/>
                <w:b w:val="1"/>
                <w:bCs w:val="1"/>
                <w:color w:val="auto"/>
              </w:rPr>
              <w:t>2016</w:t>
            </w:r>
          </w:p>
        </w:tc>
        <w:tc>
          <w:tcPr>
            <w:tcW w:w="60" w:type="dxa"/>
            <w:vAlign w:val="bottom"/>
          </w:tcPr>
          <w:p>
            <w:pPr>
              <w:spacing w:after="0"/>
              <w:rPr>
                <w:sz w:val="21"/>
                <w:szCs w:val="21"/>
                <w:color w:val="auto"/>
              </w:rPr>
            </w:pPr>
          </w:p>
        </w:tc>
      </w:tr>
      <w:tr>
        <w:trPr>
          <w:trHeight w:val="189"/>
        </w:trPr>
        <w:tc>
          <w:tcPr>
            <w:tcW w:w="376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3"/>
        </w:trPr>
        <w:tc>
          <w:tcPr>
            <w:tcW w:w="3760" w:type="dxa"/>
            <w:vAlign w:val="bottom"/>
            <w:tcBorders>
              <w:bottom w:val="single" w:sz="8" w:color="auto"/>
            </w:tcBorders>
            <w:shd w:val="clear" w:color="auto" w:fill="CCEEFF"/>
          </w:tcPr>
          <w:p>
            <w:pPr>
              <w:ind w:left="100"/>
              <w:spacing w:after="0" w:line="216" w:lineRule="exact"/>
              <w:rPr>
                <w:sz w:val="20"/>
                <w:szCs w:val="20"/>
                <w:color w:val="auto"/>
              </w:rPr>
            </w:pPr>
            <w:r>
              <w:rPr>
                <w:rFonts w:ascii="Arial" w:cs="Arial" w:eastAsia="Arial" w:hAnsi="Arial"/>
                <w:sz w:val="19"/>
                <w:szCs w:val="19"/>
                <w:color w:val="auto"/>
              </w:rPr>
              <w:t>Term Loan Tranche A</w:t>
            </w:r>
          </w:p>
        </w:tc>
        <w:tc>
          <w:tcPr>
            <w:tcW w:w="6360" w:type="dxa"/>
            <w:vAlign w:val="bottom"/>
            <w:tcBorders>
              <w:bottom w:val="single" w:sz="8" w:color="auto"/>
            </w:tcBorders>
            <w:shd w:val="clear" w:color="auto" w:fill="CCEEFF"/>
          </w:tcPr>
          <w:p>
            <w:pPr>
              <w:jc w:val="right"/>
              <w:ind w:right="185"/>
              <w:spacing w:after="0" w:line="216" w:lineRule="exact"/>
              <w:rPr>
                <w:sz w:val="20"/>
                <w:szCs w:val="20"/>
                <w:color w:val="auto"/>
              </w:rPr>
            </w:pPr>
            <w:r>
              <w:rPr>
                <w:rFonts w:ascii="Arial" w:cs="Arial" w:eastAsia="Arial" w:hAnsi="Arial"/>
                <w:sz w:val="19"/>
                <w:szCs w:val="19"/>
                <w:color w:val="auto"/>
              </w:rPr>
              <w:t>$</w:t>
            </w:r>
          </w:p>
        </w:tc>
        <w:tc>
          <w:tcPr>
            <w:tcW w:w="1240" w:type="dxa"/>
            <w:vAlign w:val="bottom"/>
            <w:tcBorders>
              <w:bottom w:val="single" w:sz="8" w:color="auto"/>
            </w:tcBorders>
            <w:shd w:val="clear" w:color="auto" w:fill="CCEEFF"/>
          </w:tcPr>
          <w:p>
            <w:pPr>
              <w:jc w:val="right"/>
              <w:ind w:right="5"/>
              <w:spacing w:after="0" w:line="216" w:lineRule="exact"/>
              <w:rPr>
                <w:sz w:val="20"/>
                <w:szCs w:val="20"/>
                <w:color w:val="auto"/>
              </w:rPr>
            </w:pPr>
            <w:r>
              <w:rPr>
                <w:rFonts w:ascii="Arial" w:cs="Arial" w:eastAsia="Arial" w:hAnsi="Arial"/>
                <w:sz w:val="19"/>
                <w:szCs w:val="19"/>
                <w:color w:val="auto"/>
              </w:rPr>
              <w:t>83,365</w:t>
            </w:r>
          </w:p>
        </w:tc>
        <w:tc>
          <w:tcPr>
            <w:tcW w:w="60" w:type="dxa"/>
            <w:vAlign w:val="bottom"/>
            <w:tcBorders>
              <w:bottom w:val="single" w:sz="8" w:color="auto"/>
            </w:tcBorders>
            <w:shd w:val="clear" w:color="auto" w:fill="CCEEFF"/>
          </w:tcPr>
          <w:p>
            <w:pPr>
              <w:spacing w:after="0"/>
              <w:rPr>
                <w:sz w:val="19"/>
                <w:szCs w:val="19"/>
                <w:color w:val="auto"/>
              </w:rPr>
            </w:pPr>
          </w:p>
        </w:tc>
      </w:tr>
      <w:tr>
        <w:trPr>
          <w:trHeight w:val="380"/>
        </w:trPr>
        <w:tc>
          <w:tcPr>
            <w:tcW w:w="3760" w:type="dxa"/>
            <w:vAlign w:val="bottom"/>
          </w:tcPr>
          <w:p>
            <w:pPr>
              <w:spacing w:after="0"/>
              <w:rPr>
                <w:sz w:val="24"/>
                <w:szCs w:val="24"/>
                <w:color w:val="auto"/>
              </w:rPr>
            </w:pPr>
          </w:p>
        </w:tc>
        <w:tc>
          <w:tcPr>
            <w:tcW w:w="6360" w:type="dxa"/>
            <w:vAlign w:val="bottom"/>
          </w:tcPr>
          <w:p>
            <w:pPr>
              <w:jc w:val="right"/>
              <w:ind w:right="4205"/>
              <w:spacing w:after="0"/>
              <w:rPr>
                <w:sz w:val="20"/>
                <w:szCs w:val="20"/>
                <w:color w:val="auto"/>
              </w:rPr>
            </w:pPr>
            <w:r>
              <w:rPr>
                <w:rFonts w:ascii="Arial" w:cs="Arial" w:eastAsia="Arial" w:hAnsi="Arial"/>
                <w:sz w:val="19"/>
                <w:szCs w:val="19"/>
                <w:b w:val="1"/>
                <w:bCs w:val="1"/>
                <w:color w:val="auto"/>
              </w:rPr>
              <w:t>16</w:t>
            </w: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258" w:right="239" w:bottom="1440" w:gutter="0" w:footer="0" w:header="0"/>
        </w:sectPr>
      </w:pPr>
    </w:p>
    <w:bookmarkStart w:id="210" w:name="page211"/>
    <w:bookmarkEnd w:id="21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RAM Energy Holdings LLC</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 Loans</w:t>
      </w:r>
    </w:p>
    <w:p>
      <w:pPr>
        <w:spacing w:after="0" w:line="195" w:lineRule="exact"/>
        <w:rPr>
          <w:sz w:val="20"/>
          <w:szCs w:val="20"/>
          <w:color w:val="auto"/>
        </w:rPr>
      </w:pPr>
    </w:p>
    <w:p>
      <w:pPr>
        <w:jc w:val="both"/>
        <w:spacing w:after="0"/>
        <w:rPr>
          <w:sz w:val="20"/>
          <w:szCs w:val="20"/>
          <w:color w:val="auto"/>
        </w:rPr>
      </w:pPr>
      <w:r>
        <w:rPr>
          <w:rFonts w:ascii="Arial" w:cs="Arial" w:eastAsia="Arial" w:hAnsi="Arial"/>
          <w:sz w:val="19"/>
          <w:szCs w:val="19"/>
          <w:color w:val="auto"/>
        </w:rPr>
        <w:t>On July 18, 2014, in conjunction with the Arklatex/Central Basin Platform acquisition from Chaparral Energy, RAM entered into a $102.5 million credit facility with U.S. Bank National Association as Administrative Agent (the “Agent”) for itself and on behalf of PennantPark Investment Corporation (“PennantPark”) as lender. The facility included a $75.0 million Tranche A term loan and a $27.5 million Tranche B term loan. In February 2015, asset divestiture proceeds of $7.5 million were used to pay down the Tranche B term loan.</w:t>
      </w:r>
    </w:p>
    <w:p>
      <w:pPr>
        <w:spacing w:after="0" w:line="382"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Borrowings under the facility were used to fund the cash requirements in connection with the closing of the Arklatex/Central Basin Platform acquisition, and for working capital and other general corporate purposes. The Tranche A term loan provides for payments of interest only during its term. In the case of a Tranche A Base Rate Loan, interest is charged at the Agent’s Prime Rate plus the Applicable margin of 7.0%; or, in the case of a Tranche A Eurodollar Loan, interest is charged at LIBO plus the Applicable Margin of 8.0%. While the Tranche B loan remained outstanding, interest on the Tranche A loan, as calculated above, was increased by 2.0%. The Tranche B loan provided for payments of interest only during its term. In the case of a Tranche B Base Rate Loan, interest was charged at the Agent’s Prime Rate plus the Applicable margin of 12.0%; or, in the case of a Tranche B Eurodollar Loan, interest was charged at LIBO plus the Applicable Margin of 13.0%. The interest rate at December 31, 2016 for the Tranche A loan was 10%. The Tranche A loan is due on July 18, 2019.</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9"/>
          <w:szCs w:val="19"/>
          <w:color w:val="auto"/>
        </w:rPr>
        <w:t>Advances under the facility are secured by liens on substantially all properties and assets of RAM. The loan agreement contains representations, warranties and covenants customary in transactions of this nature, and initially included financial covenants relating to a current ratio and a maximum leverage ratio. RAM was not in compliance with its covenants as of December 31, 2014 and was therefore in technical default under the provisions of the agreement.</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In August 2015, in resolution of RAM’s then default under the credit agreement, the remaining balance of $20.0 million of the Tranche B term loan was canceled, the entire interest in RAM was transferred to RAM Energy Holdings LLC and the credit agreement was restructured. The restructuring includes a current ratio and debt to EBITDAX covenant and a paid-in-kind interest election for the Tranche A term loan. Cumulative interest paid-in-kind as of December 31, 2016 was $10.3 million. The Company was not in compliance with its current ratio covenant, as amended, as of December 31, 2016. The Company obtained a waiver from the lender in order to waive the current ratio and total debt to EBITDAX covenants as of and for the fiscal quarter and fiscal year ended December 31, 2016 and thereafter, for each fiscal quarter ending on or prior to March 31, 2018.</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Member’s Deficit</w:t>
      </w:r>
    </w:p>
    <w:p>
      <w:pPr>
        <w:spacing w:after="0" w:line="203"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Company was formed in July 2014 with 100 units of the Company issued to PennantPark. The Company’s operating agreement was amended following the debt restructuring in August 2015 as discussed in Note 8. The increased number of units outstanding in the amended operating agreement was derived from the change-of-control transactions affecting RAM.</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debt restructuring in August 2015 included PennantPark contributing the Tranche B term loan debt to RAM Energy Holdings LLC, and RAM Energy Holdings contributing it to RAM. The result is PennantPark holds all units in RAM Energy Holdings as of August 31, 2015.</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17</w:t>
      </w:r>
    </w:p>
    <w:p>
      <w:pPr>
        <w:sectPr>
          <w:pgSz w:w="11900" w:h="16838" w:orient="portrait"/>
          <w:cols w:equalWidth="0" w:num="1">
            <w:col w:w="11420"/>
          </w:cols>
          <w:pgMar w:left="240" w:top="258" w:right="239" w:bottom="1440" w:gutter="0" w:footer="0" w:header="0"/>
        </w:sectPr>
      </w:pPr>
    </w:p>
    <w:bookmarkStart w:id="211" w:name="page212"/>
    <w:bookmarkEnd w:id="21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RAM Energy Holdings LLC</w:t>
      </w:r>
    </w:p>
    <w:p>
      <w:pPr>
        <w:spacing w:after="0" w:line="183"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Commitments and Contingencies</w:t>
      </w:r>
    </w:p>
    <w:p>
      <w:pPr>
        <w:spacing w:after="0" w:line="203"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From time to time the Company may be involved in claims and litigation arising in the ordinary course of business. In the opinion of management, the outcome of all existing matters will not have a material adverse effect on the Company’s financial position or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Leases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RAM leases office space and certain equipment under non-cancelable operating lease agreements that expire on various dates through</w:t>
      </w:r>
    </w:p>
    <w:p>
      <w:pPr>
        <w:spacing w:after="0"/>
        <w:rPr>
          <w:sz w:val="20"/>
          <w:szCs w:val="20"/>
          <w:color w:val="auto"/>
        </w:rPr>
      </w:pPr>
      <w:r>
        <w:rPr>
          <w:rFonts w:ascii="Arial" w:cs="Arial" w:eastAsia="Arial" w:hAnsi="Arial"/>
          <w:sz w:val="19"/>
          <w:szCs w:val="19"/>
          <w:color w:val="auto"/>
        </w:rPr>
        <w:t>2020. Approximate future minimum lease payments for operating leases as of December 31, 2016 are as follows (in thousands):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9"/>
          <w:szCs w:val="19"/>
          <w:b w:val="1"/>
          <w:bCs w:val="1"/>
          <w:i w:val="1"/>
          <w:iCs w:val="1"/>
          <w:color w:val="auto"/>
        </w:rPr>
        <w:t>Year Ending 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40" w:type="dxa"/>
            <w:vAlign w:val="bottom"/>
            <w:tcBorders>
              <w:top w:val="single" w:sz="8" w:color="auto"/>
            </w:tcBorders>
            <w:shd w:val="clear" w:color="auto" w:fill="CCEEFF"/>
          </w:tcPr>
          <w:p>
            <w:pPr>
              <w:jc w:val="right"/>
              <w:ind w:right="4085"/>
              <w:spacing w:after="0" w:line="210" w:lineRule="exact"/>
              <w:rPr>
                <w:sz w:val="20"/>
                <w:szCs w:val="20"/>
                <w:color w:val="auto"/>
              </w:rPr>
            </w:pPr>
            <w:r>
              <w:rPr>
                <w:rFonts w:ascii="Arial" w:cs="Arial" w:eastAsia="Arial" w:hAnsi="Arial"/>
                <w:sz w:val="19"/>
                <w:szCs w:val="19"/>
                <w:color w:val="auto"/>
              </w:rPr>
              <w:t>2017</w:t>
            </w:r>
          </w:p>
        </w:tc>
        <w:tc>
          <w:tcPr>
            <w:tcW w:w="4820" w:type="dxa"/>
            <w:vAlign w:val="bottom"/>
            <w:tcBorders>
              <w:top w:val="single" w:sz="8" w:color="auto"/>
            </w:tcBorders>
            <w:shd w:val="clear" w:color="auto" w:fill="CCEEFF"/>
          </w:tcPr>
          <w:p>
            <w:pPr>
              <w:jc w:val="right"/>
              <w:ind w:right="425"/>
              <w:spacing w:after="0" w:line="210" w:lineRule="exact"/>
              <w:rPr>
                <w:sz w:val="20"/>
                <w:szCs w:val="20"/>
                <w:color w:val="auto"/>
              </w:rPr>
            </w:pPr>
            <w:r>
              <w:rPr>
                <w:rFonts w:ascii="Arial" w:cs="Arial" w:eastAsia="Arial" w:hAnsi="Arial"/>
                <w:sz w:val="19"/>
                <w:szCs w:val="19"/>
                <w:color w:val="auto"/>
              </w:rPr>
              <w:t>$</w:t>
            </w:r>
          </w:p>
        </w:tc>
        <w:tc>
          <w:tcPr>
            <w:tcW w:w="960" w:type="dxa"/>
            <w:vAlign w:val="bottom"/>
            <w:tcBorders>
              <w:top w:val="single" w:sz="8" w:color="auto"/>
            </w:tcBorders>
            <w:shd w:val="clear" w:color="auto" w:fill="CCEEFF"/>
          </w:tcPr>
          <w:p>
            <w:pPr>
              <w:jc w:val="right"/>
              <w:ind w:right="5"/>
              <w:spacing w:after="0" w:line="210" w:lineRule="exact"/>
              <w:rPr>
                <w:sz w:val="20"/>
                <w:szCs w:val="20"/>
                <w:color w:val="auto"/>
              </w:rPr>
            </w:pPr>
            <w:r>
              <w:rPr>
                <w:rFonts w:ascii="Arial" w:cs="Arial" w:eastAsia="Arial" w:hAnsi="Arial"/>
                <w:sz w:val="19"/>
                <w:szCs w:val="19"/>
                <w:color w:val="auto"/>
              </w:rPr>
              <w:t>351</w:t>
            </w:r>
          </w:p>
        </w:tc>
      </w:tr>
      <w:tr>
        <w:trPr>
          <w:trHeight w:val="216"/>
        </w:trPr>
        <w:tc>
          <w:tcPr>
            <w:tcW w:w="5640" w:type="dxa"/>
            <w:vAlign w:val="bottom"/>
          </w:tcPr>
          <w:p>
            <w:pPr>
              <w:jc w:val="right"/>
              <w:ind w:right="4085"/>
              <w:spacing w:after="0" w:line="216" w:lineRule="exact"/>
              <w:rPr>
                <w:sz w:val="20"/>
                <w:szCs w:val="20"/>
                <w:color w:val="auto"/>
              </w:rPr>
            </w:pPr>
            <w:r>
              <w:rPr>
                <w:rFonts w:ascii="Arial" w:cs="Arial" w:eastAsia="Arial" w:hAnsi="Arial"/>
                <w:sz w:val="19"/>
                <w:szCs w:val="19"/>
                <w:color w:val="auto"/>
              </w:rPr>
              <w:t>2018</w:t>
            </w:r>
          </w:p>
        </w:tc>
        <w:tc>
          <w:tcPr>
            <w:tcW w:w="4820" w:type="dxa"/>
            <w:vAlign w:val="bottom"/>
          </w:tcPr>
          <w:p>
            <w:pPr>
              <w:spacing w:after="0"/>
              <w:rPr>
                <w:sz w:val="18"/>
                <w:szCs w:val="18"/>
                <w:color w:val="auto"/>
              </w:rPr>
            </w:pPr>
          </w:p>
        </w:tc>
        <w:tc>
          <w:tcPr>
            <w:tcW w:w="960" w:type="dxa"/>
            <w:vAlign w:val="bottom"/>
          </w:tcPr>
          <w:p>
            <w:pPr>
              <w:jc w:val="right"/>
              <w:ind w:right="5"/>
              <w:spacing w:after="0" w:line="216" w:lineRule="exact"/>
              <w:rPr>
                <w:sz w:val="20"/>
                <w:szCs w:val="20"/>
                <w:color w:val="auto"/>
              </w:rPr>
            </w:pPr>
            <w:r>
              <w:rPr>
                <w:rFonts w:ascii="Arial" w:cs="Arial" w:eastAsia="Arial" w:hAnsi="Arial"/>
                <w:sz w:val="19"/>
                <w:szCs w:val="19"/>
                <w:color w:val="auto"/>
              </w:rPr>
              <w:t>310</w:t>
            </w:r>
          </w:p>
        </w:tc>
      </w:tr>
      <w:tr>
        <w:trPr>
          <w:trHeight w:val="216"/>
        </w:trPr>
        <w:tc>
          <w:tcPr>
            <w:tcW w:w="5640" w:type="dxa"/>
            <w:vAlign w:val="bottom"/>
            <w:shd w:val="clear" w:color="auto" w:fill="CCEEFF"/>
          </w:tcPr>
          <w:p>
            <w:pPr>
              <w:jc w:val="right"/>
              <w:ind w:right="4085"/>
              <w:spacing w:after="0" w:line="216" w:lineRule="exact"/>
              <w:rPr>
                <w:sz w:val="20"/>
                <w:szCs w:val="20"/>
                <w:color w:val="auto"/>
              </w:rPr>
            </w:pPr>
            <w:r>
              <w:rPr>
                <w:rFonts w:ascii="Arial" w:cs="Arial" w:eastAsia="Arial" w:hAnsi="Arial"/>
                <w:sz w:val="19"/>
                <w:szCs w:val="19"/>
                <w:color w:val="auto"/>
              </w:rPr>
              <w:t>2019</w:t>
            </w:r>
          </w:p>
        </w:tc>
        <w:tc>
          <w:tcPr>
            <w:tcW w:w="48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
              <w:spacing w:after="0" w:line="216" w:lineRule="exact"/>
              <w:rPr>
                <w:sz w:val="20"/>
                <w:szCs w:val="20"/>
                <w:color w:val="auto"/>
              </w:rPr>
            </w:pPr>
            <w:r>
              <w:rPr>
                <w:rFonts w:ascii="Arial" w:cs="Arial" w:eastAsia="Arial" w:hAnsi="Arial"/>
                <w:sz w:val="19"/>
                <w:szCs w:val="19"/>
                <w:color w:val="auto"/>
              </w:rPr>
              <w:t>267</w:t>
            </w:r>
          </w:p>
        </w:tc>
      </w:tr>
      <w:tr>
        <w:trPr>
          <w:trHeight w:val="216"/>
        </w:trPr>
        <w:tc>
          <w:tcPr>
            <w:tcW w:w="5640" w:type="dxa"/>
            <w:vAlign w:val="bottom"/>
            <w:tcBorders>
              <w:bottom w:val="single" w:sz="8" w:color="auto"/>
            </w:tcBorders>
          </w:tcPr>
          <w:p>
            <w:pPr>
              <w:jc w:val="right"/>
              <w:ind w:right="4085"/>
              <w:spacing w:after="0" w:line="216" w:lineRule="exact"/>
              <w:rPr>
                <w:sz w:val="20"/>
                <w:szCs w:val="20"/>
                <w:color w:val="auto"/>
              </w:rPr>
            </w:pPr>
            <w:r>
              <w:rPr>
                <w:rFonts w:ascii="Arial" w:cs="Arial" w:eastAsia="Arial" w:hAnsi="Arial"/>
                <w:sz w:val="19"/>
                <w:szCs w:val="19"/>
                <w:color w:val="auto"/>
              </w:rPr>
              <w:t>2020</w:t>
            </w:r>
          </w:p>
        </w:tc>
        <w:tc>
          <w:tcPr>
            <w:tcW w:w="48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
              <w:spacing w:after="0" w:line="216" w:lineRule="exact"/>
              <w:rPr>
                <w:sz w:val="20"/>
                <w:szCs w:val="20"/>
                <w:color w:val="auto"/>
              </w:rPr>
            </w:pPr>
            <w:r>
              <w:rPr>
                <w:rFonts w:ascii="Arial" w:cs="Arial" w:eastAsia="Arial" w:hAnsi="Arial"/>
                <w:sz w:val="19"/>
                <w:szCs w:val="19"/>
                <w:color w:val="auto"/>
              </w:rPr>
              <w:t>35</w:t>
            </w:r>
          </w:p>
        </w:tc>
      </w:tr>
      <w:tr>
        <w:trPr>
          <w:trHeight w:val="88"/>
        </w:trPr>
        <w:tc>
          <w:tcPr>
            <w:tcW w:w="5640" w:type="dxa"/>
            <w:vAlign w:val="bottom"/>
          </w:tcPr>
          <w:p>
            <w:pPr>
              <w:spacing w:after="0"/>
              <w:rPr>
                <w:sz w:val="7"/>
                <w:szCs w:val="7"/>
                <w:color w:val="auto"/>
              </w:rPr>
            </w:pPr>
          </w:p>
        </w:tc>
        <w:tc>
          <w:tcPr>
            <w:tcW w:w="4820" w:type="dxa"/>
            <w:vAlign w:val="bottom"/>
          </w:tcPr>
          <w:p>
            <w:pPr>
              <w:spacing w:after="0"/>
              <w:rPr>
                <w:sz w:val="7"/>
                <w:szCs w:val="7"/>
                <w:color w:val="auto"/>
              </w:rPr>
            </w:pPr>
          </w:p>
        </w:tc>
        <w:tc>
          <w:tcPr>
            <w:tcW w:w="960" w:type="dxa"/>
            <w:vAlign w:val="bottom"/>
          </w:tcPr>
          <w:p>
            <w:pPr>
              <w:spacing w:after="0"/>
              <w:rPr>
                <w:sz w:val="7"/>
                <w:szCs w:val="7"/>
                <w:color w:val="auto"/>
              </w:rPr>
            </w:pPr>
          </w:p>
        </w:tc>
      </w:tr>
      <w:tr>
        <w:trPr>
          <w:trHeight w:val="223"/>
        </w:trPr>
        <w:tc>
          <w:tcPr>
            <w:tcW w:w="5640" w:type="dxa"/>
            <w:vAlign w:val="bottom"/>
            <w:tcBorders>
              <w:bottom w:val="single" w:sz="8" w:color="auto"/>
            </w:tcBorders>
            <w:shd w:val="clear" w:color="auto" w:fill="CCEEFF"/>
          </w:tcPr>
          <w:p>
            <w:pPr>
              <w:spacing w:after="0"/>
              <w:rPr>
                <w:sz w:val="19"/>
                <w:szCs w:val="19"/>
                <w:color w:val="auto"/>
              </w:rPr>
            </w:pPr>
          </w:p>
        </w:tc>
        <w:tc>
          <w:tcPr>
            <w:tcW w:w="4820" w:type="dxa"/>
            <w:vAlign w:val="bottom"/>
            <w:tcBorders>
              <w:bottom w:val="single" w:sz="8" w:color="auto"/>
            </w:tcBorders>
            <w:shd w:val="clear" w:color="auto" w:fill="CCEEFF"/>
          </w:tcPr>
          <w:p>
            <w:pPr>
              <w:jc w:val="right"/>
              <w:ind w:right="425"/>
              <w:spacing w:after="0" w:line="216" w:lineRule="exact"/>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shd w:val="clear" w:color="auto" w:fill="CCEEFF"/>
          </w:tcPr>
          <w:p>
            <w:pPr>
              <w:jc w:val="right"/>
              <w:ind w:right="5"/>
              <w:spacing w:after="0" w:line="216" w:lineRule="exact"/>
              <w:rPr>
                <w:sz w:val="20"/>
                <w:szCs w:val="20"/>
                <w:color w:val="auto"/>
              </w:rPr>
            </w:pPr>
            <w:r>
              <w:rPr>
                <w:rFonts w:ascii="Arial" w:cs="Arial" w:eastAsia="Arial" w:hAnsi="Arial"/>
                <w:sz w:val="19"/>
                <w:szCs w:val="19"/>
                <w:color w:val="auto"/>
              </w:rPr>
              <w:t>963</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9"/>
          <w:szCs w:val="19"/>
          <w:color w:val="auto"/>
        </w:rPr>
        <w:t>Rent expense of approximately $0.4 million was incurred under operating leases for the year ended December 31, 2016.</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Related Party Transactions</w:t>
      </w:r>
    </w:p>
    <w:p>
      <w:pPr>
        <w:spacing w:after="0" w:line="203"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RAM made certain payments on behalf of an officer during 2016 totaling $49 thousand, which is due to the Company as of December 31, 2016. LEL Energy, a company owned by an officer, made payments on behalf of RAM totaling $67 thousand, which is a payable on RAM’s books.</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Subsequent Events</w:t>
      </w:r>
    </w:p>
    <w:p>
      <w:pPr>
        <w:spacing w:after="0" w:line="203"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Company evaluates events and transactions occurring after the balance sheet date and before the consolidated financial statements are available for issuance. Such events and transactions have been evaluated through March 9, 2017, the date the consolidated financial statements were available to be issued.</w:t>
      </w:r>
    </w:p>
    <w:p>
      <w:pPr>
        <w:spacing w:after="0" w:line="176"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On January 1, 2017, the Company closed on the sale of certain oil and natural gas properties located in Texas. The Company received no proceeds, but was relieved of the plugging liability.</w:t>
      </w:r>
    </w:p>
    <w:p>
      <w:pPr>
        <w:spacing w:after="0" w:line="160"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On January 5, 2017, the Company closed on the sale of certain oil and natural gas properties located in Texas for $5.7 million net proceeds. The full cost pool was reduced by the net proceeds in accordance with the full cost method of accounting. The proceeds will be used for general operating purposes.</w:t>
      </w:r>
    </w:p>
    <w:p>
      <w:pPr>
        <w:spacing w:after="0" w:line="163"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On February 10, 2017, the Company closed on the sale of certain oil and natural gas properties located in Texas for $15 thousand plus oil in tanks. The full cost pool was reduced by the net proceeds in accordance with the full cost method of accounting.</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18</w:t>
      </w:r>
    </w:p>
    <w:sectPr>
      <w:pgSz w:w="11900" w:h="16838" w:orient="portrait"/>
      <w:cols w:equalWidth="0" w:num="1">
        <w:col w:w="11420"/>
      </w:cols>
      <w:pgMar w:left="240" w:top="2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1)"/>
      <w:numFmt w:val="decimal"/>
      <w:start w:val="1"/>
    </w:lvl>
  </w:abstractNum>
  <w:abstractNum w:abstractNumId="2">
    <w:nsid w:val="1381823A"/>
    <w:multiLevelType w:val="hybridMultilevel"/>
    <w:lvl w:ilvl="0">
      <w:lvlJc w:val="left"/>
      <w:lvlText w:val="(%1)"/>
      <w:numFmt w:val="decimal"/>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1)"/>
      <w:numFmt w:val="decimal"/>
      <w:start w:val="1"/>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1."/>
      <w:numFmt w:val="decimal"/>
      <w:start w:val="820"/>
    </w:lvl>
  </w:abstractNum>
  <w:abstractNum w:abstractNumId="10">
    <w:nsid w:val="6B94764"/>
    <w:multiLevelType w:val="hybridMultilevel"/>
    <w:lvl w:ilvl="0">
      <w:lvlJc w:val="left"/>
      <w:lvlText w:val="%1."/>
      <w:numFmt w:val="decimal"/>
      <w:start w:val="1"/>
    </w:lvl>
  </w:abstractNum>
  <w:abstractNum w:abstractNumId="11">
    <w:nsid w:val="42C296BD"/>
    <w:multiLevelType w:val="hybridMultilevel"/>
    <w:lvl w:ilvl="0">
      <w:lvlJc w:val="left"/>
      <w:lvlText w:val="•"/>
      <w:numFmt w:val="bullet"/>
      <w:start w:val="1"/>
    </w:lvl>
  </w:abstractNum>
  <w:abstractNum w:abstractNumId="12">
    <w:nsid w:val="168E121F"/>
    <w:multiLevelType w:val="hybridMultilevel"/>
    <w:lvl w:ilvl="0">
      <w:lvlJc w:val="left"/>
      <w:lvlText w:val="•"/>
      <w:numFmt w:val="bullet"/>
      <w:start w:val="1"/>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
      <w:numFmt w:val="bullet"/>
      <w:start w:val="1"/>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1)"/>
      <w:numFmt w:val="decimal"/>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1)"/>
      <w:numFmt w:val="decimal"/>
      <w:start w:val="1"/>
    </w:lvl>
  </w:abstractNum>
  <w:abstractNum w:abstractNumId="21">
    <w:nsid w:val="11447B73"/>
    <w:multiLevelType w:val="hybridMultilevel"/>
    <w:lvl w:ilvl="0">
      <w:lvlJc w:val="left"/>
      <w:lvlText w:val="(%1)"/>
      <w:numFmt w:val="decimal"/>
      <w:start w:val="3"/>
    </w:lvl>
  </w:abstractNum>
  <w:abstractNum w:abstractNumId="22">
    <w:nsid w:val="42963E5A"/>
    <w:multiLevelType w:val="hybridMultilevel"/>
    <w:lvl w:ilvl="0">
      <w:lvlJc w:val="left"/>
      <w:lvlText w:val="(%1)"/>
      <w:numFmt w:val="decimal"/>
      <w:start w:val="1"/>
    </w:lvl>
  </w:abstractNum>
  <w:abstractNum w:abstractNumId="23">
    <w:nsid w:val="A0382C5"/>
    <w:multiLevelType w:val="hybridMultilevel"/>
    <w:lvl w:ilvl="0">
      <w:lvlJc w:val="left"/>
      <w:lvlText w:val="%1."/>
      <w:numFmt w:val="decimal"/>
      <w:start w:val="1"/>
    </w:lvl>
  </w:abstractNum>
  <w:abstractNum w:abstractNumId="24">
    <w:nsid w:val="8F2B15E"/>
    <w:multiLevelType w:val="hybridMultilevel"/>
    <w:lvl w:ilvl="0">
      <w:lvlJc w:val="left"/>
      <w:lvlText w:val="(%1)"/>
      <w:numFmt w:val="decimal"/>
      <w:start w:val="1"/>
    </w:lvl>
  </w:abstractNum>
  <w:abstractNum w:abstractNumId="25">
    <w:nsid w:val="1A32234B"/>
    <w:multiLevelType w:val="hybridMultilevel"/>
    <w:lvl w:ilvl="0">
      <w:lvlJc w:val="left"/>
      <w:lvlText w:val="(%1)"/>
      <w:numFmt w:val="decimal"/>
      <w:start w:val="1"/>
    </w:lvl>
  </w:abstractNum>
  <w:abstractNum w:abstractNumId="26">
    <w:nsid w:val="3B0FD379"/>
    <w:multiLevelType w:val="hybridMultilevel"/>
    <w:lvl w:ilvl="0">
      <w:lvlJc w:val="left"/>
      <w:lvlText w:val="(%1)"/>
      <w:numFmt w:val="decimal"/>
      <w:start w:val="1"/>
    </w:lvl>
  </w:abstractNum>
  <w:abstractNum w:abstractNumId="27">
    <w:nsid w:val="68EB2F63"/>
    <w:multiLevelType w:val="hybridMultilevel"/>
    <w:lvl w:ilvl="0">
      <w:lvlJc w:val="left"/>
      <w:lvlText w:val="(%1)"/>
      <w:numFmt w:val="decimal"/>
      <w:start w:val="1"/>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1)"/>
      <w:numFmt w:val="decimal"/>
      <w:start w:val="2"/>
    </w:lvl>
  </w:abstractNum>
  <w:abstractNum w:abstractNumId="31">
    <w:nsid w:val="14330624"/>
    <w:multiLevelType w:val="hybridMultilevel"/>
    <w:lvl w:ilvl="0">
      <w:lvlJc w:val="left"/>
      <w:lvlText w:val="•"/>
      <w:numFmt w:val="bullet"/>
      <w:start w:val="1"/>
    </w:lvl>
  </w:abstractNum>
  <w:abstractNum w:abstractNumId="32">
    <w:nsid w:val="7FFFCA11"/>
    <w:multiLevelType w:val="hybridMultilevel"/>
    <w:lvl w:ilvl="0">
      <w:lvlJc w:val="left"/>
      <w:lvlText w:val="%1)"/>
      <w:numFmt w:val="lowerLetter"/>
      <w:start w:val="1"/>
    </w:lvl>
  </w:abstractNum>
  <w:abstractNum w:abstractNumId="33">
    <w:nsid w:val="1A27709E"/>
    <w:multiLevelType w:val="hybridMultilevel"/>
    <w:lvl w:ilvl="0">
      <w:lvlJc w:val="left"/>
      <w:lvlText w:val="%1)"/>
      <w:numFmt w:val="lowerLetter"/>
      <w:start w:val="2"/>
    </w:lvl>
  </w:abstractNum>
  <w:abstractNum w:abstractNumId="34">
    <w:nsid w:val="71EA1109"/>
    <w:multiLevelType w:val="hybridMultilevel"/>
    <w:lvl w:ilvl="0">
      <w:lvlJc w:val="left"/>
      <w:lvlText w:val="•"/>
      <w:numFmt w:val="bullet"/>
      <w:start w:val="1"/>
    </w:lvl>
  </w:abstractNum>
  <w:abstractNum w:abstractNumId="35">
    <w:nsid w:val="100F59DC"/>
    <w:multiLevelType w:val="hybridMultilevel"/>
    <w:lvl w:ilvl="0">
      <w:lvlJc w:val="left"/>
      <w:lvlText w:val="%1)"/>
      <w:numFmt w:val="lowerLetter"/>
      <w:start w:val="3"/>
    </w:lvl>
  </w:abstractNum>
  <w:abstractNum w:abstractNumId="36">
    <w:nsid w:val="7FB7E0AA"/>
    <w:multiLevelType w:val="hybridMultilevel"/>
    <w:lvl w:ilvl="0">
      <w:lvlJc w:val="left"/>
      <w:lvlText w:val="%1)"/>
      <w:numFmt w:val="lowerLetter"/>
      <w:start w:val="4"/>
    </w:lvl>
  </w:abstractNum>
  <w:abstractNum w:abstractNumId="37">
    <w:nsid w:val="6EB5BD4"/>
    <w:multiLevelType w:val="hybridMultilevel"/>
    <w:lvl w:ilvl="0">
      <w:lvlJc w:val="left"/>
      <w:lvlText w:val="%1)"/>
      <w:numFmt w:val="lowerLetter"/>
      <w:start w:val="1"/>
    </w:lvl>
  </w:abstractNum>
  <w:abstractNum w:abstractNumId="38">
    <w:nsid w:val="6F6DD9AC"/>
    <w:multiLevelType w:val="hybridMultilevel"/>
    <w:lvl w:ilvl="0">
      <w:lvlJc w:val="left"/>
      <w:lvlText w:val="%1)"/>
      <w:numFmt w:val="lowerLetter"/>
      <w:start w:val="2"/>
    </w:lvl>
  </w:abstractNum>
  <w:abstractNum w:abstractNumId="39">
    <w:nsid w:val="94211F2"/>
    <w:multiLevelType w:val="hybridMultilevel"/>
    <w:lvl w:ilvl="0">
      <w:lvlJc w:val="left"/>
      <w:lvlText w:val="%1)"/>
      <w:numFmt w:val="lowerLetter"/>
      <w:start w:val="3"/>
    </w:lvl>
  </w:abstractNum>
  <w:abstractNum w:abstractNumId="40">
    <w:nsid w:val="885E1B"/>
    <w:multiLevelType w:val="hybridMultilevel"/>
    <w:lvl w:ilvl="0">
      <w:lvlJc w:val="left"/>
      <w:lvlText w:val="%1)"/>
      <w:numFmt w:val="lowerLetter"/>
      <w:start w:val="4"/>
    </w:lvl>
  </w:abstractNum>
  <w:abstractNum w:abstractNumId="41">
    <w:nsid w:val="76272110"/>
    <w:multiLevelType w:val="hybridMultilevel"/>
    <w:lvl w:ilvl="0">
      <w:lvlJc w:val="left"/>
      <w:lvlText w:val="%1)"/>
      <w:numFmt w:val="lowerLetter"/>
      <w:start w:val="5"/>
    </w:lvl>
  </w:abstractNum>
  <w:abstractNum w:abstractNumId="42">
    <w:nsid w:val="4C04A8AF"/>
    <w:multiLevelType w:val="hybridMultilevel"/>
    <w:lvl w:ilvl="0">
      <w:lvlJc w:val="left"/>
      <w:lvlText w:val="%1)"/>
      <w:numFmt w:val="lowerLetter"/>
      <w:start w:val="6"/>
    </w:lvl>
  </w:abstractNum>
  <w:abstractNum w:abstractNumId="43">
    <w:nsid w:val="1716703B"/>
    <w:multiLevelType w:val="hybridMultilevel"/>
    <w:lvl w:ilvl="0">
      <w:lvlJc w:val="left"/>
      <w:lvlText w:val="•"/>
      <w:numFmt w:val="bullet"/>
      <w:start w:val="1"/>
    </w:lvl>
  </w:abstractNum>
  <w:abstractNum w:abstractNumId="44">
    <w:nsid w:val="14E17E33"/>
    <w:multiLevelType w:val="hybridMultilevel"/>
    <w:lvl w:ilvl="0">
      <w:lvlJc w:val="left"/>
      <w:lvlText w:val="•"/>
      <w:numFmt w:val="bullet"/>
      <w:start w:val="1"/>
    </w:lvl>
  </w:abstractNum>
  <w:abstractNum w:abstractNumId="45">
    <w:nsid w:val="3222E7CD"/>
    <w:multiLevelType w:val="hybridMultilevel"/>
    <w:lvl w:ilvl="0">
      <w:lvlJc w:val="left"/>
      <w:lvlText w:val="•"/>
      <w:numFmt w:val="bullet"/>
      <w:start w:val="1"/>
    </w:lvl>
  </w:abstractNum>
  <w:abstractNum w:abstractNumId="46">
    <w:nsid w:val="74DE0EE3"/>
    <w:multiLevelType w:val="hybridMultilevel"/>
    <w:lvl w:ilvl="0">
      <w:lvlJc w:val="left"/>
      <w:lvlText w:val="(%1)"/>
      <w:numFmt w:val="decimal"/>
      <w:start w:val="1"/>
    </w:lvl>
  </w:abstractNum>
  <w:abstractNum w:abstractNumId="47">
    <w:nsid w:val="68EBC550"/>
    <w:multiLevelType w:val="hybridMultilevel"/>
    <w:lvl w:ilvl="0">
      <w:lvlJc w:val="left"/>
      <w:lvlText w:val="(%1)"/>
      <w:numFmt w:val="decimal"/>
      <w:start w:val="1"/>
    </w:lvl>
  </w:abstractNum>
  <w:abstractNum w:abstractNumId="48">
    <w:nsid w:val="2DF6D648"/>
    <w:multiLevelType w:val="hybridMultilevel"/>
    <w:lvl w:ilvl="0">
      <w:lvlJc w:val="left"/>
      <w:lvlText w:val="(%1)"/>
      <w:numFmt w:val="decimal"/>
      <w:start w:val="1"/>
    </w:lvl>
  </w:abstractNum>
  <w:abstractNum w:abstractNumId="49">
    <w:nsid w:val="46B7D447"/>
    <w:multiLevelType w:val="hybridMultilevel"/>
    <w:lvl w:ilvl="0">
      <w:lvlJc w:val="left"/>
      <w:lvlText w:val="*"/>
      <w:numFmt w:val="bullet"/>
      <w:start w:val="1"/>
    </w:lvl>
  </w:abstractNum>
  <w:abstractNum w:abstractNumId="50">
    <w:nsid w:val="4A2AC315"/>
    <w:multiLevelType w:val="hybridMultilevel"/>
    <w:lvl w:ilvl="0">
      <w:lvlJc w:val="left"/>
      <w:lvlText w:val="(%1)"/>
      <w:numFmt w:val="decimal"/>
      <w:start w:val="1"/>
    </w:lvl>
  </w:abstractNum>
  <w:abstractNum w:abstractNumId="51">
    <w:nsid w:val="39EE015C"/>
    <w:multiLevelType w:val="hybridMultilevel"/>
    <w:lvl w:ilvl="0">
      <w:lvlJc w:val="left"/>
      <w:lvlText w:val="•"/>
      <w:numFmt w:val="bullet"/>
      <w:start w:val="1"/>
    </w:lvl>
  </w:abstractNum>
  <w:abstractNum w:abstractNumId="52">
    <w:nsid w:val="57FC4FBB"/>
    <w:multiLevelType w:val="hybridMultilevel"/>
    <w:lvl w:ilvl="0">
      <w:lvlJc w:val="left"/>
      <w:lvlText w:val="="/>
      <w:numFmt w:val="bullet"/>
      <w:start w:val="1"/>
    </w:lvl>
  </w:abstractNum>
  <w:abstractNum w:abstractNumId="53">
    <w:nsid w:val="CC1016F"/>
    <w:multiLevelType w:val="hybridMultilevel"/>
    <w:lvl w:ilvl="0">
      <w:lvlJc w:val="left"/>
      <w:lvlText w:val="="/>
      <w:numFmt w:val="bullet"/>
      <w:start w:val="1"/>
    </w:lvl>
  </w:abstractNum>
  <w:abstractNum w:abstractNumId="54">
    <w:nsid w:val="43F18422"/>
    <w:multiLevelType w:val="hybridMultilevel"/>
    <w:lvl w:ilvl="0">
      <w:lvlJc w:val="left"/>
      <w:lvlText w:val="(%1)"/>
      <w:numFmt w:val="decimal"/>
    </w:lvl>
    <w:lvl w:ilvl="1">
      <w:lvlJc w:val="left"/>
      <w:lvlText w:val="(*)"/>
      <w:numFmt w:val="bullet"/>
      <w:start w:val="1"/>
    </w:lvl>
  </w:abstractNum>
  <w:abstractNum w:abstractNumId="55">
    <w:nsid w:val="60EF0119"/>
    <w:multiLevelType w:val="hybridMultilevel"/>
    <w:lvl w:ilvl="0">
      <w:lvlJc w:val="left"/>
      <w:lvlText w:val="(%1)"/>
      <w:numFmt w:val="decimal"/>
      <w:start w:val="1"/>
    </w:lvl>
  </w:abstractNum>
  <w:abstractNum w:abstractNumId="56">
    <w:nsid w:val="26F324BA"/>
    <w:multiLevelType w:val="hybridMultilevel"/>
    <w:lvl w:ilvl="0">
      <w:lvlJc w:val="left"/>
      <w:lvlText w:val="•"/>
      <w:numFmt w:val="bullet"/>
      <w:start w:val="1"/>
    </w:lvl>
  </w:abstractNum>
  <w:abstractNum w:abstractNumId="57">
    <w:nsid w:val="7F01579B"/>
    <w:multiLevelType w:val="hybridMultilevel"/>
    <w:lvl w:ilvl="0">
      <w:lvlJc w:val="left"/>
      <w:lvlText w:val="•"/>
      <w:numFmt w:val="bullet"/>
      <w:start w:val="1"/>
    </w:lvl>
  </w:abstractNum>
  <w:abstractNum w:abstractNumId="58">
    <w:nsid w:val="49DA307D"/>
    <w:multiLevelType w:val="hybridMultilevel"/>
    <w:lvl w:ilvl="0">
      <w:lvlJc w:val="left"/>
      <w:lvlText w:val="(%1)"/>
      <w:numFmt w:val="lowerLetter"/>
      <w:start w:val="2"/>
    </w:lvl>
  </w:abstractNum>
  <w:abstractNum w:abstractNumId="59">
    <w:nsid w:val="7055A5F5"/>
    <w:multiLevelType w:val="hybridMultilevel"/>
    <w:lvl w:ilvl="0">
      <w:lvlJc w:val="left"/>
      <w:lvlText w:val="(%1)"/>
      <w:numFmt w:val="decimal"/>
      <w:start w:val="3"/>
    </w:lvl>
  </w:abstractNum>
  <w:abstractNum w:abstractNumId="60">
    <w:nsid w:val="5FB8370B"/>
    <w:multiLevelType w:val="hybridMultilevel"/>
    <w:lvl w:ilvl="0">
      <w:lvlJc w:val="left"/>
      <w:lvlText w:val="•"/>
      <w:numFmt w:val="bullet"/>
      <w:start w:val="1"/>
    </w:lvl>
  </w:abstractNum>
  <w:abstractNum w:abstractNumId="61">
    <w:nsid w:val="50801EE1"/>
    <w:multiLevelType w:val="hybridMultilevel"/>
    <w:lvl w:ilvl="0">
      <w:lvlJc w:val="left"/>
      <w:lvlText w:val="•"/>
      <w:numFmt w:val="bullet"/>
      <w:start w:val="1"/>
    </w:lvl>
  </w:abstractNum>
  <w:abstractNum w:abstractNumId="62">
    <w:nsid w:val="488AC1A"/>
    <w:multiLevelType w:val="hybridMultilevel"/>
    <w:lvl w:ilvl="0">
      <w:lvlJc w:val="left"/>
      <w:lvlText w:val="•"/>
      <w:numFmt w:val="bullet"/>
      <w:start w:val="1"/>
    </w:lvl>
  </w:abstractNum>
  <w:abstractNum w:abstractNumId="63">
    <w:nsid w:val="5FB8011C"/>
    <w:multiLevelType w:val="hybridMultilevel"/>
    <w:lvl w:ilvl="0">
      <w:lvlJc w:val="left"/>
      <w:lvlText w:val="•"/>
      <w:numFmt w:val="bullet"/>
      <w:start w:val="1"/>
    </w:lvl>
  </w:abstractNum>
  <w:abstractNum w:abstractNumId="64">
    <w:nsid w:val="6AA78F7F"/>
    <w:multiLevelType w:val="hybridMultilevel"/>
    <w:lvl w:ilvl="0">
      <w:lvlJc w:val="left"/>
      <w:lvlText w:val="•"/>
      <w:numFmt w:val="bullet"/>
      <w:start w:val="1"/>
    </w:lvl>
  </w:abstractNum>
  <w:abstractNum w:abstractNumId="65">
    <w:nsid w:val="7672BD23"/>
    <w:multiLevelType w:val="hybridMultilevel"/>
    <w:lvl w:ilvl="0">
      <w:lvlJc w:val="left"/>
      <w:lvlText w:val="•"/>
      <w:numFmt w:val="bullet"/>
      <w:start w:val="1"/>
    </w:lvl>
  </w:abstractNum>
  <w:abstractNum w:abstractNumId="66">
    <w:nsid w:val="6FC75AF8"/>
    <w:multiLevelType w:val="hybridMultilevel"/>
    <w:lvl w:ilvl="0">
      <w:lvlJc w:val="left"/>
      <w:lvlText w:val="•"/>
      <w:numFmt w:val="bullet"/>
      <w:start w:val="1"/>
    </w:lvl>
  </w:abstractNum>
  <w:abstractNum w:abstractNumId="67">
    <w:nsid w:val="6A5F7029"/>
    <w:multiLevelType w:val="hybridMultilevel"/>
    <w:lvl w:ilvl="0">
      <w:lvlJc w:val="left"/>
      <w:lvlText w:val="•"/>
      <w:numFmt w:val="bullet"/>
      <w:start w:val="1"/>
    </w:lvl>
  </w:abstractNum>
  <w:abstractNum w:abstractNumId="68">
    <w:nsid w:val="7D5E18F8"/>
    <w:multiLevelType w:val="hybridMultilevel"/>
    <w:lvl w:ilvl="0">
      <w:lvlJc w:val="left"/>
      <w:lvlText w:val="•"/>
      <w:numFmt w:val="bullet"/>
      <w:start w:val="1"/>
    </w:lvl>
  </w:abstractNum>
  <w:abstractNum w:abstractNumId="69">
    <w:nsid w:val="5F3534A4"/>
    <w:multiLevelType w:val="hybridMultilevel"/>
    <w:lvl w:ilvl="0">
      <w:lvlJc w:val="left"/>
      <w:lvlText w:val="•"/>
      <w:numFmt w:val="bullet"/>
      <w:start w:val="1"/>
    </w:lvl>
  </w:abstractNum>
  <w:abstractNum w:abstractNumId="70">
    <w:nsid w:val="73A1821B"/>
    <w:multiLevelType w:val="hybridMultilevel"/>
    <w:lvl w:ilvl="0">
      <w:lvlJc w:val="left"/>
      <w:lvlText w:val="•"/>
      <w:numFmt w:val="bullet"/>
      <w:start w:val="1"/>
    </w:lvl>
  </w:abstractNum>
  <w:abstractNum w:abstractNumId="71">
    <w:nsid w:val="7DE67713"/>
    <w:multiLevelType w:val="hybridMultilevel"/>
    <w:lvl w:ilvl="0">
      <w:lvlJc w:val="left"/>
      <w:lvlText w:val="•"/>
      <w:numFmt w:val="bullet"/>
      <w:start w:val="1"/>
    </w:lvl>
  </w:abstractNum>
  <w:abstractNum w:abstractNumId="72">
    <w:nsid w:val="555C55B5"/>
    <w:multiLevelType w:val="hybridMultilevel"/>
    <w:lvl w:ilvl="0">
      <w:lvlJc w:val="left"/>
      <w:lvlText w:val="•"/>
      <w:numFmt w:val="bullet"/>
      <w:start w:val="1"/>
    </w:lvl>
  </w:abstractNum>
  <w:abstractNum w:abstractNumId="73">
    <w:nsid w:val="3FA62ACA"/>
    <w:multiLevelType w:val="hybridMultilevel"/>
    <w:lvl w:ilvl="0">
      <w:lvlJc w:val="left"/>
      <w:lvlText w:val="•"/>
      <w:numFmt w:val="bullet"/>
      <w:start w:val="1"/>
    </w:lvl>
  </w:abstractNum>
  <w:abstractNum w:abstractNumId="74">
    <w:nsid w:val="14FCE74E"/>
    <w:multiLevelType w:val="hybridMultilevel"/>
    <w:lvl w:ilvl="0">
      <w:lvlJc w:val="left"/>
      <w:lvlText w:val="•"/>
      <w:numFmt w:val="bullet"/>
      <w:start w:val="1"/>
    </w:lvl>
  </w:abstractNum>
  <w:abstractNum w:abstractNumId="75">
    <w:nsid w:val="6A3DD3E8"/>
    <w:multiLevelType w:val="hybridMultilevel"/>
    <w:lvl w:ilvl="0">
      <w:lvlJc w:val="left"/>
      <w:lvlText w:val="•"/>
      <w:numFmt w:val="bullet"/>
      <w:start w:val="1"/>
    </w:lvl>
  </w:abstractNum>
  <w:abstractNum w:abstractNumId="76">
    <w:nsid w:val="71C91298"/>
    <w:multiLevelType w:val="hybridMultilevel"/>
    <w:lvl w:ilvl="0">
      <w:lvlJc w:val="left"/>
      <w:lvlText w:val="•"/>
      <w:numFmt w:val="bullet"/>
      <w:start w:val="1"/>
    </w:lvl>
  </w:abstractNum>
  <w:abstractNum w:abstractNumId="77">
    <w:nsid w:val="9DAF632"/>
    <w:multiLevelType w:val="hybridMultilevel"/>
    <w:lvl w:ilvl="0">
      <w:lvlJc w:val="left"/>
      <w:lvlText w:val="•"/>
      <w:numFmt w:val="bullet"/>
      <w:start w:val="1"/>
    </w:lvl>
  </w:abstractNum>
  <w:abstractNum w:abstractNumId="78">
    <w:nsid w:val="53299938"/>
    <w:multiLevelType w:val="hybridMultilevel"/>
    <w:lvl w:ilvl="0">
      <w:lvlJc w:val="left"/>
      <w:lvlText w:val="•"/>
      <w:numFmt w:val="bullet"/>
      <w:start w:val="1"/>
    </w:lvl>
  </w:abstractNum>
  <w:abstractNum w:abstractNumId="79">
    <w:nsid w:val="1FBFE8E0"/>
    <w:multiLevelType w:val="hybridMultilevel"/>
    <w:lvl w:ilvl="0">
      <w:lvlJc w:val="left"/>
      <w:lvlText w:val="•"/>
      <w:numFmt w:val="bullet"/>
      <w:start w:val="1"/>
    </w:lvl>
  </w:abstractNum>
  <w:abstractNum w:abstractNumId="80">
    <w:nsid w:val="5092CA79"/>
    <w:multiLevelType w:val="hybridMultilevel"/>
    <w:lvl w:ilvl="0">
      <w:lvlJc w:val="left"/>
      <w:lvlText w:val="•"/>
      <w:numFmt w:val="bullet"/>
      <w:start w:val="1"/>
    </w:lvl>
  </w:abstractNum>
  <w:abstractNum w:abstractNumId="81">
    <w:nsid w:val="1D545C4D"/>
    <w:multiLevelType w:val="hybridMultilevel"/>
    <w:lvl w:ilvl="0">
      <w:lvlJc w:val="left"/>
      <w:lvlText w:val="•"/>
      <w:numFmt w:val="bullet"/>
      <w:start w:val="1"/>
    </w:lvl>
  </w:abstractNum>
  <w:abstractNum w:abstractNumId="82">
    <w:nsid w:val="59ADEA3D"/>
    <w:multiLevelType w:val="hybridMultilevel"/>
    <w:lvl w:ilvl="0">
      <w:lvlJc w:val="left"/>
      <w:lvlText w:val="(%1)"/>
      <w:numFmt w:val="decimal"/>
      <w:start w:val="2"/>
    </w:lvl>
  </w:abstractNum>
  <w:abstractNum w:abstractNumId="83">
    <w:nsid w:val="288F1A3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4">
    <w:nsid w:val="2A155DBC"/>
    <w:multiLevelType w:val="hybridMultilevel"/>
    <w:lvl w:ilvl="0">
      <w:lvlJc w:val="left"/>
      <w:lvlText w:val="(%1)"/>
      <w:numFmt w:val="decimal"/>
      <w:start w:val="2"/>
    </w:lvl>
  </w:abstractNum>
  <w:abstractNum w:abstractNumId="85">
    <w:nsid w:val="1D9F6E5F"/>
    <w:multiLevelType w:val="hybridMultilevel"/>
    <w:lvl w:ilvl="0">
      <w:lvlJc w:val="left"/>
      <w:lvlText w:val="•"/>
      <w:numFmt w:val="bullet"/>
      <w:start w:val="1"/>
    </w:lvl>
  </w:abstractNum>
  <w:abstractNum w:abstractNumId="86">
    <w:nsid w:val="97E1B4E"/>
    <w:multiLevelType w:val="hybridMultilevel"/>
    <w:lvl w:ilvl="0">
      <w:lvlJc w:val="left"/>
      <w:lvlText w:val="•"/>
      <w:numFmt w:val="bullet"/>
      <w:start w:val="1"/>
    </w:lvl>
  </w:abstractNum>
  <w:abstractNum w:abstractNumId="87">
    <w:nsid w:val="51088277"/>
    <w:multiLevelType w:val="hybridMultilevel"/>
    <w:lvl w:ilvl="0">
      <w:lvlJc w:val="left"/>
      <w:lvlText w:val="•"/>
      <w:numFmt w:val="bullet"/>
      <w:start w:val="1"/>
    </w:lvl>
  </w:abstractNum>
  <w:abstractNum w:abstractNumId="88">
    <w:nsid w:val="1CA0C5FA"/>
    <w:multiLevelType w:val="hybridMultilevel"/>
    <w:lvl w:ilvl="0">
      <w:lvlJc w:val="left"/>
      <w:lvlText w:val="•"/>
      <w:numFmt w:val="bullet"/>
      <w:start w:val="1"/>
    </w:lvl>
    <w:lvl w:ilvl="1">
      <w:lvlJc w:val="left"/>
      <w:lvlText w:val="%2)"/>
      <w:numFmt w:val="decimal"/>
      <w:start w:val="1"/>
    </w:lvl>
  </w:abstractNum>
  <w:abstractNum w:abstractNumId="89">
    <w:nsid w:val="53584BCB"/>
    <w:multiLevelType w:val="hybridMultilevel"/>
    <w:lvl w:ilvl="0">
      <w:lvlJc w:val="left"/>
      <w:lvlText w:val="(%1)"/>
      <w:numFmt w:val="decimal"/>
      <w:start w:val="1"/>
    </w:lvl>
  </w:abstractNum>
  <w:abstractNum w:abstractNumId="90">
    <w:nsid w:val="415E286C"/>
    <w:multiLevelType w:val="hybridMultilevel"/>
    <w:lvl w:ilvl="0">
      <w:lvlJc w:val="left"/>
      <w:lvlText w:val="(%1)"/>
      <w:numFmt w:val="decimal"/>
      <w:start w:val="1"/>
    </w:lvl>
  </w:abstractNum>
  <w:abstractNum w:abstractNumId="91">
    <w:nsid w:val="7C58FD05"/>
    <w:multiLevelType w:val="hybridMultilevel"/>
    <w:lvl w:ilvl="0">
      <w:lvlJc w:val="left"/>
      <w:lvlText w:val="•"/>
      <w:numFmt w:val="bullet"/>
      <w:start w:val="1"/>
    </w:lvl>
  </w:abstractNum>
  <w:abstractNum w:abstractNumId="92">
    <w:nsid w:val="23D86AAC"/>
    <w:multiLevelType w:val="hybridMultilevel"/>
    <w:lvl w:ilvl="0">
      <w:lvlJc w:val="left"/>
      <w:lvlText w:val="(%1)"/>
      <w:numFmt w:val="decimal"/>
      <w:start w:val="1"/>
    </w:lvl>
  </w:abstractNum>
  <w:abstractNum w:abstractNumId="93">
    <w:nsid w:val="45E6D486"/>
    <w:multiLevelType w:val="hybridMultilevel"/>
    <w:lvl w:ilvl="0">
      <w:lvlJc w:val="left"/>
      <w:lvlText w:val="(%1)"/>
      <w:numFmt w:val="decimal"/>
      <w:start w:val="1"/>
    </w:lvl>
  </w:abstractNum>
  <w:abstractNum w:abstractNumId="94">
    <w:nsid w:val="5C10FE21"/>
    <w:multiLevelType w:val="hybridMultilevel"/>
    <w:lvl w:ilvl="0">
      <w:lvlJc w:val="left"/>
      <w:lvlText w:val="(%1)"/>
      <w:numFmt w:val="decimal"/>
      <w:start w:val="1"/>
    </w:lvl>
  </w:abstractNum>
  <w:abstractNum w:abstractNumId="95">
    <w:nsid w:val="E7FFA2B"/>
    <w:multiLevelType w:val="hybridMultilevel"/>
    <w:lvl w:ilvl="0">
      <w:lvlJc w:val="left"/>
      <w:lvlText w:val="%1."/>
      <w:numFmt w:val="decimal"/>
      <w:start w:val="1"/>
    </w:lvl>
  </w:abstractNum>
  <w:abstractNum w:abstractNumId="96">
    <w:nsid w:val="3C5991AA"/>
    <w:multiLevelType w:val="hybridMultilevel"/>
    <w:lvl w:ilvl="0">
      <w:lvlJc w:val="left"/>
      <w:lvlText w:val="(%1)"/>
      <w:numFmt w:val="decimal"/>
      <w:start w:val="1"/>
    </w:lvl>
  </w:abstractNum>
  <w:abstractNum w:abstractNumId="97">
    <w:nsid w:val="4BD8591A"/>
    <w:multiLevelType w:val="hybridMultilevel"/>
    <w:lvl w:ilvl="0">
      <w:lvlJc w:val="left"/>
      <w:lvlText w:val="(%1)"/>
      <w:numFmt w:val="decimal"/>
      <w:start w:val="1"/>
    </w:lvl>
  </w:abstractNum>
  <w:abstractNum w:abstractNumId="98">
    <w:nsid w:val="78DF6A55"/>
    <w:multiLevelType w:val="hybridMultilevel"/>
    <w:lvl w:ilvl="0">
      <w:lvlJc w:val="left"/>
      <w:lvlText w:val="*"/>
      <w:numFmt w:val="bullet"/>
      <w:start w:val="1"/>
    </w:lvl>
  </w:abstractNum>
  <w:abstractNum w:abstractNumId="99">
    <w:nsid w:val="39B7AAA2"/>
    <w:multiLevelType w:val="hybridMultilevel"/>
    <w:lvl w:ilvl="0">
      <w:lvlJc w:val="left"/>
      <w:lvlText w:val="(%1)"/>
      <w:numFmt w:val="decimal"/>
      <w:start w:val="1"/>
    </w:lvl>
  </w:abstractNum>
  <w:abstractNum w:abstractNumId="100">
    <w:nsid w:val="2B0D8DBE"/>
    <w:multiLevelType w:val="hybridMultilevel"/>
    <w:lvl w:ilvl="0">
      <w:lvlJc w:val="left"/>
      <w:lvlText w:val="(%1)"/>
      <w:numFmt w:val="decimal"/>
      <w:start w:val="1"/>
    </w:lvl>
  </w:abstractNum>
  <w:abstractNum w:abstractNumId="101">
    <w:nsid w:val="6C80EC70"/>
    <w:multiLevelType w:val="hybridMultilevel"/>
    <w:lvl w:ilvl="0">
      <w:lvlJc w:val="left"/>
      <w:lvlText w:val="(%1)"/>
      <w:numFmt w:val="decimal"/>
      <w:start w:val="1"/>
    </w:lvl>
  </w:abstractNum>
  <w:abstractNum w:abstractNumId="102">
    <w:nsid w:val="379E21B5"/>
    <w:multiLevelType w:val="hybridMultilevel"/>
    <w:lvl w:ilvl="0">
      <w:lvlJc w:val="left"/>
      <w:lvlText w:val="(%1)"/>
      <w:numFmt w:val="decimal"/>
      <w:start w:val="1"/>
    </w:lvl>
  </w:abstractNum>
  <w:abstractNum w:abstractNumId="103">
    <w:nsid w:val="69E373"/>
    <w:multiLevelType w:val="hybridMultilevel"/>
    <w:lvl w:ilvl="0">
      <w:lvlJc w:val="left"/>
      <w:lvlText w:val="(%1)"/>
      <w:numFmt w:val="decimal"/>
      <w:start w:val="1"/>
    </w:lvl>
  </w:abstractNum>
  <w:abstractNum w:abstractNumId="104">
    <w:nsid w:val="2C27173B"/>
    <w:multiLevelType w:val="hybridMultilevel"/>
    <w:lvl w:ilvl="0">
      <w:lvlJc w:val="left"/>
      <w:lvlText w:val="%1."/>
      <w:numFmt w:val="decimal"/>
      <w:start w:val="1"/>
    </w:lvl>
  </w:abstractNum>
  <w:abstractNum w:abstractNumId="105">
    <w:nsid w:val="4C9B0904"/>
    <w:multiLevelType w:val="hybridMultilevel"/>
    <w:lvl w:ilvl="0">
      <w:lvlJc w:val="left"/>
      <w:lvlText w:val="(%1)"/>
      <w:numFmt w:val="decimal"/>
      <w:start w:val="1"/>
    </w:lvl>
  </w:abstractNum>
  <w:abstractNum w:abstractNumId="106">
    <w:nsid w:val="6AA7B75C"/>
    <w:multiLevelType w:val="hybridMultilevel"/>
    <w:lvl w:ilvl="0">
      <w:lvlJc w:val="left"/>
      <w:lvlText w:val="(%1)"/>
      <w:numFmt w:val="decimal"/>
      <w:start w:val="1"/>
    </w:lvl>
  </w:abstractNum>
  <w:abstractNum w:abstractNumId="107">
    <w:nsid w:val="1DF029D3"/>
    <w:multiLevelType w:val="hybridMultilevel"/>
    <w:lvl w:ilvl="0">
      <w:lvlJc w:val="left"/>
      <w:lvlText w:val="(%1)"/>
      <w:numFmt w:val="decimal"/>
      <w:start w:val="1"/>
    </w:lvl>
  </w:abstractNum>
  <w:abstractNum w:abstractNumId="108">
    <w:nsid w:val="5675FF36"/>
    <w:multiLevelType w:val="hybridMultilevel"/>
    <w:lvl w:ilvl="0">
      <w:lvlJc w:val="left"/>
      <w:lvlText w:val="1"/>
      <w:numFmt w:val="bullet"/>
      <w:start w:val="1"/>
    </w:lvl>
  </w:abstractNum>
  <w:abstractNum w:abstractNumId="109">
    <w:nsid w:val="3DD15094"/>
    <w:multiLevelType w:val="hybridMultilevel"/>
    <w:lvl w:ilvl="0">
      <w:lvlJc w:val="left"/>
      <w:lvlText w:val="2"/>
      <w:numFmt w:val="bullet"/>
      <w:start w:val="1"/>
    </w:lvl>
  </w:abstractNum>
  <w:abstractNum w:abstractNumId="110">
    <w:nsid w:val="3DB012B3"/>
    <w:multiLevelType w:val="hybridMultilevel"/>
    <w:lvl w:ilvl="0">
      <w:lvlJc w:val="left"/>
      <w:lvlText w:val="(%1)"/>
      <w:numFmt w:val="lowerLetter"/>
      <w:start w:val="1"/>
    </w:lvl>
  </w:abstractNum>
  <w:abstractNum w:abstractNumId="111">
    <w:nsid w:val="2708C9AF"/>
    <w:multiLevelType w:val="hybridMultilevel"/>
    <w:lvl w:ilvl="0">
      <w:lvlJc w:val="left"/>
      <w:lvlText w:val="(%1)"/>
      <w:numFmt w:val="lowerLetter"/>
      <w:start w:val="5"/>
    </w:lvl>
  </w:abstractNum>
  <w:abstractNum w:abstractNumId="112">
    <w:nsid w:val="5B25ACE2"/>
    <w:multiLevelType w:val="hybridMultilevel"/>
    <w:lvl w:ilvl="0">
      <w:lvlJc w:val="left"/>
      <w:lvlText w:val="(%1)"/>
      <w:numFmt w:val="lowerLetter"/>
      <w:start w:val="7"/>
    </w:lvl>
  </w:abstractNum>
  <w:abstractNum w:abstractNumId="113">
    <w:nsid w:val="175DFCF0"/>
    <w:multiLevelType w:val="hybridMultilevel"/>
    <w:lvl w:ilvl="0">
      <w:lvlJc w:val="left"/>
      <w:lvlText w:val="(%1)"/>
      <w:numFmt w:val="lowerLetter"/>
      <w:start w:val="10"/>
    </w:lvl>
  </w:abstractNum>
  <w:abstractNum w:abstractNumId="114">
    <w:nsid w:val="4F97E3E4"/>
    <w:multiLevelType w:val="hybridMultilevel"/>
    <w:lvl w:ilvl="0">
      <w:lvlJc w:val="left"/>
      <w:lvlText w:val="2"/>
      <w:numFmt w:val="bullet"/>
      <w:start w:val="1"/>
    </w:lvl>
  </w:abstractNum>
  <w:abstractNum w:abstractNumId="115">
    <w:nsid w:val="53B0A9E"/>
    <w:multiLevelType w:val="hybridMultilevel"/>
    <w:lvl w:ilvl="0">
      <w:lvlJc w:val="left"/>
      <w:lvlText w:val="(%1)"/>
      <w:numFmt w:val="lowerLetter"/>
      <w:start w:val="18"/>
    </w:lvl>
  </w:abstractNum>
  <w:abstractNum w:abstractNumId="116">
    <w:nsid w:val="34FD6B4F"/>
    <w:multiLevelType w:val="hybridMultilevel"/>
    <w:lvl w:ilvl="0">
      <w:lvlJc w:val="left"/>
      <w:lvlText w:val="*"/>
      <w:numFmt w:val="bullet"/>
      <w:start w:val="1"/>
    </w:lvl>
  </w:abstractNum>
  <w:abstractNum w:abstractNumId="117">
    <w:nsid w:val="5915FF32"/>
    <w:multiLevelType w:val="hybridMultilevel"/>
    <w:lvl w:ilvl="0">
      <w:lvlJc w:val="left"/>
      <w:lvlText w:val="*"/>
      <w:numFmt w:val="bullet"/>
      <w:start w:val="1"/>
    </w:lvl>
  </w:abstractNum>
  <w:abstractNum w:abstractNumId="118">
    <w:nsid w:val="56438D15"/>
    <w:multiLevelType w:val="hybridMultilevel"/>
    <w:lvl w:ilvl="0">
      <w:lvlJc w:val="left"/>
      <w:lvlText w:val="$"/>
      <w:numFmt w:val="bullet"/>
      <w:start w:val="1"/>
    </w:lvl>
  </w:abstractNum>
  <w:abstractNum w:abstractNumId="119">
    <w:nsid w:val="519E3149"/>
    <w:multiLevelType w:val="hybridMultilevel"/>
    <w:lvl w:ilvl="0">
      <w:lvlJc w:val="left"/>
      <w:lvlText w:val="$"/>
      <w:numFmt w:val="bullet"/>
      <w:start w:val="1"/>
    </w:lvl>
  </w:abstractNum>
  <w:abstractNum w:abstractNumId="120">
    <w:nsid w:val="2C6E4AFD"/>
    <w:multiLevelType w:val="hybridMultilevel"/>
    <w:lvl w:ilvl="0">
      <w:lvlJc w:val="left"/>
      <w:lvlText w:val="(%1)"/>
      <w:numFmt w:val="decimal"/>
      <w:start w:val="1"/>
    </w:lvl>
  </w:abstractNum>
  <w:abstractNum w:abstractNumId="121">
    <w:nsid w:val="17A1B582"/>
    <w:multiLevelType w:val="hybridMultilevel"/>
    <w:lvl w:ilvl="0">
      <w:lvlJc w:val="left"/>
      <w:lvlText w:val="(%1)"/>
      <w:numFmt w:val="decimal"/>
      <w:start w:val="1"/>
    </w:lvl>
  </w:abstractNum>
  <w:abstractNum w:abstractNumId="122">
    <w:nsid w:val="4DF72E4E"/>
    <w:multiLevelType w:val="hybridMultilevel"/>
    <w:lvl w:ilvl="0">
      <w:lvlJc w:val="left"/>
      <w:lvlText w:val="(%1)"/>
      <w:numFmt w:val="decimal"/>
      <w:start w:val="1"/>
    </w:lvl>
  </w:abstractNum>
  <w:abstractNum w:abstractNumId="123">
    <w:nsid w:val="5046B5A9"/>
    <w:multiLevelType w:val="hybridMultilevel"/>
    <w:lvl w:ilvl="0">
      <w:lvlJc w:val="left"/>
      <w:lvlText w:val="%1"/>
      <w:numFmt w:val="lowerLetter"/>
      <w:start w:val="1"/>
    </w:lvl>
    <w:lvl w:ilvl="1">
      <w:lvlJc w:val="left"/>
      <w:lvlText w:val="(%2)"/>
      <w:numFmt w:val="lowerLetter"/>
      <w:start w:val="9"/>
    </w:lvl>
    <w:lvl w:ilvl="2">
      <w:lvlJc w:val="left"/>
      <w:lvlText w:val="(%3)"/>
      <w:numFmt w:val="lowerRoman"/>
      <w:start w:val="2"/>
    </w:lvl>
  </w:abstractNum>
  <w:abstractNum w:abstractNumId="124">
    <w:nsid w:val="5D888A08"/>
    <w:multiLevelType w:val="hybridMultilevel"/>
    <w:lvl w:ilvl="0">
      <w:lvlJc w:val="left"/>
      <w:lvlText w:val="(%1)"/>
      <w:numFmt w:val="lowerLetter"/>
      <w:start w:val="2"/>
    </w:lvl>
    <w:lvl w:ilvl="1">
      <w:lvlJc w:val="left"/>
      <w:lvlText w:val="(%2)"/>
      <w:numFmt w:val="lowerLetter"/>
      <w:start w:val="3"/>
    </w:lvl>
    <w:lvl w:ilvl="2">
      <w:lvlJc w:val="left"/>
      <w:lvlText w:val="%3"/>
      <w:numFmt w:val="lowerRoman"/>
      <w:start w:val="1"/>
    </w:lvl>
  </w:abstractNum>
  <w:abstractNum w:abstractNumId="125">
    <w:nsid w:val="2A082C70"/>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126">
    <w:nsid w:val="5EC6AFD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27">
    <w:nsid w:val="19E21BB2"/>
    <w:multiLevelType w:val="hybridMultilevel"/>
    <w:lvl w:ilvl="0">
      <w:lvlJc w:val="left"/>
      <w:lvlText w:val="%1"/>
      <w:numFmt w:val="decimal"/>
      <w:start w:val="1"/>
    </w:lvl>
    <w:lvl w:ilvl="1">
      <w:lvlJc w:val="left"/>
      <w:lvlText w:val="(%2)"/>
      <w:numFmt w:val="lowerLetter"/>
      <w:start w:val="2"/>
    </w:lvl>
  </w:abstractNum>
  <w:abstractNum w:abstractNumId="128">
    <w:nsid w:val="75E0858A"/>
    <w:multiLevelType w:val="hybridMultilevel"/>
    <w:lvl w:ilvl="0">
      <w:lvlJc w:val="left"/>
      <w:lvlText w:val="(%1)"/>
      <w:numFmt w:val="decimal"/>
      <w:start w:val="6"/>
    </w:lvl>
    <w:lvl w:ilvl="1">
      <w:lvlJc w:val="left"/>
      <w:lvlText w:val="%2"/>
      <w:numFmt w:val="lowerLetter"/>
      <w:start w:val="1"/>
    </w:lvl>
  </w:abstractNum>
  <w:abstractNum w:abstractNumId="129">
    <w:nsid w:val="57A61A29"/>
    <w:multiLevelType w:val="hybridMultilevel"/>
    <w:lvl w:ilvl="0">
      <w:lvlJc w:val="left"/>
      <w:lvlText w:val="*"/>
      <w:numFmt w:val="bullet"/>
      <w:start w:val="1"/>
    </w:lvl>
  </w:abstractNum>
  <w:abstractNum w:abstractNumId="130">
    <w:nsid w:val="5399C654"/>
    <w:multiLevelType w:val="hybridMultilevel"/>
    <w:lvl w:ilvl="0">
      <w:lvlJc w:val="left"/>
      <w:lvlText w:val="$"/>
      <w:numFmt w:val="bullet"/>
      <w:start w:val="1"/>
    </w:lvl>
  </w:abstractNum>
  <w:abstractNum w:abstractNumId="131">
    <w:nsid w:val="20EE134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2019-12-07T05:17:38Z</dcterms:created>
  <dcterms:modified xsi:type="dcterms:W3CDTF">2019-12-07T05:17:38Z</dcterms:modified>
</cp:coreProperties>
</file>