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8,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On May 8, 2017, PennantPark Investment Corporation issued a press release announcing financial results for the second fiscal quarter ended March 31, 2017. A copy of the press release is furnished as Exhibit 99.1 to this report pursuant to Item 2.02 on Form 8-K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Investment Corporation dated May 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May 8, 2017</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of PennantPark Investment Corporation dated May 8, 2017</w:t>
      </w:r>
    </w:p>
    <w:p>
      <w:pPr>
        <w:sectPr>
          <w:pgSz w:w="11900" w:h="16838" w:orient="portrait"/>
          <w:cols w:equalWidth="0" w:num="1">
            <w:col w:w="10139"/>
          </w:cols>
          <w:pgMar w:left="320" w:top="337" w:right="1440"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auto"/>
        </w:rPr>
        <w:t>PennantPark Investment Corporation Announces Financial Results for the Quarter Ended March 31, 2017</w:t>
      </w:r>
    </w:p>
    <w:p>
      <w:pPr>
        <w:spacing w:after="0" w:line="224" w:lineRule="exact"/>
        <w:rPr>
          <w:sz w:val="20"/>
          <w:szCs w:val="20"/>
          <w:color w:val="auto"/>
        </w:rPr>
      </w:pPr>
    </w:p>
    <w:p>
      <w:pPr>
        <w:ind w:right="460"/>
        <w:spacing w:after="0" w:line="250" w:lineRule="auto"/>
        <w:rPr>
          <w:sz w:val="20"/>
          <w:szCs w:val="20"/>
          <w:color w:val="auto"/>
        </w:rPr>
      </w:pPr>
      <w:r>
        <w:rPr>
          <w:rFonts w:ascii="Arial" w:cs="Arial" w:eastAsia="Arial" w:hAnsi="Arial"/>
          <w:sz w:val="22"/>
          <w:szCs w:val="22"/>
          <w:color w:val="auto"/>
        </w:rPr>
        <w:t>NEW YORK, May 08, 2017 (GLOBE NEWSWIRE) -- PennantPark Investment Corporation (NASDAQ:PNNT) announced today financial results for the second fiscal quarter ended March 31, 2017.</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2"/>
          <w:szCs w:val="22"/>
          <w:color w:val="auto"/>
        </w:rPr>
        <w:t>HIGHLIGHTS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22"/>
          <w:szCs w:val="22"/>
          <w:color w:val="auto"/>
        </w:rPr>
        <w:t>Quarter ended March 31, 2017</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 in millions, except per share amounts)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460" w:type="dxa"/>
            <w:vAlign w:val="bottom"/>
          </w:tcPr>
          <w:p>
            <w:pPr>
              <w:spacing w:after="0"/>
              <w:rPr>
                <w:sz w:val="20"/>
                <w:szCs w:val="20"/>
                <w:color w:val="auto"/>
              </w:rPr>
            </w:pPr>
            <w:r>
              <w:rPr>
                <w:rFonts w:ascii="Arial" w:cs="Arial" w:eastAsia="Arial" w:hAnsi="Arial"/>
                <w:sz w:val="22"/>
                <w:szCs w:val="22"/>
                <w:color w:val="auto"/>
              </w:rPr>
              <w:t>Assets and Liabilities:</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460" w:type="dxa"/>
            <w:vAlign w:val="bottom"/>
          </w:tcPr>
          <w:p>
            <w:pPr>
              <w:ind w:left="120"/>
              <w:spacing w:after="0"/>
              <w:rPr>
                <w:sz w:val="20"/>
                <w:szCs w:val="20"/>
                <w:color w:val="auto"/>
              </w:rPr>
            </w:pPr>
            <w:r>
              <w:rPr>
                <w:rFonts w:ascii="Arial" w:cs="Arial" w:eastAsia="Arial" w:hAnsi="Arial"/>
                <w:sz w:val="22"/>
                <w:szCs w:val="22"/>
                <w:color w:val="auto"/>
              </w:rPr>
              <w:t>Investment portfolio</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w w:val="87"/>
              </w:rPr>
              <w:t>1,194.5</w:t>
            </w:r>
          </w:p>
        </w:tc>
      </w:tr>
      <w:tr>
        <w:trPr>
          <w:trHeight w:val="270"/>
        </w:trPr>
        <w:tc>
          <w:tcPr>
            <w:tcW w:w="4460" w:type="dxa"/>
            <w:vAlign w:val="bottom"/>
          </w:tcPr>
          <w:p>
            <w:pPr>
              <w:ind w:left="120"/>
              <w:spacing w:after="0"/>
              <w:rPr>
                <w:sz w:val="20"/>
                <w:szCs w:val="20"/>
                <w:color w:val="auto"/>
              </w:rPr>
            </w:pPr>
            <w:r>
              <w:rPr>
                <w:rFonts w:ascii="Arial" w:cs="Arial" w:eastAsia="Arial" w:hAnsi="Arial"/>
                <w:sz w:val="22"/>
                <w:szCs w:val="22"/>
                <w:color w:val="auto"/>
              </w:rPr>
              <w:t>Net assets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646.2</w:t>
            </w:r>
          </w:p>
        </w:tc>
      </w:tr>
      <w:tr>
        <w:trPr>
          <w:trHeight w:val="274"/>
        </w:trPr>
        <w:tc>
          <w:tcPr>
            <w:tcW w:w="4460" w:type="dxa"/>
            <w:vAlign w:val="bottom"/>
          </w:tcPr>
          <w:p>
            <w:pPr>
              <w:ind w:left="120"/>
              <w:spacing w:after="0"/>
              <w:rPr>
                <w:sz w:val="20"/>
                <w:szCs w:val="20"/>
                <w:color w:val="auto"/>
              </w:rPr>
            </w:pPr>
            <w:r>
              <w:rPr>
                <w:rFonts w:ascii="Arial" w:cs="Arial" w:eastAsia="Arial" w:hAnsi="Arial"/>
                <w:sz w:val="22"/>
                <w:szCs w:val="22"/>
                <w:color w:val="auto"/>
              </w:rPr>
              <w:t>Net asset value per share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9.09</w:t>
            </w:r>
          </w:p>
        </w:tc>
      </w:tr>
      <w:tr>
        <w:trPr>
          <w:trHeight w:val="536"/>
        </w:trPr>
        <w:tc>
          <w:tcPr>
            <w:tcW w:w="4460" w:type="dxa"/>
            <w:vAlign w:val="bottom"/>
          </w:tcPr>
          <w:p>
            <w:pPr>
              <w:ind w:left="120"/>
              <w:spacing w:after="0"/>
              <w:rPr>
                <w:sz w:val="20"/>
                <w:szCs w:val="20"/>
                <w:color w:val="auto"/>
              </w:rPr>
            </w:pPr>
            <w:r>
              <w:rPr>
                <w:rFonts w:ascii="Arial" w:cs="Arial" w:eastAsia="Arial" w:hAnsi="Arial"/>
                <w:sz w:val="22"/>
                <w:szCs w:val="22"/>
                <w:color w:val="auto"/>
              </w:rPr>
              <w:t>Credit Facility</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88.5</w:t>
            </w:r>
          </w:p>
        </w:tc>
      </w:tr>
      <w:tr>
        <w:trPr>
          <w:trHeight w:val="270"/>
        </w:trPr>
        <w:tc>
          <w:tcPr>
            <w:tcW w:w="4460" w:type="dxa"/>
            <w:vAlign w:val="bottom"/>
          </w:tcPr>
          <w:p>
            <w:pPr>
              <w:ind w:left="120"/>
              <w:spacing w:after="0"/>
              <w:rPr>
                <w:sz w:val="20"/>
                <w:szCs w:val="20"/>
                <w:color w:val="auto"/>
              </w:rPr>
            </w:pPr>
            <w:r>
              <w:rPr>
                <w:rFonts w:ascii="Arial" w:cs="Arial" w:eastAsia="Arial" w:hAnsi="Arial"/>
                <w:sz w:val="22"/>
                <w:szCs w:val="22"/>
                <w:color w:val="auto"/>
              </w:rPr>
              <w:t>2019 Notes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255.1</w:t>
            </w:r>
          </w:p>
        </w:tc>
      </w:tr>
      <w:tr>
        <w:trPr>
          <w:trHeight w:val="270"/>
        </w:trPr>
        <w:tc>
          <w:tcPr>
            <w:tcW w:w="4460" w:type="dxa"/>
            <w:vAlign w:val="bottom"/>
          </w:tcPr>
          <w:p>
            <w:pPr>
              <w:ind w:left="120"/>
              <w:spacing w:after="0"/>
              <w:rPr>
                <w:sz w:val="20"/>
                <w:szCs w:val="20"/>
                <w:color w:val="auto"/>
              </w:rPr>
            </w:pPr>
            <w:r>
              <w:rPr>
                <w:rFonts w:ascii="Arial" w:cs="Arial" w:eastAsia="Arial" w:hAnsi="Arial"/>
                <w:sz w:val="22"/>
                <w:szCs w:val="22"/>
                <w:color w:val="auto"/>
              </w:rPr>
              <w:t>SBA debentures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193.6</w:t>
            </w:r>
          </w:p>
        </w:tc>
      </w:tr>
      <w:tr>
        <w:trPr>
          <w:trHeight w:val="274"/>
        </w:trPr>
        <w:tc>
          <w:tcPr>
            <w:tcW w:w="4460" w:type="dxa"/>
            <w:vAlign w:val="bottom"/>
          </w:tcPr>
          <w:p>
            <w:pPr>
              <w:ind w:left="120"/>
              <w:spacing w:after="0"/>
              <w:rPr>
                <w:sz w:val="20"/>
                <w:szCs w:val="20"/>
                <w:color w:val="auto"/>
              </w:rPr>
            </w:pPr>
            <w:r>
              <w:rPr>
                <w:rFonts w:ascii="Arial" w:cs="Arial" w:eastAsia="Arial" w:hAnsi="Arial"/>
                <w:sz w:val="22"/>
                <w:szCs w:val="22"/>
                <w:color w:val="auto"/>
              </w:rPr>
              <w:t>2025 Notes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72.2</w:t>
            </w:r>
          </w:p>
        </w:tc>
      </w:tr>
      <w:tr>
        <w:trPr>
          <w:trHeight w:val="540"/>
        </w:trPr>
        <w:tc>
          <w:tcPr>
            <w:tcW w:w="4460" w:type="dxa"/>
            <w:vAlign w:val="bottom"/>
          </w:tcPr>
          <w:p>
            <w:pPr>
              <w:spacing w:after="0"/>
              <w:rPr>
                <w:sz w:val="20"/>
                <w:szCs w:val="20"/>
                <w:color w:val="auto"/>
              </w:rPr>
            </w:pPr>
            <w:r>
              <w:rPr>
                <w:rFonts w:ascii="Arial" w:cs="Arial" w:eastAsia="Arial" w:hAnsi="Arial"/>
                <w:sz w:val="22"/>
                <w:szCs w:val="22"/>
                <w:color w:val="auto"/>
              </w:rPr>
              <w:t>Yield on debt investments at quarter-end</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536"/>
        </w:trPr>
        <w:tc>
          <w:tcPr>
            <w:tcW w:w="4460" w:type="dxa"/>
            <w:vAlign w:val="bottom"/>
          </w:tcPr>
          <w:p>
            <w:pPr>
              <w:spacing w:after="0"/>
              <w:rPr>
                <w:sz w:val="20"/>
                <w:szCs w:val="20"/>
                <w:color w:val="auto"/>
              </w:rPr>
            </w:pPr>
            <w:r>
              <w:rPr>
                <w:rFonts w:ascii="Arial" w:cs="Arial" w:eastAsia="Arial" w:hAnsi="Arial"/>
                <w:sz w:val="22"/>
                <w:szCs w:val="22"/>
                <w:color w:val="auto"/>
              </w:rPr>
              <w:t>Operating Results: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460" w:type="dxa"/>
            <w:vAlign w:val="bottom"/>
          </w:tcPr>
          <w:p>
            <w:pPr>
              <w:ind w:left="120"/>
              <w:spacing w:after="0"/>
              <w:rPr>
                <w:sz w:val="20"/>
                <w:szCs w:val="20"/>
                <w:color w:val="auto"/>
              </w:rPr>
            </w:pPr>
            <w:r>
              <w:rPr>
                <w:rFonts w:ascii="Arial" w:cs="Arial" w:eastAsia="Arial" w:hAnsi="Arial"/>
                <w:sz w:val="22"/>
                <w:szCs w:val="22"/>
                <w:color w:val="auto"/>
              </w:rPr>
              <w:t>Net investment income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16.2</w:t>
            </w:r>
          </w:p>
        </w:tc>
      </w:tr>
      <w:tr>
        <w:trPr>
          <w:trHeight w:val="270"/>
        </w:trPr>
        <w:tc>
          <w:tcPr>
            <w:tcW w:w="4460" w:type="dxa"/>
            <w:vAlign w:val="bottom"/>
          </w:tcPr>
          <w:p>
            <w:pPr>
              <w:ind w:left="120"/>
              <w:spacing w:after="0"/>
              <w:rPr>
                <w:sz w:val="20"/>
                <w:szCs w:val="20"/>
                <w:color w:val="auto"/>
              </w:rPr>
            </w:pPr>
            <w:r>
              <w:rPr>
                <w:rFonts w:ascii="Arial" w:cs="Arial" w:eastAsia="Arial" w:hAnsi="Arial"/>
                <w:sz w:val="22"/>
                <w:szCs w:val="22"/>
                <w:color w:val="auto"/>
              </w:rPr>
              <w:t>Net investment income per share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0.23</w:t>
            </w:r>
          </w:p>
        </w:tc>
      </w:tr>
      <w:tr>
        <w:trPr>
          <w:trHeight w:val="274"/>
        </w:trPr>
        <w:tc>
          <w:tcPr>
            <w:tcW w:w="4460" w:type="dxa"/>
            <w:vAlign w:val="bottom"/>
          </w:tcPr>
          <w:p>
            <w:pPr>
              <w:ind w:left="120"/>
              <w:spacing w:after="0"/>
              <w:rPr>
                <w:sz w:val="20"/>
                <w:szCs w:val="20"/>
                <w:color w:val="auto"/>
              </w:rPr>
            </w:pPr>
            <w:r>
              <w:rPr>
                <w:rFonts w:ascii="Arial" w:cs="Arial" w:eastAsia="Arial" w:hAnsi="Arial"/>
                <w:sz w:val="22"/>
                <w:szCs w:val="22"/>
                <w:color w:val="auto"/>
              </w:rPr>
              <w:t>Distributions declared per share</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0.18</w:t>
            </w:r>
          </w:p>
        </w:tc>
      </w:tr>
      <w:tr>
        <w:trPr>
          <w:trHeight w:val="536"/>
        </w:trPr>
        <w:tc>
          <w:tcPr>
            <w:tcW w:w="4460" w:type="dxa"/>
            <w:vAlign w:val="bottom"/>
          </w:tcPr>
          <w:p>
            <w:pPr>
              <w:spacing w:after="0"/>
              <w:rPr>
                <w:sz w:val="20"/>
                <w:szCs w:val="20"/>
                <w:color w:val="auto"/>
              </w:rPr>
            </w:pPr>
            <w:r>
              <w:rPr>
                <w:rFonts w:ascii="Arial" w:cs="Arial" w:eastAsia="Arial" w:hAnsi="Arial"/>
                <w:sz w:val="22"/>
                <w:szCs w:val="22"/>
                <w:color w:val="auto"/>
              </w:rPr>
              <w:t>Portfolio Activity: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460" w:type="dxa"/>
            <w:vAlign w:val="bottom"/>
          </w:tcPr>
          <w:p>
            <w:pPr>
              <w:ind w:left="120"/>
              <w:spacing w:after="0"/>
              <w:rPr>
                <w:sz w:val="20"/>
                <w:szCs w:val="20"/>
                <w:color w:val="auto"/>
              </w:rPr>
            </w:pPr>
            <w:r>
              <w:rPr>
                <w:rFonts w:ascii="Arial" w:cs="Arial" w:eastAsia="Arial" w:hAnsi="Arial"/>
                <w:sz w:val="22"/>
                <w:szCs w:val="22"/>
                <w:color w:val="auto"/>
              </w:rPr>
              <w:t>Purchases of investments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60.5</w:t>
            </w:r>
          </w:p>
        </w:tc>
      </w:tr>
      <w:tr>
        <w:trPr>
          <w:trHeight w:val="274"/>
        </w:trPr>
        <w:tc>
          <w:tcPr>
            <w:tcW w:w="4460" w:type="dxa"/>
            <w:vAlign w:val="bottom"/>
          </w:tcPr>
          <w:p>
            <w:pPr>
              <w:ind w:left="120"/>
              <w:spacing w:after="0"/>
              <w:rPr>
                <w:sz w:val="20"/>
                <w:szCs w:val="20"/>
                <w:color w:val="auto"/>
              </w:rPr>
            </w:pPr>
            <w:r>
              <w:rPr>
                <w:rFonts w:ascii="Arial" w:cs="Arial" w:eastAsia="Arial" w:hAnsi="Arial"/>
                <w:sz w:val="22"/>
                <w:szCs w:val="22"/>
                <w:color w:val="auto"/>
              </w:rPr>
              <w:t>Sales and repayments of investments</w:t>
            </w: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202.0</w:t>
            </w:r>
          </w:p>
        </w:tc>
      </w:tr>
      <w:tr>
        <w:trPr>
          <w:trHeight w:val="536"/>
        </w:trPr>
        <w:tc>
          <w:tcPr>
            <w:tcW w:w="4460" w:type="dxa"/>
            <w:vAlign w:val="bottom"/>
          </w:tcPr>
          <w:p>
            <w:pPr>
              <w:ind w:left="120"/>
              <w:spacing w:after="0"/>
              <w:rPr>
                <w:sz w:val="20"/>
                <w:szCs w:val="20"/>
                <w:color w:val="auto"/>
              </w:rPr>
            </w:pPr>
            <w:r>
              <w:rPr>
                <w:rFonts w:ascii="Arial" w:cs="Arial" w:eastAsia="Arial" w:hAnsi="Arial"/>
                <w:sz w:val="22"/>
                <w:szCs w:val="22"/>
                <w:color w:val="auto"/>
                <w:w w:val="99"/>
              </w:rPr>
              <w:t>Number of new portfolio companies invested</w:t>
            </w:r>
          </w:p>
        </w:tc>
        <w:tc>
          <w:tcPr>
            <w:tcW w:w="220" w:type="dxa"/>
            <w:vAlign w:val="bottom"/>
          </w:tcPr>
          <w:p>
            <w:pPr>
              <w:spacing w:after="0"/>
              <w:rPr>
                <w:sz w:val="24"/>
                <w:szCs w:val="24"/>
                <w:color w:val="auto"/>
              </w:rPr>
            </w:pP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3</w:t>
            </w:r>
          </w:p>
        </w:tc>
      </w:tr>
      <w:tr>
        <w:trPr>
          <w:trHeight w:val="270"/>
        </w:trPr>
        <w:tc>
          <w:tcPr>
            <w:tcW w:w="4460" w:type="dxa"/>
            <w:vAlign w:val="bottom"/>
          </w:tcPr>
          <w:p>
            <w:pPr>
              <w:ind w:left="120"/>
              <w:spacing w:after="0"/>
              <w:rPr>
                <w:sz w:val="20"/>
                <w:szCs w:val="20"/>
                <w:color w:val="auto"/>
              </w:rPr>
            </w:pPr>
            <w:r>
              <w:rPr>
                <w:rFonts w:ascii="Arial" w:cs="Arial" w:eastAsia="Arial" w:hAnsi="Arial"/>
                <w:sz w:val="22"/>
                <w:szCs w:val="22"/>
                <w:color w:val="auto"/>
                <w:w w:val="92"/>
              </w:rPr>
              <w:t>Number of existing portfolio companies invested</w:t>
            </w:r>
          </w:p>
        </w:tc>
        <w:tc>
          <w:tcPr>
            <w:tcW w:w="220" w:type="dxa"/>
            <w:vAlign w:val="bottom"/>
          </w:tcPr>
          <w:p>
            <w:pPr>
              <w:spacing w:after="0"/>
              <w:rPr>
                <w:sz w:val="23"/>
                <w:szCs w:val="23"/>
                <w:color w:val="auto"/>
              </w:rPr>
            </w:pP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7</w:t>
            </w:r>
          </w:p>
        </w:tc>
      </w:tr>
      <w:tr>
        <w:trPr>
          <w:trHeight w:val="274"/>
        </w:trPr>
        <w:tc>
          <w:tcPr>
            <w:tcW w:w="4460" w:type="dxa"/>
            <w:vAlign w:val="bottom"/>
          </w:tcPr>
          <w:p>
            <w:pPr>
              <w:ind w:left="120"/>
              <w:spacing w:after="0"/>
              <w:rPr>
                <w:sz w:val="20"/>
                <w:szCs w:val="20"/>
                <w:color w:val="auto"/>
              </w:rPr>
            </w:pPr>
            <w:r>
              <w:rPr>
                <w:rFonts w:ascii="Arial" w:cs="Arial" w:eastAsia="Arial" w:hAnsi="Arial"/>
                <w:sz w:val="22"/>
                <w:szCs w:val="22"/>
                <w:color w:val="auto"/>
                <w:w w:val="97"/>
              </w:rPr>
              <w:t>Number of portfolio companies at quarter-end</w:t>
            </w:r>
          </w:p>
        </w:tc>
        <w:tc>
          <w:tcPr>
            <w:tcW w:w="220" w:type="dxa"/>
            <w:vAlign w:val="bottom"/>
          </w:tcPr>
          <w:p>
            <w:pPr>
              <w:spacing w:after="0"/>
              <w:rPr>
                <w:sz w:val="23"/>
                <w:szCs w:val="23"/>
                <w:color w:val="auto"/>
              </w:rPr>
            </w:pPr>
          </w:p>
        </w:tc>
        <w:tc>
          <w:tcPr>
            <w:tcW w:w="880" w:type="dxa"/>
            <w:vAlign w:val="bottom"/>
          </w:tcPr>
          <w:p>
            <w:pPr>
              <w:jc w:val="right"/>
              <w:ind w:right="112"/>
              <w:spacing w:after="0"/>
              <w:rPr>
                <w:sz w:val="20"/>
                <w:szCs w:val="20"/>
                <w:color w:val="auto"/>
              </w:rPr>
            </w:pPr>
            <w:r>
              <w:rPr>
                <w:rFonts w:ascii="Arial" w:cs="Arial" w:eastAsia="Arial" w:hAnsi="Arial"/>
                <w:sz w:val="22"/>
                <w:szCs w:val="22"/>
                <w:color w:val="auto"/>
              </w:rPr>
              <w:t>56</w:t>
            </w: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MAY 9, 2017</w:t>
      </w:r>
    </w:p>
    <w:p>
      <w:pPr>
        <w:spacing w:after="0" w:line="21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PennantPark Investment Corporation (“we,” “our,” “us” or “Company”) will host a conference call at 10:00 a.m. (Eastern Time) on Tuesday, May 9, 2017 to discuss its financial results. All interested parties are welcome to participate. You can access the conference call by dialing (877) 874-1571 approximately 5-10 minutes prior to the call. International callers should dial (719) 325-4849. All callers should reference PennantPark Investment Corporation. An archived replay of the call will be available through May 23, 2017 by calling (888) 203-1112. International callers please dial (719) 457-0820. For all phone replays, please reference conference ID #3262779.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As of March 31, 2017, our portfolio totaled $1,194.5 million and consisted of $499.9 million of senior secured debt, $387.5 million of second lien secured debt, $167.5 million of subordinated debt and $139.6 million of preferred and common equity. Our debt portfolio consisted of 83% variable-rate investments (including 81% with a floor) and 17% fixed-rate investments. As of March 31, 2017, we had one company on non-accrual, representing 0.3% and 0.3% of our overall portfolio on a cost and fair value basis, respectively. Overall, the portfolio had net unrealized depreciation of $54.8 million as of March 31, 2017. Our overall portfolio consisted of 56 companies with an average investment size of $21.3 million, had a weighted average yield on interest bearing debt investments of 11.9% and was invested 42% in senior secured debt, 32% in second lien secured debt, 14% in subordinated debt and 12% in preferred and common equity.</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with a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21"/>
          <w:szCs w:val="21"/>
          <w:color w:val="auto"/>
        </w:rPr>
        <w:t>For the three months ended March 31, 2017, we invested $60.5 million in three new and seven existing portfolio companies with a weighted average yield on debt investments of 9.5%. Sales and repayments of investments for the three months ended March 31, 2017 totaled $202.0 million. For the six months ended March 31, 2017, we invested $289.7 million in 12 new and 14 existing portfolio companies with a weighted average yield on debt investments of 10.8%. Sales and repayments of investments for the six months ended March 31, 2017 totaled $266.2 million.</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For the three months ended March 31, 2016, we invested $86.5 million in two new and four existing portfolio companies with a weighted average yield on debt investments of 10.8%. Sales and repayments of investments for the three months ended March 31, 2016 totaled $92.9 million. For the six months ended March 31, 2016, we invested $216.8 million in six new and 10 existing portfolio companies with a weighted average yield on debt investments of 11.7%. Sales and repayments of investments for the six months ended March 31, 2016 totaled $201.0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six months ended March 31, 2017 and 2016.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Investment income for the three and six months ended March 31, 2017 was $33.7 million and $65.6 million, respectively, and was attributable to $15.2 million and $28.3 million from senior secured loans, $13.0 million and $25.6 million from second lien secured debt, $5.5 million and $11.7 million from subordinated debt, preferred and common equity, respectively. This compares to investment income for the three and six months ended March 31, 2016, which was $39.1 million and $74.4 million, respectively, and was attributable to $19.6 million and $32.5 million from senior secured loans, $13.8 million and $31.2 million from second lien secured debt and $5.7 million and $10.7 million from subordinated debt, preferred and common equity, respectively. The decrease in investment income compared with the same periods in the prior year was primarily due to a lower yielding portfolio.</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Net expenses for the three and six months ended March 31, 2017 totaled $17.5 million and $34.4 million, respectively. Base management fee for the same periods totaled $5.3 million (after a base management fee waiver of $1.0 million) and $10.6 million (after a base management fee waiver of $2.0 million), incentive fee totaled $3.1 million (after an incentive fee waiver of $0.6 million) and $5.9 million (after an incentive fee waiver of $1.1 million), debt related interest and expenses totaled $7.2 million and $13.9 million, general and administrative expenses totaled $1.5 million and $3.1 million and provision for taxes totaled $0.4 million and $0.9 million, respectively. This compares to expenses for the three and six months ended March 31, 2016, which totaled $18.3 million and $36.7 million, respectively. Base management fee for the same periods totaled $5.1 million (after a base management fee waiver of $1.0 million) and $10.6 million (after a base management fee waiver of $2.0 million), incentive fee totaled $4.0 million (after an incentive fee waiver of $0.7 million) and $7.2 million (after an incentive fee waiver of $1.4 million), debt related interest and expenses totaled $6.9 million and $13.7 million, general and administrative expenses totaled $1.9 million and $3.5 million and provision for taxes totaled $0.4 million and $1.7 million, respectively. The decrease in expenses compared with the same periods in the prior year was primarily due to lower incentive fees and general and administrative expenses.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investment income totaled $16.2 million and $31.2 million, or $0.23 and $0.44 per share, for the three and six months ended March 31, 2017, respectively. Net investment income totaled $20.8 million and $37.7 million, or $0.29 and $0.52 per share, for the three and six months ended March 31, 2016, respectively. The decrease in net investment income per share compared to the same periods in the prior year was primarily due to the repayments of higher yielding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Sales and repayments of investments for the three and six months ended March 31, 2017 totaled $202.0 million and $266.2 million, respectively, and realized losses totaled $18.7 million and $40.9 million, respectively. Sales and repayments of investments for the three and six months ended March 31, 2016 totaled $92.9 million and $201.0 million, respectively, and realized losses totaled $11.2 million and $36.6 million, respectively. The increase in realized losses was primarily due to changes in the market conditions of our investments and the values at which they were realized.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the three and six months ended March 31, 2017, we reported a net change in unrealized appreciation on investments of $20.2 million and $45.5 million, respectively. For the three and six months ended March 31, 2016, we reported a net change in unrealized depreciation on investments of $16.0 million and $55.9 million, respectively. As of March 31, 2017 and September 30, 2016, our net unrealized depreciation on investments totaled $54.8 million and $100.3 million, respectively. The net change in unrealized appreciation (depreciation) on our investments was driven primarily by changes in the capital market conditions, the financial performance of certain portfolio companies and the reversal of unrealized depreciation (appreciation) of investments that were realized.</w:t>
      </w:r>
    </w:p>
    <w:p>
      <w:pPr>
        <w:spacing w:after="0" w:line="191"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For the three and six months ended March 31, 2017, we reported a net change in unrealized appreciation on our multi-currency, senior secured revolving credit facility, as amended and restated, or the Credit Facility, our 4.50% notes due 2019, or 2019 Notes,</w:t>
      </w:r>
    </w:p>
    <w:p>
      <w:pPr>
        <w:sectPr>
          <w:pgSz w:w="11900" w:h="16838" w:orient="portrait"/>
          <w:cols w:equalWidth="0" w:num="1">
            <w:col w:w="11240"/>
          </w:cols>
          <w:pgMar w:left="320" w:top="118" w:right="339" w:bottom="0" w:gutter="0" w:footer="0" w:header="0"/>
        </w:sectPr>
      </w:pPr>
    </w:p>
    <w:bookmarkStart w:id="6" w:name="page7"/>
    <w:bookmarkEnd w:id="6"/>
    <w:p>
      <w:pPr>
        <w:spacing w:after="0" w:line="3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and our 6.25% notes due 2025, or 2025 Notes, of $6.1 million and $0.3 million, respectively. For the three and six months ended March 31, 2016, we reported a net change in unrealized depreciation on our Credit Facility, 2019 Notes and 2025 Notes of $10.3 million and $18.0 million, respectively. The change compared with the same periods in the prior year was primarily due to changes in the capital markets.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Net change in net assets resulting from operations totaled $11.5 million and $35.5 million, or $0.16 and $0.50 per share, for the three and six months ended March 31, 2017, respectively. This compares to a net change in net assets resulting from operations of $3.9 million and $(36.8) million, or $0.06 and $(0.51) per share, for the three and six months ended March 31, 2016, respectively. The increase in the net change in net assets from operations compared with the same periods in the prior year reflects the change in portfolio investment values during the reporting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annualized weighted average cost of debt for the six months ended March 31, 2017 and 2016, inclusive of the fee on the undrawn commitment on the Credit Facility, amortized upfront fees on SBA debentures and debt issuance costs, was 4.38% and 4.42%, respectively.</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of March 31, 2017 and September 30, 2016, there was $99.6 million and $50.3 million, respectively, in outstanding borrowings under the Credit Facility. The Credit Facility had a weighted average interest rate of 2.62% and 2.76%, as of March 31, 2017 and September 30, 2016, respectively, excluding the undrawn commitment fees of 0.375%. The Credit Facility is a five-year revolving facility with a stated maturity date of June 25, 2019, a one-year term-out period following its fourth year and pricing is set at 225 basis points over LIBOR. As of March 31, 2017 and September 30, 2016, we had $445.4 million and $494.7 million of unused borrowing capacity under our Credit Facility, respectively, subject to the regulatory restrictions.</w:t>
      </w:r>
    </w:p>
    <w:p>
      <w:pPr>
        <w:spacing w:after="0" w:line="150"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March 31, 2017 and September 30, 2016, we had $250.0 million in aggregate principal amount of 2019 Notes outstanding, with a fixed interest rate of 4.50% per year. As of March 31, 2017 and September 30, 2016, we had $71.3 million in aggregate principal amount of 2025 Notes outstanding, with a fixed interest rate of 6.25% per year. As of March 31, 2017 and September 30, 2016, our SBIC Funds had $225.0 million in debt commitments, of which $197.5 million was drawn, respectively.</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At March 31, 2017 and September 30, 2016, we had cash and cash equivalents of $66.6 million and $75.6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operating activities used cash of $18.8 million for the six months ended March 31, 2017, and our financing activities provided cash of $9.5 million for the same period. Our operating activities used cash primarily for our investment activities and our financing activities provided cash primarily for net borrowings under our Credit Facility.</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operating activities provided cash of $9.9 million for the six months ended March 31, 2016, and our financing activities used cash of $26.3 million for the same period. Our operating activities provided cash from sales and repayments on our investments and our financing activities used cash primarily for our stock repurchase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During the three and six months ended March 31, 2017, we declared distributions of $0.18 and $0.46 per share, respectively, for total distributions of $12.8 million and $32.7 million, respectively. For the same periods in the prior year, we declared distributions of $0.28 and $0.56 per share, respectively, for total distributions of $19.9 million and $40.0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ectPr>
          <w:pgSz w:w="11900" w:h="16876" w:orient="portrait"/>
          <w:cols w:equalWidth="0" w:num="1">
            <w:col w:w="11240"/>
          </w:cols>
          <w:pgMar w:left="320" w:top="11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INVESTMENT CORPORATION AND SUBSIDIARIES</w:t>
      </w:r>
    </w:p>
    <w:p>
      <w:pPr>
        <w:sectPr>
          <w:pgSz w:w="11900" w:h="16876" w:orient="portrait"/>
          <w:cols w:equalWidth="0" w:num="1">
            <w:col w:w="11240"/>
          </w:cols>
          <w:pgMar w:left="320" w:top="118" w:right="3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80"/>
        </w:trPr>
        <w:tc>
          <w:tcPr>
            <w:tcW w:w="9500" w:type="dxa"/>
            <w:vAlign w:val="bottom"/>
            <w:gridSpan w:val="4"/>
          </w:tcPr>
          <w:p>
            <w:pPr>
              <w:ind w:left="2420"/>
              <w:spacing w:after="0"/>
              <w:rPr>
                <w:sz w:val="20"/>
                <w:szCs w:val="20"/>
                <w:color w:val="auto"/>
              </w:rPr>
            </w:pPr>
            <w:r>
              <w:rPr>
                <w:rFonts w:ascii="Arial" w:cs="Arial" w:eastAsia="Arial" w:hAnsi="Arial"/>
                <w:sz w:val="22"/>
                <w:szCs w:val="22"/>
                <w:b w:val="1"/>
                <w:bCs w:val="1"/>
                <w:color w:val="auto"/>
              </w:rPr>
              <w:t>CONSOLIDATED STATEMENTS OF ASSETS AND LIABILITIES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3"/>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22"/>
                <w:szCs w:val="22"/>
                <w:b w:val="1"/>
                <w:bCs w:val="1"/>
                <w:color w:val="auto"/>
                <w:w w:val="92"/>
              </w:rPr>
              <w:t>March 31,</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180"/>
              <w:spacing w:after="0" w:line="243" w:lineRule="exact"/>
              <w:rPr>
                <w:sz w:val="20"/>
                <w:szCs w:val="20"/>
                <w:color w:val="auto"/>
              </w:rPr>
            </w:pPr>
            <w:r>
              <w:rPr>
                <w:rFonts w:ascii="Arial" w:cs="Arial" w:eastAsia="Arial" w:hAnsi="Arial"/>
                <w:sz w:val="22"/>
                <w:szCs w:val="22"/>
                <w:b w:val="1"/>
                <w:bCs w:val="1"/>
                <w:color w:val="auto"/>
                <w:w w:val="89"/>
              </w:rPr>
              <w:t>September 30,</w:t>
            </w:r>
          </w:p>
        </w:tc>
      </w:tr>
      <w:tr>
        <w:trPr>
          <w:trHeight w:val="280"/>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22"/>
                <w:szCs w:val="22"/>
                <w:b w:val="1"/>
                <w:bCs w:val="1"/>
                <w:color w:val="auto"/>
                <w:w w:val="90"/>
              </w:rPr>
              <w:t>(unaudited)</w:t>
            </w:r>
          </w:p>
        </w:tc>
        <w:tc>
          <w:tcPr>
            <w:tcW w:w="160" w:type="dxa"/>
            <w:vAlign w:val="bottom"/>
          </w:tcPr>
          <w:p>
            <w:pPr>
              <w:spacing w:after="0"/>
              <w:rPr>
                <w:sz w:val="24"/>
                <w:szCs w:val="24"/>
                <w:color w:val="auto"/>
              </w:rPr>
            </w:pPr>
          </w:p>
        </w:tc>
        <w:tc>
          <w:tcPr>
            <w:tcW w:w="1460" w:type="dxa"/>
            <w:vAlign w:val="bottom"/>
          </w:tcPr>
          <w:p>
            <w:pPr>
              <w:jc w:val="right"/>
              <w:ind w:right="432"/>
              <w:spacing w:after="0"/>
              <w:rPr>
                <w:sz w:val="20"/>
                <w:szCs w:val="20"/>
                <w:color w:val="auto"/>
              </w:rPr>
            </w:pPr>
            <w:r>
              <w:rPr>
                <w:rFonts w:ascii="Arial" w:cs="Arial" w:eastAsia="Arial" w:hAnsi="Arial"/>
                <w:sz w:val="22"/>
                <w:szCs w:val="22"/>
                <w:b w:val="1"/>
                <w:bCs w:val="1"/>
                <w:color w:val="auto"/>
              </w:rPr>
              <w:t>2016</w:t>
            </w:r>
          </w:p>
        </w:tc>
        <w:tc>
          <w:tcPr>
            <w:tcW w:w="80" w:type="dxa"/>
            <w:vAlign w:val="bottom"/>
          </w:tcPr>
          <w:p>
            <w:pPr>
              <w:spacing w:after="0"/>
              <w:rPr>
                <w:sz w:val="24"/>
                <w:szCs w:val="24"/>
                <w:color w:val="auto"/>
              </w:rPr>
            </w:pPr>
          </w:p>
        </w:tc>
      </w:tr>
      <w:tr>
        <w:trPr>
          <w:trHeight w:val="259"/>
        </w:trPr>
        <w:tc>
          <w:tcPr>
            <w:tcW w:w="798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980" w:type="dxa"/>
            <w:vAlign w:val="bottom"/>
          </w:tcPr>
          <w:p>
            <w:pPr>
              <w:ind w:left="260"/>
              <w:spacing w:after="0" w:line="243" w:lineRule="exact"/>
              <w:rPr>
                <w:sz w:val="20"/>
                <w:szCs w:val="20"/>
                <w:color w:val="auto"/>
              </w:rPr>
            </w:pPr>
            <w:r>
              <w:rPr>
                <w:rFonts w:ascii="Arial" w:cs="Arial" w:eastAsia="Arial" w:hAnsi="Arial"/>
                <w:sz w:val="22"/>
                <w:szCs w:val="22"/>
                <w:color w:val="auto"/>
                <w:w w:val="95"/>
              </w:rPr>
              <w:t>Non-controlled, non-affiliated investments (cost—$806,381,197 and $805,189,545,</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rPr>
                <w:sz w:val="20"/>
                <w:szCs w:val="20"/>
                <w:color w:val="auto"/>
              </w:rPr>
            </w:pPr>
            <w:r>
              <w:rPr>
                <w:rFonts w:ascii="Arial" w:cs="Arial" w:eastAsia="Arial" w:hAnsi="Arial"/>
                <w:sz w:val="22"/>
                <w:szCs w:val="22"/>
                <w:color w:val="auto"/>
              </w:rPr>
              <w:t>827,414,297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Pr>
          <w:p>
            <w:pPr>
              <w:jc w:val="right"/>
              <w:spacing w:after="0"/>
              <w:rPr>
                <w:sz w:val="20"/>
                <w:szCs w:val="20"/>
                <w:color w:val="auto"/>
              </w:rPr>
            </w:pPr>
            <w:r>
              <w:rPr>
                <w:rFonts w:ascii="Arial" w:cs="Arial" w:eastAsia="Arial" w:hAnsi="Arial"/>
                <w:sz w:val="22"/>
                <w:szCs w:val="22"/>
                <w:color w:val="auto"/>
              </w:rPr>
              <w:t>813,467,491</w:t>
            </w:r>
          </w:p>
        </w:tc>
        <w:tc>
          <w:tcPr>
            <w:tcW w:w="80" w:type="dxa"/>
            <w:vAlign w:val="bottom"/>
          </w:tcPr>
          <w:p>
            <w:pPr>
              <w:spacing w:after="0"/>
              <w:rPr>
                <w:sz w:val="23"/>
                <w:szCs w:val="23"/>
                <w:color w:val="auto"/>
              </w:rPr>
            </w:pPr>
          </w:p>
        </w:tc>
      </w:tr>
      <w:tr>
        <w:trPr>
          <w:trHeight w:val="243"/>
        </w:trPr>
        <w:tc>
          <w:tcPr>
            <w:tcW w:w="7980" w:type="dxa"/>
            <w:vAlign w:val="bottom"/>
          </w:tcPr>
          <w:p>
            <w:pPr>
              <w:ind w:left="260"/>
              <w:spacing w:after="0" w:line="243" w:lineRule="exact"/>
              <w:rPr>
                <w:sz w:val="20"/>
                <w:szCs w:val="20"/>
                <w:color w:val="auto"/>
              </w:rPr>
            </w:pPr>
            <w:r>
              <w:rPr>
                <w:rFonts w:ascii="Arial" w:cs="Arial" w:eastAsia="Arial" w:hAnsi="Arial"/>
                <w:sz w:val="22"/>
                <w:szCs w:val="22"/>
                <w:color w:val="auto"/>
              </w:rPr>
              <w:t>Non-controlled, affiliated investments (cost—$247,342,695 and $262,476,906,</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9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242,689,039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215,192,547</w:t>
            </w:r>
          </w:p>
        </w:tc>
        <w:tc>
          <w:tcPr>
            <w:tcW w:w="80" w:type="dxa"/>
            <w:vAlign w:val="bottom"/>
          </w:tcPr>
          <w:p>
            <w:pPr>
              <w:spacing w:after="0"/>
              <w:rPr>
                <w:sz w:val="23"/>
                <w:szCs w:val="23"/>
                <w:color w:val="auto"/>
              </w:rPr>
            </w:pPr>
          </w:p>
        </w:tc>
      </w:tr>
      <w:tr>
        <w:trPr>
          <w:trHeight w:val="243"/>
        </w:trPr>
        <w:tc>
          <w:tcPr>
            <w:tcW w:w="7980" w:type="dxa"/>
            <w:vAlign w:val="bottom"/>
          </w:tcPr>
          <w:p>
            <w:pPr>
              <w:ind w:left="260"/>
              <w:spacing w:after="0" w:line="243" w:lineRule="exact"/>
              <w:rPr>
                <w:sz w:val="20"/>
                <w:szCs w:val="20"/>
                <w:color w:val="auto"/>
              </w:rPr>
            </w:pPr>
            <w:r>
              <w:rPr>
                <w:rFonts w:ascii="Arial" w:cs="Arial" w:eastAsia="Arial" w:hAnsi="Arial"/>
                <w:sz w:val="22"/>
                <w:szCs w:val="22"/>
                <w:color w:val="auto"/>
              </w:rPr>
              <w:t>Controlled, affiliated investments (cost—$195,523,633 and $186,290,695,</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4"/>
        </w:trPr>
        <w:tc>
          <w:tcPr>
            <w:tcW w:w="798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124,376,311</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125,019,637</w:t>
            </w:r>
          </w:p>
        </w:tc>
        <w:tc>
          <w:tcPr>
            <w:tcW w:w="80" w:type="dxa"/>
            <w:vAlign w:val="bottom"/>
          </w:tcPr>
          <w:p>
            <w:pPr>
              <w:spacing w:after="0"/>
              <w:rPr>
                <w:sz w:val="23"/>
                <w:szCs w:val="23"/>
                <w:color w:val="auto"/>
              </w:rPr>
            </w:pPr>
          </w:p>
        </w:tc>
      </w:tr>
      <w:tr>
        <w:trPr>
          <w:trHeight w:val="259"/>
        </w:trPr>
        <w:tc>
          <w:tcPr>
            <w:tcW w:w="7980" w:type="dxa"/>
            <w:vAlign w:val="bottom"/>
          </w:tcPr>
          <w:p>
            <w:pPr>
              <w:ind w:left="260"/>
              <w:spacing w:after="0"/>
              <w:rPr>
                <w:sz w:val="20"/>
                <w:szCs w:val="20"/>
                <w:color w:val="auto"/>
              </w:rPr>
            </w:pPr>
            <w:r>
              <w:rPr>
                <w:rFonts w:ascii="Arial" w:cs="Arial" w:eastAsia="Arial" w:hAnsi="Arial"/>
                <w:sz w:val="22"/>
                <w:szCs w:val="22"/>
                <w:color w:val="auto"/>
              </w:rPr>
              <w:t>Total of investments (cost—$1,249,247,525 and $1,253,957,146, respectively)</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w w:val="88"/>
              </w:rPr>
              <w:t>1,194,479,647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1,153,679,675</w:t>
            </w:r>
          </w:p>
        </w:tc>
        <w:tc>
          <w:tcPr>
            <w:tcW w:w="80" w:type="dxa"/>
            <w:vAlign w:val="bottom"/>
          </w:tcPr>
          <w:p>
            <w:pPr>
              <w:spacing w:after="0"/>
              <w:rPr>
                <w:sz w:val="22"/>
                <w:szCs w:val="22"/>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Cash and cash equivalents (cost—$66,560,479 and $75,617,133,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66,565,207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75,608,113</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10,167,252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7,032,858</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12,086,044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2,275,115</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2,615,232</w:t>
            </w:r>
          </w:p>
        </w:tc>
        <w:tc>
          <w:tcPr>
            <w:tcW w:w="80" w:type="dxa"/>
            <w:vAlign w:val="bottom"/>
          </w:tcPr>
          <w:p>
            <w:pPr>
              <w:spacing w:after="0"/>
              <w:rPr>
                <w:sz w:val="23"/>
                <w:szCs w:val="23"/>
                <w:color w:val="auto"/>
              </w:rPr>
            </w:pP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1,285,573,265</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1,238,935,878</w:t>
            </w:r>
          </w:p>
        </w:tc>
        <w:tc>
          <w:tcPr>
            <w:tcW w:w="80" w:type="dxa"/>
            <w:vAlign w:val="bottom"/>
          </w:tcPr>
          <w:p>
            <w:pPr>
              <w:spacing w:after="0"/>
              <w:rPr>
                <w:sz w:val="23"/>
                <w:szCs w:val="23"/>
                <w:color w:val="auto"/>
              </w:rPr>
            </w:pPr>
          </w:p>
        </w:tc>
      </w:tr>
      <w:tr>
        <w:trPr>
          <w:trHeight w:val="256"/>
        </w:trPr>
        <w:tc>
          <w:tcPr>
            <w:tcW w:w="798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12,790,950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19,897,034</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Credit Facility payable (cost—$99,586,300 and $50,339,700, respectively)</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88,491,651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39,551,187</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2019 Notes payable (par—$250,000,000)</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255,137,500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254,175,000</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SBA debentures payable, net (par—$197,500,000)</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193,579,200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193,244,534</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2025 Notes payable (par—$71,250,000)</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72,247,500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72,618,000</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Base management fee payable,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5,319,305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5,074,830</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Performance-based incentive fee payable,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3,060,280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2,865,444</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7,649,300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7,520,113</w:t>
            </w:r>
          </w:p>
        </w:tc>
        <w:tc>
          <w:tcPr>
            <w:tcW w:w="80" w:type="dxa"/>
            <w:vAlign w:val="bottom"/>
          </w:tcPr>
          <w:p>
            <w:pPr>
              <w:spacing w:after="0"/>
              <w:rPr>
                <w:sz w:val="23"/>
                <w:szCs w:val="23"/>
                <w:color w:val="auto"/>
              </w:rPr>
            </w:pP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1,109,912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622,880</w:t>
            </w:r>
          </w:p>
        </w:tc>
        <w:tc>
          <w:tcPr>
            <w:tcW w:w="80" w:type="dxa"/>
            <w:vAlign w:val="bottom"/>
          </w:tcPr>
          <w:p>
            <w:pPr>
              <w:spacing w:after="0"/>
              <w:rPr>
                <w:sz w:val="23"/>
                <w:szCs w:val="23"/>
                <w:color w:val="auto"/>
              </w:rPr>
            </w:pP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639,385,598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595,569,022</w:t>
            </w:r>
          </w:p>
        </w:tc>
        <w:tc>
          <w:tcPr>
            <w:tcW w:w="80" w:type="dxa"/>
            <w:vAlign w:val="bottom"/>
          </w:tcPr>
          <w:p>
            <w:pPr>
              <w:spacing w:after="0"/>
              <w:rPr>
                <w:sz w:val="23"/>
                <w:szCs w:val="23"/>
                <w:color w:val="auto"/>
              </w:rPr>
            </w:pPr>
          </w:p>
        </w:tc>
      </w:tr>
      <w:tr>
        <w:trPr>
          <w:trHeight w:val="250"/>
        </w:trPr>
        <w:tc>
          <w:tcPr>
            <w:tcW w:w="798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2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98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Common stock, 71,060,836 shares issued and outstanding, respectively</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980" w:type="dxa"/>
            <w:vAlign w:val="bottom"/>
          </w:tcPr>
          <w:p>
            <w:pPr>
              <w:ind w:left="26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71,061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71,061</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819,983,676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819,983,676</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Undistributed net investment income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22"/>
                <w:szCs w:val="22"/>
                <w:color w:val="auto"/>
              </w:rPr>
              <w:t>1,640,939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22"/>
                <w:szCs w:val="22"/>
                <w:color w:val="auto"/>
              </w:rPr>
              <w:t>3,119,380</w:t>
            </w:r>
          </w:p>
        </w:tc>
        <w:tc>
          <w:tcPr>
            <w:tcW w:w="80" w:type="dxa"/>
            <w:vAlign w:val="bottom"/>
          </w:tcPr>
          <w:p>
            <w:pPr>
              <w:spacing w:after="0"/>
              <w:rPr>
                <w:sz w:val="23"/>
                <w:szCs w:val="23"/>
                <w:color w:val="auto"/>
              </w:rPr>
            </w:pP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Accumulated net realized loss on investments</w:t>
            </w:r>
          </w:p>
        </w:tc>
        <w:tc>
          <w:tcPr>
            <w:tcW w:w="140" w:type="dxa"/>
            <w:vAlign w:val="bottom"/>
          </w:tcPr>
          <w:p>
            <w:pPr>
              <w:spacing w:after="0"/>
              <w:rPr>
                <w:sz w:val="23"/>
                <w:szCs w:val="23"/>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2"/>
                <w:szCs w:val="22"/>
                <w:color w:val="auto"/>
                <w:w w:val="96"/>
              </w:rPr>
              <w:t>(125,709,891)</w:t>
            </w:r>
          </w:p>
        </w:tc>
        <w:tc>
          <w:tcPr>
            <w:tcW w:w="16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(84,771,820)</w:t>
            </w:r>
          </w:p>
        </w:tc>
      </w:tr>
      <w:tr>
        <w:trPr>
          <w:trHeight w:val="270"/>
        </w:trPr>
        <w:tc>
          <w:tcPr>
            <w:tcW w:w="7980" w:type="dxa"/>
            <w:vAlign w:val="bottom"/>
          </w:tcPr>
          <w:p>
            <w:pPr>
              <w:spacing w:after="0"/>
              <w:rPr>
                <w:sz w:val="20"/>
                <w:szCs w:val="20"/>
                <w:color w:val="auto"/>
              </w:rPr>
            </w:pPr>
            <w:r>
              <w:rPr>
                <w:rFonts w:ascii="Arial" w:cs="Arial" w:eastAsia="Arial" w:hAnsi="Arial"/>
                <w:sz w:val="22"/>
                <w:szCs w:val="22"/>
                <w:color w:val="auto"/>
              </w:rPr>
              <w:t>Net unrealized depreciation on investments</w:t>
            </w:r>
          </w:p>
        </w:tc>
        <w:tc>
          <w:tcPr>
            <w:tcW w:w="140" w:type="dxa"/>
            <w:vAlign w:val="bottom"/>
          </w:tcPr>
          <w:p>
            <w:pPr>
              <w:spacing w:after="0"/>
              <w:rPr>
                <w:sz w:val="23"/>
                <w:szCs w:val="23"/>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2"/>
                <w:szCs w:val="22"/>
                <w:color w:val="auto"/>
              </w:rPr>
              <w:t>(54,757,767)</w:t>
            </w:r>
          </w:p>
        </w:tc>
        <w:tc>
          <w:tcPr>
            <w:tcW w:w="16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22"/>
                <w:szCs w:val="22"/>
                <w:color w:val="auto"/>
              </w:rPr>
              <w:t>(100,280,954)</w:t>
            </w:r>
          </w:p>
        </w:tc>
      </w:tr>
      <w:tr>
        <w:trPr>
          <w:trHeight w:val="274"/>
        </w:trPr>
        <w:tc>
          <w:tcPr>
            <w:tcW w:w="7980" w:type="dxa"/>
            <w:vAlign w:val="bottom"/>
          </w:tcPr>
          <w:p>
            <w:pPr>
              <w:spacing w:after="0"/>
              <w:rPr>
                <w:sz w:val="20"/>
                <w:szCs w:val="20"/>
                <w:color w:val="auto"/>
              </w:rPr>
            </w:pPr>
            <w:r>
              <w:rPr>
                <w:rFonts w:ascii="Arial" w:cs="Arial" w:eastAsia="Arial" w:hAnsi="Arial"/>
                <w:sz w:val="22"/>
                <w:szCs w:val="22"/>
                <w:color w:val="auto"/>
              </w:rPr>
              <w:t>Net unrealized depreciation on debt</w:t>
            </w: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4,959,649</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5,245,513</w:t>
            </w:r>
          </w:p>
        </w:tc>
        <w:tc>
          <w:tcPr>
            <w:tcW w:w="80" w:type="dxa"/>
            <w:vAlign w:val="bottom"/>
          </w:tcPr>
          <w:p>
            <w:pPr>
              <w:spacing w:after="0"/>
              <w:rPr>
                <w:sz w:val="23"/>
                <w:szCs w:val="23"/>
                <w:color w:val="auto"/>
              </w:rPr>
            </w:pPr>
          </w:p>
        </w:tc>
      </w:tr>
      <w:tr>
        <w:trPr>
          <w:trHeight w:val="267"/>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646,187,667</w:t>
            </w:r>
          </w:p>
        </w:tc>
        <w:tc>
          <w:tcPr>
            <w:tcW w:w="1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643,366,856</w:t>
            </w:r>
          </w:p>
        </w:tc>
        <w:tc>
          <w:tcPr>
            <w:tcW w:w="80" w:type="dxa"/>
            <w:vAlign w:val="bottom"/>
          </w:tcPr>
          <w:p>
            <w:pPr>
              <w:spacing w:after="0"/>
              <w:rPr>
                <w:sz w:val="23"/>
                <w:szCs w:val="23"/>
                <w:color w:val="auto"/>
              </w:rPr>
            </w:pPr>
          </w:p>
        </w:tc>
      </w:tr>
      <w:tr>
        <w:trPr>
          <w:trHeight w:val="263"/>
        </w:trPr>
        <w:tc>
          <w:tcPr>
            <w:tcW w:w="798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u w:val="single" w:color="auto"/>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8"/>
              </w:rPr>
              <w:t>1,285,573,265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1,238,935,878</w:t>
            </w:r>
          </w:p>
        </w:tc>
        <w:tc>
          <w:tcPr>
            <w:tcW w:w="80" w:type="dxa"/>
            <w:vAlign w:val="bottom"/>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798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9.05</w:t>
            </w:r>
          </w:p>
        </w:tc>
        <w:tc>
          <w:tcPr>
            <w:tcW w:w="80" w:type="dxa"/>
            <w:vAlign w:val="bottom"/>
          </w:tcPr>
          <w:p>
            <w:pPr>
              <w:spacing w:after="0"/>
              <w:rPr>
                <w:sz w:val="22"/>
                <w:szCs w:val="22"/>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PENNANTPARK INVESTMENT CORPORATION AND SUBSIDIARIES CONSOLIDATED STATEMENTS OF OPERATIONS (Unaudited)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80" w:type="dxa"/>
            <w:vAlign w:val="bottom"/>
          </w:tcPr>
          <w:p>
            <w:pPr>
              <w:spacing w:after="0"/>
              <w:rPr>
                <w:sz w:val="21"/>
                <w:szCs w:val="21"/>
                <w:color w:val="auto"/>
              </w:rPr>
            </w:pPr>
          </w:p>
        </w:tc>
        <w:tc>
          <w:tcPr>
            <w:tcW w:w="2820" w:type="dxa"/>
            <w:vAlign w:val="bottom"/>
            <w:gridSpan w:val="4"/>
          </w:tcPr>
          <w:p>
            <w:pPr>
              <w:jc w:val="center"/>
              <w:ind w:right="180"/>
              <w:spacing w:after="0"/>
              <w:rPr>
                <w:sz w:val="20"/>
                <w:szCs w:val="20"/>
                <w:color w:val="auto"/>
              </w:rPr>
            </w:pPr>
            <w:r>
              <w:rPr>
                <w:rFonts w:ascii="Arial" w:cs="Arial" w:eastAsia="Arial" w:hAnsi="Arial"/>
                <w:sz w:val="22"/>
                <w:szCs w:val="22"/>
                <w:b w:val="1"/>
                <w:bCs w:val="1"/>
                <w:color w:val="auto"/>
                <w:w w:val="90"/>
              </w:rPr>
              <w:t>Three Months Ended</w:t>
            </w:r>
          </w:p>
        </w:tc>
        <w:tc>
          <w:tcPr>
            <w:tcW w:w="2620" w:type="dxa"/>
            <w:vAlign w:val="bottom"/>
            <w:gridSpan w:val="3"/>
          </w:tcPr>
          <w:p>
            <w:pPr>
              <w:jc w:val="right"/>
              <w:ind w:right="352"/>
              <w:spacing w:after="0"/>
              <w:rPr>
                <w:sz w:val="20"/>
                <w:szCs w:val="20"/>
                <w:color w:val="auto"/>
              </w:rPr>
            </w:pPr>
            <w:r>
              <w:rPr>
                <w:rFonts w:ascii="Arial" w:cs="Arial" w:eastAsia="Arial" w:hAnsi="Arial"/>
                <w:sz w:val="22"/>
                <w:szCs w:val="22"/>
                <w:b w:val="1"/>
                <w:bCs w:val="1"/>
                <w:color w:val="auto"/>
              </w:rPr>
              <w:t>Six Months Ended</w:t>
            </w:r>
          </w:p>
        </w:tc>
      </w:tr>
      <w:tr>
        <w:trPr>
          <w:trHeight w:val="282"/>
        </w:trPr>
        <w:tc>
          <w:tcPr>
            <w:tcW w:w="5680" w:type="dxa"/>
            <w:vAlign w:val="bottom"/>
          </w:tcPr>
          <w:p>
            <w:pPr>
              <w:spacing w:after="0"/>
              <w:rPr>
                <w:sz w:val="24"/>
                <w:szCs w:val="24"/>
                <w:color w:val="auto"/>
              </w:rPr>
            </w:pPr>
          </w:p>
        </w:tc>
        <w:tc>
          <w:tcPr>
            <w:tcW w:w="2820" w:type="dxa"/>
            <w:vAlign w:val="bottom"/>
            <w:gridSpan w:val="4"/>
          </w:tcPr>
          <w:p>
            <w:pPr>
              <w:jc w:val="center"/>
              <w:ind w:right="200"/>
              <w:spacing w:after="0"/>
              <w:rPr>
                <w:sz w:val="20"/>
                <w:szCs w:val="20"/>
                <w:color w:val="auto"/>
              </w:rPr>
            </w:pPr>
            <w:r>
              <w:rPr>
                <w:rFonts w:ascii="Arial" w:cs="Arial" w:eastAsia="Arial" w:hAnsi="Arial"/>
                <w:sz w:val="22"/>
                <w:szCs w:val="22"/>
                <w:b w:val="1"/>
                <w:bCs w:val="1"/>
                <w:color w:val="auto"/>
                <w:w w:val="92"/>
              </w:rPr>
              <w:t>March 31,</w:t>
            </w:r>
          </w:p>
        </w:tc>
        <w:tc>
          <w:tcPr>
            <w:tcW w:w="2620" w:type="dxa"/>
            <w:vAlign w:val="bottom"/>
            <w:gridSpan w:val="3"/>
          </w:tcPr>
          <w:p>
            <w:pPr>
              <w:jc w:val="right"/>
              <w:ind w:right="732"/>
              <w:spacing w:after="0"/>
              <w:rPr>
                <w:sz w:val="20"/>
                <w:szCs w:val="20"/>
                <w:color w:val="auto"/>
              </w:rPr>
            </w:pPr>
            <w:r>
              <w:rPr>
                <w:rFonts w:ascii="Arial" w:cs="Arial" w:eastAsia="Arial" w:hAnsi="Arial"/>
                <w:sz w:val="22"/>
                <w:szCs w:val="22"/>
                <w:b w:val="1"/>
                <w:bCs w:val="1"/>
                <w:color w:val="auto"/>
              </w:rPr>
              <w:t>March 31,</w:t>
            </w:r>
          </w:p>
        </w:tc>
      </w:tr>
      <w:tr>
        <w:trPr>
          <w:trHeight w:val="265"/>
        </w:trPr>
        <w:tc>
          <w:tcPr>
            <w:tcW w:w="5680" w:type="dxa"/>
            <w:vAlign w:val="bottom"/>
          </w:tcPr>
          <w:p>
            <w:pPr>
              <w:spacing w:after="0"/>
              <w:rPr>
                <w:sz w:val="23"/>
                <w:szCs w:val="23"/>
                <w:color w:val="auto"/>
              </w:rPr>
            </w:pPr>
          </w:p>
        </w:tc>
        <w:tc>
          <w:tcPr>
            <w:tcW w:w="12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2017</w:t>
            </w:r>
          </w:p>
        </w:tc>
        <w:tc>
          <w:tcPr>
            <w:tcW w:w="180" w:type="dxa"/>
            <w:vAlign w:val="bottom"/>
            <w:tcBorders>
              <w:top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2016</w:t>
            </w:r>
          </w:p>
        </w:tc>
        <w:tc>
          <w:tcPr>
            <w:tcW w:w="200" w:type="dxa"/>
            <w:vAlign w:val="bottom"/>
          </w:tcPr>
          <w:p>
            <w:pPr>
              <w:spacing w:after="0"/>
              <w:rPr>
                <w:sz w:val="23"/>
                <w:szCs w:val="23"/>
                <w:color w:val="auto"/>
              </w:rPr>
            </w:pPr>
          </w:p>
        </w:tc>
        <w:tc>
          <w:tcPr>
            <w:tcW w:w="12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22"/>
                <w:szCs w:val="22"/>
                <w:b w:val="1"/>
                <w:bCs w:val="1"/>
                <w:color w:val="auto"/>
              </w:rPr>
              <w:t>2017</w:t>
            </w:r>
          </w:p>
        </w:tc>
        <w:tc>
          <w:tcPr>
            <w:tcW w:w="200" w:type="dxa"/>
            <w:vAlign w:val="bottom"/>
            <w:tcBorders>
              <w:top w:val="single" w:sz="8" w:color="auto"/>
            </w:tcBorders>
          </w:tcPr>
          <w:p>
            <w:pPr>
              <w:spacing w:after="0"/>
              <w:rPr>
                <w:sz w:val="23"/>
                <w:szCs w:val="23"/>
                <w:color w:val="auto"/>
              </w:rPr>
            </w:pPr>
          </w:p>
        </w:tc>
        <w:tc>
          <w:tcPr>
            <w:tcW w:w="12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22"/>
                <w:szCs w:val="22"/>
                <w:b w:val="1"/>
                <w:bCs w:val="1"/>
                <w:color w:val="auto"/>
              </w:rPr>
              <w:t>2016</w:t>
            </w:r>
          </w:p>
        </w:tc>
      </w:tr>
      <w:tr>
        <w:trPr>
          <w:trHeight w:val="256"/>
        </w:trPr>
        <w:tc>
          <w:tcPr>
            <w:tcW w:w="568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Interest</w:t>
            </w:r>
          </w:p>
        </w:tc>
        <w:tc>
          <w:tcPr>
            <w:tcW w:w="1220" w:type="dxa"/>
            <w:vAlign w:val="bottom"/>
          </w:tcPr>
          <w:p>
            <w:pPr>
              <w:jc w:val="right"/>
              <w:spacing w:after="0"/>
              <w:rPr>
                <w:sz w:val="20"/>
                <w:szCs w:val="20"/>
                <w:color w:val="auto"/>
              </w:rPr>
            </w:pPr>
            <w:r>
              <w:rPr>
                <w:rFonts w:ascii="Arial" w:cs="Arial" w:eastAsia="Arial" w:hAnsi="Arial"/>
                <w:sz w:val="22"/>
                <w:szCs w:val="22"/>
                <w:color w:val="auto"/>
                <w:w w:val="91"/>
              </w:rPr>
              <w:t>$ 24,090,316</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93"/>
              </w:rPr>
              <w:t>$ 26,649,790</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w w:val="91"/>
              </w:rPr>
              <w:t>$ 45,962,445</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w w:val="91"/>
              </w:rPr>
              <w:t>$ 54,867,820</w:t>
            </w: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Other income</w:t>
            </w:r>
          </w:p>
        </w:tc>
        <w:tc>
          <w:tcPr>
            <w:tcW w:w="1220" w:type="dxa"/>
            <w:vAlign w:val="bottom"/>
          </w:tcPr>
          <w:p>
            <w:pPr>
              <w:jc w:val="right"/>
              <w:spacing w:after="0"/>
              <w:rPr>
                <w:sz w:val="20"/>
                <w:szCs w:val="20"/>
                <w:color w:val="auto"/>
              </w:rPr>
            </w:pPr>
            <w:r>
              <w:rPr>
                <w:rFonts w:ascii="Arial" w:cs="Arial" w:eastAsia="Arial" w:hAnsi="Arial"/>
                <w:sz w:val="22"/>
                <w:szCs w:val="22"/>
                <w:color w:val="auto"/>
              </w:rPr>
              <w:t>1,565,617</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5,860,016</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3,668,153</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7,527,669</w:t>
            </w: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From non-controlled, affiliated investments: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Interest</w:t>
            </w:r>
          </w:p>
        </w:tc>
        <w:tc>
          <w:tcPr>
            <w:tcW w:w="1220" w:type="dxa"/>
            <w:vAlign w:val="bottom"/>
          </w:tcPr>
          <w:p>
            <w:pPr>
              <w:jc w:val="right"/>
              <w:spacing w:after="0"/>
              <w:rPr>
                <w:sz w:val="20"/>
                <w:szCs w:val="20"/>
                <w:color w:val="auto"/>
              </w:rPr>
            </w:pPr>
            <w:r>
              <w:rPr>
                <w:rFonts w:ascii="Arial" w:cs="Arial" w:eastAsia="Arial" w:hAnsi="Arial"/>
                <w:sz w:val="22"/>
                <w:szCs w:val="22"/>
                <w:color w:val="auto"/>
              </w:rPr>
              <w:t>4,440,386</w:t>
            </w:r>
          </w:p>
        </w:tc>
        <w:tc>
          <w:tcPr>
            <w:tcW w:w="1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3,337,000</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8,666,067</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5,517,576</w:t>
            </w: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Other income</w:t>
            </w:r>
          </w:p>
        </w:tc>
        <w:tc>
          <w:tcPr>
            <w:tcW w:w="140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22,500</w:t>
            </w: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568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bl>
    <w:p>
      <w:pPr>
        <w:sectPr>
          <w:pgSz w:w="11900" w:h="16838" w:orient="portrait"/>
          <w:cols w:equalWidth="0" w:num="1">
            <w:col w:w="11200"/>
          </w:cols>
          <w:pgMar w:left="340" w:top="126" w:right="359" w:bottom="0" w:gutter="0" w:footer="0" w:header="0"/>
        </w:sectPr>
      </w:pPr>
    </w:p>
    <w:bookmarkStart w:id="8" w:name="page9"/>
    <w:bookmarkEnd w:id="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680" w:type="dxa"/>
            <w:vAlign w:val="bottom"/>
          </w:tcPr>
          <w:p>
            <w:pPr>
              <w:ind w:left="320"/>
              <w:spacing w:after="0"/>
              <w:rPr>
                <w:sz w:val="20"/>
                <w:szCs w:val="20"/>
                <w:color w:val="auto"/>
              </w:rPr>
            </w:pPr>
            <w:r>
              <w:rPr>
                <w:rFonts w:ascii="Arial" w:cs="Arial" w:eastAsia="Arial" w:hAnsi="Arial"/>
                <w:sz w:val="22"/>
                <w:szCs w:val="22"/>
                <w:color w:val="auto"/>
              </w:rPr>
              <w:t>Interest</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3,618,674</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3,261,619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7,264,738</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6,458,652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680" w:type="dxa"/>
            <w:vAlign w:val="bottom"/>
          </w:tcPr>
          <w:p>
            <w:pPr>
              <w:ind w:left="100"/>
              <w:spacing w:after="0"/>
              <w:rPr>
                <w:sz w:val="20"/>
                <w:szCs w:val="20"/>
                <w:color w:val="auto"/>
              </w:rPr>
            </w:pPr>
            <w:r>
              <w:rPr>
                <w:rFonts w:ascii="Arial" w:cs="Arial" w:eastAsia="Arial" w:hAnsi="Arial"/>
                <w:sz w:val="22"/>
                <w:szCs w:val="22"/>
                <w:b w:val="1"/>
                <w:bCs w:val="1"/>
                <w:color w:val="auto"/>
              </w:rPr>
              <w:t>Total investment income</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33,714,993</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39,108,425</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65,583,903</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74,371,717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Base management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6,332,507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6,115,075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12,607,289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12,620,855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Performance-based incentive fee</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3,643,189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4,772,473</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7,017,399</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8,568,255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Interest and expenses on debt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7,179,057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6,942,925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13,914,631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13,669,250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Administrative services expenses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894,000</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900,500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1,788,000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1,768,000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680" w:type="dxa"/>
            <w:vAlign w:val="bottom"/>
          </w:tcPr>
          <w:p>
            <w:pPr>
              <w:ind w:left="320"/>
              <w:spacing w:after="0"/>
              <w:rPr>
                <w:sz w:val="20"/>
                <w:szCs w:val="20"/>
                <w:color w:val="auto"/>
              </w:rPr>
            </w:pPr>
            <w:r>
              <w:rPr>
                <w:rFonts w:ascii="Arial" w:cs="Arial" w:eastAsia="Arial" w:hAnsi="Arial"/>
                <w:sz w:val="22"/>
                <w:szCs w:val="22"/>
                <w:color w:val="auto"/>
              </w:rPr>
              <w:t>Other general and administrative expenses</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668,483</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937,563</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1,336,990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1,822,192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20"/>
              <w:spacing w:after="0" w:line="212" w:lineRule="exact"/>
              <w:rPr>
                <w:sz w:val="20"/>
                <w:szCs w:val="20"/>
                <w:color w:val="auto"/>
              </w:rPr>
            </w:pPr>
            <w:r>
              <w:rPr>
                <w:rFonts w:ascii="Arial" w:cs="Arial" w:eastAsia="Arial" w:hAnsi="Arial"/>
                <w:sz w:val="22"/>
                <w:szCs w:val="22"/>
                <w:b w:val="1"/>
                <w:bCs w:val="1"/>
                <w:color w:val="auto"/>
              </w:rPr>
              <w:t>Expenses before Management Fees waiver and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80" w:type="dxa"/>
            <w:vAlign w:val="bottom"/>
          </w:tcPr>
          <w:p>
            <w:pPr>
              <w:ind w:left="320"/>
              <w:spacing w:after="0"/>
              <w:rPr>
                <w:sz w:val="20"/>
                <w:szCs w:val="20"/>
                <w:color w:val="auto"/>
              </w:rPr>
            </w:pPr>
            <w:r>
              <w:rPr>
                <w:rFonts w:ascii="Arial" w:cs="Arial" w:eastAsia="Arial" w:hAnsi="Arial"/>
                <w:sz w:val="22"/>
                <w:szCs w:val="22"/>
                <w:b w:val="1"/>
                <w:bCs w:val="1"/>
                <w:color w:val="auto"/>
              </w:rPr>
              <w:t>provision for taxes</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18,717,236</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19,668,536</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36,664,309</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38,448,552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680" w:type="dxa"/>
            <w:vAlign w:val="bottom"/>
          </w:tcPr>
          <w:p>
            <w:pPr>
              <w:ind w:left="320"/>
              <w:spacing w:after="0"/>
              <w:rPr>
                <w:sz w:val="20"/>
                <w:szCs w:val="20"/>
                <w:color w:val="auto"/>
              </w:rPr>
            </w:pPr>
            <w:r>
              <w:rPr>
                <w:rFonts w:ascii="Arial" w:cs="Arial" w:eastAsia="Arial" w:hAnsi="Arial"/>
                <w:sz w:val="22"/>
                <w:szCs w:val="22"/>
                <w:color w:val="auto"/>
              </w:rPr>
              <w:t>Management Fees waiver</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(1,596,111)</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(1,742,008)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2"/>
              </w:rPr>
              <w:t>(3,139,950)</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(3,390,262)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680" w:type="dxa"/>
            <w:vAlign w:val="bottom"/>
          </w:tcPr>
          <w:p>
            <w:pPr>
              <w:ind w:left="320"/>
              <w:spacing w:after="0"/>
              <w:rPr>
                <w:sz w:val="20"/>
                <w:szCs w:val="20"/>
                <w:color w:val="auto"/>
              </w:rPr>
            </w:pPr>
            <w:r>
              <w:rPr>
                <w:rFonts w:ascii="Arial" w:cs="Arial" w:eastAsia="Arial" w:hAnsi="Arial"/>
                <w:sz w:val="22"/>
                <w:szCs w:val="22"/>
                <w:color w:val="auto"/>
              </w:rPr>
              <w:t>Provision for taxes</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425,000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350,000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850,000</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1,650,000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680" w:type="dxa"/>
            <w:vAlign w:val="bottom"/>
          </w:tcPr>
          <w:p>
            <w:pPr>
              <w:ind w:left="320"/>
              <w:spacing w:after="0"/>
              <w:rPr>
                <w:sz w:val="20"/>
                <w:szCs w:val="20"/>
                <w:color w:val="auto"/>
              </w:rPr>
            </w:pPr>
            <w:r>
              <w:rPr>
                <w:rFonts w:ascii="Arial" w:cs="Arial" w:eastAsia="Arial" w:hAnsi="Arial"/>
                <w:sz w:val="22"/>
                <w:szCs w:val="22"/>
                <w:b w:val="1"/>
                <w:bCs w:val="1"/>
                <w:color w:val="auto"/>
              </w:rPr>
              <w:t>Net expenses</w:t>
            </w: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17,546,125</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18,276,528</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34,374,359</w:t>
            </w:r>
          </w:p>
        </w:tc>
        <w:tc>
          <w:tcPr>
            <w:tcW w:w="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36,708,290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80" w:type="dxa"/>
            <w:vAlign w:val="bottom"/>
          </w:tcPr>
          <w:p>
            <w:pPr>
              <w:ind w:left="320"/>
              <w:spacing w:after="0"/>
              <w:rPr>
                <w:sz w:val="20"/>
                <w:szCs w:val="20"/>
                <w:color w:val="auto"/>
              </w:rPr>
            </w:pPr>
            <w:r>
              <w:rPr>
                <w:rFonts w:ascii="Arial" w:cs="Arial" w:eastAsia="Arial" w:hAnsi="Arial"/>
                <w:sz w:val="22"/>
                <w:szCs w:val="22"/>
                <w:b w:val="1"/>
                <w:bCs w:val="1"/>
                <w:color w:val="auto"/>
              </w:rPr>
              <w:t>Net investment income</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16,168,868</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6"/>
              </w:rPr>
              <w:t>20,831,897</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31,209,544</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4"/>
              </w:rPr>
              <w:t>37,663,427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680" w:type="dxa"/>
            <w:vAlign w:val="bottom"/>
          </w:tcPr>
          <w:p>
            <w:pPr>
              <w:spacing w:after="0" w:line="209" w:lineRule="exact"/>
              <w:rPr>
                <w:sz w:val="20"/>
                <w:szCs w:val="20"/>
                <w:color w:val="auto"/>
              </w:rPr>
            </w:pPr>
            <w:r>
              <w:rPr>
                <w:rFonts w:ascii="Arial" w:cs="Arial" w:eastAsia="Arial" w:hAnsi="Arial"/>
                <w:sz w:val="22"/>
                <w:szCs w:val="22"/>
                <w:b w:val="1"/>
                <w:bCs w:val="1"/>
                <w:color w:val="auto"/>
                <w:w w:val="97"/>
              </w:rPr>
              <w:t>Realized and unrealized (loss) gain on investments and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680" w:type="dxa"/>
            <w:vAlign w:val="bottom"/>
          </w:tcPr>
          <w:p>
            <w:pPr>
              <w:spacing w:after="0"/>
              <w:rPr>
                <w:sz w:val="20"/>
                <w:szCs w:val="20"/>
                <w:color w:val="auto"/>
              </w:rPr>
            </w:pPr>
            <w:r>
              <w:rPr>
                <w:rFonts w:ascii="Arial" w:cs="Arial" w:eastAsia="Arial" w:hAnsi="Arial"/>
                <w:sz w:val="22"/>
                <w:szCs w:val="22"/>
                <w:b w:val="1"/>
                <w:bCs w:val="1"/>
                <w:color w:val="auto"/>
              </w:rPr>
              <w:t>debt:</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Net realized loss on investments</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1"/>
              </w:rPr>
              <w:t>(18,742,737)</w:t>
            </w:r>
          </w:p>
        </w:tc>
        <w:tc>
          <w:tcPr>
            <w:tcW w:w="14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2"/>
                <w:szCs w:val="22"/>
                <w:color w:val="auto"/>
                <w:w w:val="91"/>
              </w:rPr>
              <w:t>(11,210,018)</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1"/>
              </w:rPr>
              <w:t>(40,938,071)</w:t>
            </w: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91"/>
              </w:rPr>
              <w:t>(36,584,981)</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Net change in unrealized (depreciation) appreciation on:</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Non-controlled, non-affiliated investments</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(6,279,870)</w:t>
            </w:r>
          </w:p>
        </w:tc>
        <w:tc>
          <w:tcPr>
            <w:tcW w:w="14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2"/>
                <w:szCs w:val="22"/>
                <w:color w:val="auto"/>
              </w:rPr>
              <w:t>(6,211,252)</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13,356,331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91"/>
              </w:rPr>
              <w:t>(22,954,067)</w:t>
            </w:r>
          </w:p>
        </w:tc>
        <w:tc>
          <w:tcPr>
            <w:tcW w:w="0" w:type="dxa"/>
            <w:vAlign w:val="bottom"/>
          </w:tcPr>
          <w:p>
            <w:pPr>
              <w:spacing w:after="0"/>
              <w:rPr>
                <w:sz w:val="1"/>
                <w:szCs w:val="1"/>
                <w:color w:val="auto"/>
              </w:rPr>
            </w:pPr>
          </w:p>
        </w:tc>
      </w:tr>
      <w:tr>
        <w:trPr>
          <w:trHeight w:val="270"/>
        </w:trPr>
        <w:tc>
          <w:tcPr>
            <w:tcW w:w="5680" w:type="dxa"/>
            <w:vAlign w:val="bottom"/>
          </w:tcPr>
          <w:p>
            <w:pPr>
              <w:ind w:left="320"/>
              <w:spacing w:after="0"/>
              <w:rPr>
                <w:sz w:val="20"/>
                <w:szCs w:val="20"/>
                <w:color w:val="auto"/>
              </w:rPr>
            </w:pPr>
            <w:r>
              <w:rPr>
                <w:rFonts w:ascii="Arial" w:cs="Arial" w:eastAsia="Arial" w:hAnsi="Arial"/>
                <w:sz w:val="22"/>
                <w:szCs w:val="22"/>
                <w:color w:val="auto"/>
              </w:rPr>
              <w:t>Non-controlled and controlled, affiliated investments</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26,429,957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2"/>
                <w:szCs w:val="22"/>
                <w:color w:val="auto"/>
              </w:rPr>
              <w:t>(9,775,018)</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32,166,856</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91"/>
              </w:rPr>
              <w:t>(32,904,728)</w:t>
            </w:r>
          </w:p>
        </w:tc>
        <w:tc>
          <w:tcPr>
            <w:tcW w:w="0" w:type="dxa"/>
            <w:vAlign w:val="bottom"/>
          </w:tcPr>
          <w:p>
            <w:pPr>
              <w:spacing w:after="0"/>
              <w:rPr>
                <w:sz w:val="1"/>
                <w:szCs w:val="1"/>
                <w:color w:val="auto"/>
              </w:rPr>
            </w:pPr>
          </w:p>
        </w:tc>
      </w:tr>
      <w:tr>
        <w:trPr>
          <w:trHeight w:val="274"/>
        </w:trPr>
        <w:tc>
          <w:tcPr>
            <w:tcW w:w="5680" w:type="dxa"/>
            <w:vAlign w:val="bottom"/>
          </w:tcPr>
          <w:p>
            <w:pPr>
              <w:ind w:left="320"/>
              <w:spacing w:after="0"/>
              <w:rPr>
                <w:sz w:val="20"/>
                <w:szCs w:val="20"/>
                <w:color w:val="auto"/>
              </w:rPr>
            </w:pPr>
            <w:r>
              <w:rPr>
                <w:rFonts w:ascii="Arial" w:cs="Arial" w:eastAsia="Arial" w:hAnsi="Arial"/>
                <w:sz w:val="22"/>
                <w:szCs w:val="22"/>
                <w:color w:val="auto"/>
              </w:rPr>
              <w:t>Debt (appreciation) depreciation</w:t>
            </w: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w w:val="96"/>
              </w:rPr>
              <w:t>(6,116,548 )</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6"/>
              </w:rPr>
              <w:t>10,314,028</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(285,864 )</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17,974,803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320"/>
              <w:spacing w:after="0" w:line="212" w:lineRule="exact"/>
              <w:rPr>
                <w:sz w:val="20"/>
                <w:szCs w:val="20"/>
                <w:color w:val="auto"/>
              </w:rPr>
            </w:pPr>
            <w:r>
              <w:rPr>
                <w:rFonts w:ascii="Arial" w:cs="Arial" w:eastAsia="Arial" w:hAnsi="Arial"/>
                <w:sz w:val="22"/>
                <w:szCs w:val="22"/>
                <w:b w:val="1"/>
                <w:bCs w:val="1"/>
                <w:color w:val="auto"/>
                <w:w w:val="97"/>
              </w:rPr>
              <w:t>Net change in unrealized appreciation (depreciation)</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80" w:type="dxa"/>
            <w:vAlign w:val="bottom"/>
          </w:tcPr>
          <w:p>
            <w:pPr>
              <w:ind w:left="320"/>
              <w:spacing w:after="0"/>
              <w:rPr>
                <w:sz w:val="20"/>
                <w:szCs w:val="20"/>
                <w:color w:val="auto"/>
              </w:rPr>
            </w:pPr>
            <w:r>
              <w:rPr>
                <w:rFonts w:ascii="Arial" w:cs="Arial" w:eastAsia="Arial" w:hAnsi="Arial"/>
                <w:sz w:val="22"/>
                <w:szCs w:val="22"/>
                <w:b w:val="1"/>
                <w:bCs w:val="1"/>
                <w:color w:val="auto"/>
              </w:rPr>
              <w:t>on investments and debt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w w:val="94"/>
              </w:rPr>
              <w:t>14,033,539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2"/>
                <w:szCs w:val="22"/>
                <w:color w:val="auto"/>
                <w:w w:val="96"/>
              </w:rPr>
              <w:t>(5,672,242 )</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w w:val="94"/>
              </w:rPr>
              <w:t>45,237,323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87"/>
              </w:rPr>
              <w:t>(37,883,992 )</w:t>
            </w:r>
          </w:p>
        </w:tc>
        <w:tc>
          <w:tcPr>
            <w:tcW w:w="0" w:type="dxa"/>
            <w:vAlign w:val="bottom"/>
          </w:tcPr>
          <w:p>
            <w:pPr>
              <w:spacing w:after="0"/>
              <w:rPr>
                <w:sz w:val="1"/>
                <w:szCs w:val="1"/>
                <w:color w:val="auto"/>
              </w:rPr>
            </w:pPr>
          </w:p>
        </w:tc>
      </w:tr>
      <w:tr>
        <w:trPr>
          <w:trHeight w:val="213"/>
        </w:trPr>
        <w:tc>
          <w:tcPr>
            <w:tcW w:w="5680" w:type="dxa"/>
            <w:vAlign w:val="bottom"/>
          </w:tcPr>
          <w:p>
            <w:pPr>
              <w:spacing w:after="0" w:line="212" w:lineRule="exact"/>
              <w:rPr>
                <w:sz w:val="20"/>
                <w:szCs w:val="20"/>
                <w:color w:val="auto"/>
              </w:rPr>
            </w:pPr>
            <w:r>
              <w:rPr>
                <w:rFonts w:ascii="Arial" w:cs="Arial" w:eastAsia="Arial" w:hAnsi="Arial"/>
                <w:sz w:val="22"/>
                <w:szCs w:val="22"/>
                <w:b w:val="1"/>
                <w:bCs w:val="1"/>
                <w:color w:val="auto"/>
                <w:w w:val="96"/>
              </w:rPr>
              <w:t>Net realized and unrealized (loss) gain from investments</w:t>
            </w: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80" w:type="dxa"/>
            <w:vAlign w:val="bottom"/>
          </w:tcPr>
          <w:p>
            <w:pPr>
              <w:spacing w:after="0"/>
              <w:rPr>
                <w:sz w:val="20"/>
                <w:szCs w:val="20"/>
                <w:color w:val="auto"/>
              </w:rPr>
            </w:pPr>
            <w:r>
              <w:rPr>
                <w:rFonts w:ascii="Arial" w:cs="Arial" w:eastAsia="Arial" w:hAnsi="Arial"/>
                <w:sz w:val="22"/>
                <w:szCs w:val="22"/>
                <w:b w:val="1"/>
                <w:bCs w:val="1"/>
                <w:color w:val="auto"/>
              </w:rPr>
              <w:t>and debt</w:t>
            </w:r>
          </w:p>
        </w:tc>
        <w:tc>
          <w:tcPr>
            <w:tcW w:w="14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22"/>
                <w:szCs w:val="22"/>
                <w:color w:val="auto"/>
              </w:rPr>
              <w:t>(4,709,198)</w:t>
            </w:r>
          </w:p>
        </w:tc>
        <w:tc>
          <w:tcPr>
            <w:tcW w:w="14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22"/>
                <w:szCs w:val="22"/>
                <w:color w:val="auto"/>
                <w:w w:val="87"/>
              </w:rPr>
              <w:t>(16,882,260 )</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4,299,252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w w:val="87"/>
              </w:rPr>
              <w:t>(74,468,973 )</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line="232" w:lineRule="exact"/>
              <w:rPr>
                <w:sz w:val="20"/>
                <w:szCs w:val="20"/>
                <w:color w:val="auto"/>
              </w:rPr>
            </w:pPr>
            <w:r>
              <w:rPr>
                <w:rFonts w:ascii="Arial" w:cs="Arial" w:eastAsia="Arial" w:hAnsi="Arial"/>
                <w:sz w:val="22"/>
                <w:szCs w:val="22"/>
                <w:b w:val="1"/>
                <w:bCs w:val="1"/>
                <w:color w:val="auto"/>
              </w:rPr>
              <w:t>Net increase (decrease) in net assets resulting from</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80" w:type="dxa"/>
            <w:vAlign w:val="bottom"/>
            <w:vMerge w:val="continue"/>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w w:val="94"/>
              </w:rPr>
              <w:t>11,459,670</w:t>
            </w:r>
          </w:p>
        </w:tc>
        <w:tc>
          <w:tcPr>
            <w:tcW w:w="18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3,949,637</w:t>
            </w:r>
          </w:p>
        </w:tc>
        <w:tc>
          <w:tcPr>
            <w:tcW w:w="2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w w:val="94"/>
              </w:rPr>
              <w:t>35,508,796</w:t>
            </w:r>
          </w:p>
        </w:tc>
        <w:tc>
          <w:tcPr>
            <w:tcW w:w="2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2"/>
                <w:szCs w:val="22"/>
                <w:color w:val="auto"/>
                <w:w w:val="87"/>
              </w:rPr>
              <w:t>(36,805,546 )</w:t>
            </w:r>
          </w:p>
        </w:tc>
        <w:tc>
          <w:tcPr>
            <w:tcW w:w="0" w:type="dxa"/>
            <w:vAlign w:val="bottom"/>
          </w:tcPr>
          <w:p>
            <w:pPr>
              <w:spacing w:after="0"/>
              <w:rPr>
                <w:sz w:val="1"/>
                <w:szCs w:val="1"/>
                <w:color w:val="auto"/>
              </w:rPr>
            </w:pPr>
          </w:p>
        </w:tc>
      </w:tr>
      <w:tr>
        <w:trPr>
          <w:trHeight w:val="257"/>
        </w:trPr>
        <w:tc>
          <w:tcPr>
            <w:tcW w:w="5680" w:type="dxa"/>
            <w:vAlign w:val="bottom"/>
          </w:tcPr>
          <w:p>
            <w:pPr>
              <w:spacing w:after="0"/>
              <w:rPr>
                <w:sz w:val="20"/>
                <w:szCs w:val="20"/>
                <w:color w:val="auto"/>
              </w:rPr>
            </w:pPr>
            <w:r>
              <w:rPr>
                <w:rFonts w:ascii="Arial" w:cs="Arial" w:eastAsia="Arial" w:hAnsi="Arial"/>
                <w:sz w:val="22"/>
                <w:szCs w:val="22"/>
                <w:b w:val="1"/>
                <w:bCs w:val="1"/>
                <w:color w:val="auto"/>
              </w:rPr>
              <w:t>operations</w:t>
            </w: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line="242" w:lineRule="exact"/>
              <w:rPr>
                <w:sz w:val="20"/>
                <w:szCs w:val="20"/>
                <w:color w:val="auto"/>
              </w:rPr>
            </w:pPr>
            <w:r>
              <w:rPr>
                <w:rFonts w:ascii="Arial" w:cs="Arial" w:eastAsia="Arial" w:hAnsi="Arial"/>
                <w:sz w:val="22"/>
                <w:szCs w:val="22"/>
                <w:color w:val="auto"/>
              </w:rPr>
              <w:t>Net increase (decrease) in net assets resulting from</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68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0.16</w:t>
            </w:r>
          </w:p>
        </w:tc>
        <w:tc>
          <w:tcPr>
            <w:tcW w:w="18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vMerge w:val="restart"/>
          </w:tcPr>
          <w:p>
            <w:pPr>
              <w:jc w:val="right"/>
              <w:spacing w:after="0"/>
              <w:rPr>
                <w:sz w:val="20"/>
                <w:szCs w:val="20"/>
                <w:color w:val="auto"/>
              </w:rPr>
            </w:pPr>
            <w:r>
              <w:rPr>
                <w:rFonts w:ascii="Arial" w:cs="Arial" w:eastAsia="Arial" w:hAnsi="Arial"/>
                <w:sz w:val="22"/>
                <w:szCs w:val="22"/>
                <w:color w:val="auto"/>
              </w:rPr>
              <w:t>0.06</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vMerge w:val="restart"/>
          </w:tcPr>
          <w:p>
            <w:pPr>
              <w:jc w:val="right"/>
              <w:spacing w:after="0"/>
              <w:rPr>
                <w:sz w:val="20"/>
                <w:szCs w:val="20"/>
                <w:color w:val="auto"/>
              </w:rPr>
            </w:pPr>
            <w:r>
              <w:rPr>
                <w:rFonts w:ascii="Arial" w:cs="Arial" w:eastAsia="Arial" w:hAnsi="Arial"/>
                <w:sz w:val="22"/>
                <w:szCs w:val="22"/>
                <w:color w:val="auto"/>
              </w:rPr>
              <w:t>0.50</w:t>
            </w:r>
          </w:p>
        </w:tc>
        <w:tc>
          <w:tcPr>
            <w:tcW w:w="2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22"/>
                <w:szCs w:val="22"/>
                <w:color w:val="auto"/>
                <w:w w:val="81"/>
              </w:rPr>
              <w:t>$</w:t>
            </w:r>
          </w:p>
        </w:tc>
        <w:tc>
          <w:tcPr>
            <w:tcW w:w="1160" w:type="dxa"/>
            <w:vAlign w:val="bottom"/>
            <w:gridSpan w:val="2"/>
            <w:vMerge w:val="restart"/>
          </w:tcPr>
          <w:p>
            <w:pPr>
              <w:jc w:val="right"/>
              <w:spacing w:after="0"/>
              <w:rPr>
                <w:sz w:val="20"/>
                <w:szCs w:val="20"/>
                <w:color w:val="auto"/>
              </w:rPr>
            </w:pPr>
            <w:r>
              <w:rPr>
                <w:rFonts w:ascii="Arial" w:cs="Arial" w:eastAsia="Arial" w:hAnsi="Arial"/>
                <w:sz w:val="22"/>
                <w:szCs w:val="22"/>
                <w:color w:val="auto"/>
              </w:rPr>
              <w:t>(0.51 )</w:t>
            </w:r>
          </w:p>
        </w:tc>
        <w:tc>
          <w:tcPr>
            <w:tcW w:w="0" w:type="dxa"/>
            <w:vAlign w:val="bottom"/>
          </w:tcPr>
          <w:p>
            <w:pPr>
              <w:spacing w:after="0"/>
              <w:rPr>
                <w:sz w:val="1"/>
                <w:szCs w:val="1"/>
                <w:color w:val="auto"/>
              </w:rPr>
            </w:pPr>
          </w:p>
        </w:tc>
      </w:tr>
      <w:tr>
        <w:trPr>
          <w:trHeight w:val="251"/>
        </w:trPr>
        <w:tc>
          <w:tcPr>
            <w:tcW w:w="5680" w:type="dxa"/>
            <w:vAlign w:val="bottom"/>
          </w:tcPr>
          <w:p>
            <w:pPr>
              <w:spacing w:after="0" w:line="251" w:lineRule="exact"/>
              <w:rPr>
                <w:sz w:val="20"/>
                <w:szCs w:val="20"/>
                <w:color w:val="auto"/>
              </w:rPr>
            </w:pPr>
            <w:r>
              <w:rPr>
                <w:rFonts w:ascii="Arial" w:cs="Arial" w:eastAsia="Arial" w:hAnsi="Arial"/>
                <w:sz w:val="22"/>
                <w:szCs w:val="22"/>
                <w:color w:val="auto"/>
              </w:rPr>
              <w:t>operations per common share</w:t>
            </w: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680" w:type="dxa"/>
            <w:vAlign w:val="bottom"/>
          </w:tcPr>
          <w:p>
            <w:pPr>
              <w:spacing w:after="0"/>
              <w:rPr>
                <w:sz w:val="20"/>
                <w:szCs w:val="20"/>
                <w:color w:val="auto"/>
              </w:rPr>
            </w:pPr>
            <w:r>
              <w:rPr>
                <w:rFonts w:ascii="Arial" w:cs="Arial" w:eastAsia="Arial" w:hAnsi="Arial"/>
                <w:sz w:val="22"/>
                <w:szCs w:val="22"/>
                <w:color w:val="auto"/>
              </w:rPr>
              <w:t>Net investment income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0.23</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0.29</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0.44</w:t>
            </w:r>
          </w:p>
        </w:tc>
        <w:tc>
          <w:tcPr>
            <w:tcW w:w="2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0.52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primarily invests in U.S. middle-market companies in the form of senior secured debt, mezzanine debt and, to a lesser extent,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1240"/>
      </w:cols>
      <w:pgMar w:left="320" w:top="118" w:right="339" w:bottom="19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2020-05-05T15:07:42Z</dcterms:created>
  <dcterms:modified xsi:type="dcterms:W3CDTF">2020-05-05T15:07:42Z</dcterms:modified>
</cp:coreProperties>
</file>