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2015</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0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4065905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241"/>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0"/>
                <w:szCs w:val="20"/>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7100" w:space="140"/>
            <w:col w:w="200" w:space="80"/>
            <w:col w:w="120" w:space="160"/>
            <w:col w:w="3440"/>
          </w:cols>
          <w:pgMar w:left="320" w:top="230" w:right="339" w:bottom="1440" w:gutter="0" w:footer="0" w:header="0"/>
          <w:type w:val="continuous"/>
        </w:sectPr>
      </w:pPr>
    </w:p>
    <w:p>
      <w:pPr>
        <w:spacing w:after="0" w:line="2"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August 5, 2015 was 74,259,698.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39"/>
        <w:spacing w:after="0" w:line="226" w:lineRule="auto"/>
        <w:rPr>
          <w:sz w:val="20"/>
          <w:szCs w:val="20"/>
          <w:color w:val="auto"/>
        </w:rPr>
      </w:pPr>
      <w:r>
        <w:rPr>
          <w:rFonts w:ascii="Arial" w:cs="Arial" w:eastAsia="Arial" w:hAnsi="Arial"/>
          <w:sz w:val="14"/>
          <w:szCs w:val="14"/>
          <w:b w:val="1"/>
          <w:bCs w:val="1"/>
          <w:color w:val="auto"/>
        </w:rPr>
        <w:t>FORM 10-Q FOR THE QUARTER ENDED JUNE 30, 2015</w:t>
      </w:r>
    </w:p>
    <w:p>
      <w:pPr>
        <w:jc w:val="center"/>
        <w:ind w:right="-3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4"/>
        </w:trPr>
        <w:tc>
          <w:tcPr>
            <w:tcW w:w="914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27">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40" w:type="dxa"/>
            <w:vAlign w:val="bottom"/>
          </w:tcPr>
          <w:p>
            <w:pPr>
              <w:ind w:left="4300"/>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97"/>
        </w:trPr>
        <w:tc>
          <w:tcPr>
            <w:tcW w:w="914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We are filing this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senior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32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20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520" w:type="dxa"/>
            <w:vAlign w:val="bottom"/>
          </w:tcPr>
          <w:p>
            <w:pPr>
              <w:spacing w:after="0"/>
              <w:rPr>
                <w:sz w:val="24"/>
                <w:szCs w:val="24"/>
                <w:color w:val="auto"/>
              </w:rPr>
            </w:pPr>
          </w:p>
        </w:tc>
        <w:tc>
          <w:tcPr>
            <w:tcW w:w="820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820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89"/>
              </w:rPr>
              <w:t>June 30, 2015</w:t>
            </w:r>
          </w:p>
        </w:tc>
        <w:tc>
          <w:tcPr>
            <w:tcW w:w="14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3"/>
              </w:rPr>
              <w:t>September 30, 2014</w:t>
            </w:r>
          </w:p>
        </w:tc>
        <w:tc>
          <w:tcPr>
            <w:tcW w:w="0" w:type="dxa"/>
            <w:vAlign w:val="bottom"/>
          </w:tcPr>
          <w:p>
            <w:pPr>
              <w:spacing w:after="0"/>
              <w:rPr>
                <w:sz w:val="1"/>
                <w:szCs w:val="1"/>
                <w:color w:val="auto"/>
              </w:rPr>
            </w:pPr>
          </w:p>
        </w:tc>
      </w:tr>
      <w:tr>
        <w:trPr>
          <w:trHeight w:val="153"/>
        </w:trPr>
        <w:tc>
          <w:tcPr>
            <w:tcW w:w="5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(cost—$1,097,132,390 and $1,171,573,359, respectively)</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1,066,250,974</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5"/>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1,212,515,400</w:t>
            </w:r>
          </w:p>
        </w:tc>
        <w:tc>
          <w:tcPr>
            <w:tcW w:w="0" w:type="dxa"/>
            <w:vAlign w:val="bottom"/>
          </w:tcPr>
          <w:p>
            <w:pPr>
              <w:spacing w:after="0"/>
              <w:rPr>
                <w:sz w:val="1"/>
                <w:szCs w:val="1"/>
                <w:color w:val="auto"/>
              </w:rPr>
            </w:pPr>
          </w:p>
        </w:tc>
      </w:tr>
      <w:tr>
        <w:trPr>
          <w:trHeight w:val="149"/>
        </w:trPr>
        <w:tc>
          <w:tcPr>
            <w:tcW w:w="87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(cost—$227,700,622 and $108,572,406, respectively)</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177,468,538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67,847,521</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(cost—$78,155,160 and $38,708,555, respectively)</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50,326,631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37,691,845</w:t>
            </w:r>
          </w:p>
        </w:tc>
        <w:tc>
          <w:tcPr>
            <w:tcW w:w="0" w:type="dxa"/>
            <w:vAlign w:val="bottom"/>
          </w:tcPr>
          <w:p>
            <w:pPr>
              <w:spacing w:after="0"/>
              <w:rPr>
                <w:sz w:val="1"/>
                <w:szCs w:val="1"/>
                <w:color w:val="auto"/>
              </w:rPr>
            </w:pPr>
          </w:p>
        </w:tc>
      </w:tr>
      <w:tr>
        <w:trPr>
          <w:trHeight w:val="142"/>
        </w:trPr>
        <w:tc>
          <w:tcPr>
            <w:tcW w:w="872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Total of investments (cost—$1,402,988,172 and $1,318,854,320, respectively)</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1,294,046,143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1,318,054,766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(cost—$83,378,632 and $66,600,195, respectively)</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83,328,972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13,851,364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13,703,525</w:t>
            </w:r>
          </w:p>
        </w:tc>
        <w:tc>
          <w:tcPr>
            <w:tcW w:w="0" w:type="dxa"/>
            <w:vAlign w:val="bottom"/>
          </w:tcPr>
          <w:p>
            <w:pPr>
              <w:spacing w:after="0"/>
              <w:rPr>
                <w:sz w:val="1"/>
                <w:szCs w:val="1"/>
                <w:color w:val="auto"/>
              </w:rPr>
            </w:pPr>
          </w:p>
        </w:tc>
      </w:tr>
      <w:tr>
        <w:trPr>
          <w:trHeight w:val="149"/>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13,658,761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13,550,224</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82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1,404,885,240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1,411,827,197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20,792,715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21,026,015</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47,623,030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4,432,500</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Unfunded investments</w:t>
            </w:r>
          </w:p>
        </w:tc>
        <w:tc>
          <w:tcPr>
            <w:tcW w:w="120" w:type="dxa"/>
            <w:vAlign w:val="bottom"/>
          </w:tcPr>
          <w:p>
            <w:pPr>
              <w:spacing w:after="0"/>
              <w:rPr>
                <w:sz w:val="12"/>
                <w:szCs w:val="12"/>
                <w:color w:val="auto"/>
              </w:rPr>
            </w:pP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15,607,059</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(cost—$101,536,700 and $55,226,300, respectively) (See Notes 5 and 10)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98,565,960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53,497,620</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2019 Notes payable (cost—$250,000,000) (See Notes 5 and 10)</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250,160,000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9"/>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SBA debentures payable (cost—$150,000,000) (See Notes 5 and 10)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150,000,000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150,000,000</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2025 Notes payable (cost—$71,250,000) (See Notes 5 and 10)</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71,934,000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6,497,137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6,385,103</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5,163,582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4,622,754</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6,200,201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1,962,264</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Accrued other expenses</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2,405,438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3,113,683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 w:type="dxa"/>
            <w:vAlign w:val="bottom"/>
            <w:shd w:val="clear" w:color="auto" w:fill="CCEEFF"/>
          </w:tcPr>
          <w:p>
            <w:pPr>
              <w:spacing w:after="0"/>
              <w:rPr>
                <w:sz w:val="12"/>
                <w:szCs w:val="12"/>
                <w:color w:val="auto"/>
              </w:rPr>
            </w:pPr>
          </w:p>
        </w:tc>
        <w:tc>
          <w:tcPr>
            <w:tcW w:w="82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659,342,063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583,817,248</w:t>
            </w:r>
          </w:p>
        </w:tc>
        <w:tc>
          <w:tcPr>
            <w:tcW w:w="0" w:type="dxa"/>
            <w:vAlign w:val="bottom"/>
          </w:tcPr>
          <w:p>
            <w:pPr>
              <w:spacing w:after="0"/>
              <w:rPr>
                <w:sz w:val="1"/>
                <w:szCs w:val="1"/>
                <w:color w:val="auto"/>
              </w:rPr>
            </w:pPr>
          </w:p>
        </w:tc>
      </w:tr>
      <w:tr>
        <w:trPr>
          <w:trHeight w:val="142"/>
        </w:trPr>
        <w:tc>
          <w:tcPr>
            <w:tcW w:w="8720" w:type="dxa"/>
            <w:vAlign w:val="bottom"/>
            <w:gridSpan w:val="2"/>
          </w:tcPr>
          <w:p>
            <w:pPr>
              <w:spacing w:after="0" w:line="142" w:lineRule="exact"/>
              <w:rPr>
                <w:sz w:val="20"/>
                <w:szCs w:val="20"/>
                <w:color w:val="auto"/>
              </w:rPr>
            </w:pPr>
            <w:r>
              <w:rPr>
                <w:rFonts w:ascii="Arial" w:cs="Arial" w:eastAsia="Arial" w:hAnsi="Arial"/>
                <w:sz w:val="14"/>
                <w:szCs w:val="14"/>
                <w:color w:val="auto"/>
              </w:rPr>
              <w:t>Commitments and contingencies (See Note 11)</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72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74,259,698 and 75,092,911 shares issued and outstanding, respectively.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720" w:type="dxa"/>
            <w:vAlign w:val="bottom"/>
            <w:gridSpan w:val="2"/>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74,260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75,093</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844,475,225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852,465,375</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20" w:type="dxa"/>
            <w:vAlign w:val="bottom"/>
          </w:tcPr>
          <w:p>
            <w:pPr>
              <w:spacing w:after="0"/>
              <w:rPr>
                <w:sz w:val="12"/>
                <w:szCs w:val="12"/>
                <w:color w:val="auto"/>
              </w:rPr>
            </w:pP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(12,420,260)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149"/>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gain (loss) on investments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20,281,626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(11,655,302)</w:t>
            </w:r>
          </w:p>
        </w:tc>
        <w:tc>
          <w:tcPr>
            <w:tcW w:w="0" w:type="dxa"/>
            <w:vAlign w:val="bottom"/>
          </w:tcPr>
          <w:p>
            <w:pPr>
              <w:spacing w:after="0"/>
              <w:rPr>
                <w:sz w:val="1"/>
                <w:szCs w:val="1"/>
                <w:color w:val="auto"/>
              </w:rPr>
            </w:pPr>
          </w:p>
        </w:tc>
      </w:tr>
      <w:tr>
        <w:trPr>
          <w:trHeight w:val="148"/>
        </w:trPr>
        <w:tc>
          <w:tcPr>
            <w:tcW w:w="872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20" w:type="dxa"/>
            <w:vAlign w:val="bottom"/>
          </w:tcPr>
          <w:p>
            <w:pPr>
              <w:spacing w:after="0"/>
              <w:rPr>
                <w:sz w:val="12"/>
                <w:szCs w:val="12"/>
                <w:color w:val="auto"/>
              </w:rPr>
            </w:pP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(108,994,414)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(881,067)</w:t>
            </w:r>
          </w:p>
        </w:tc>
        <w:tc>
          <w:tcPr>
            <w:tcW w:w="0" w:type="dxa"/>
            <w:vAlign w:val="bottom"/>
          </w:tcPr>
          <w:p>
            <w:pPr>
              <w:spacing w:after="0"/>
              <w:rPr>
                <w:sz w:val="1"/>
                <w:szCs w:val="1"/>
                <w:color w:val="auto"/>
              </w:rPr>
            </w:pPr>
          </w:p>
        </w:tc>
      </w:tr>
      <w:tr>
        <w:trPr>
          <w:trHeight w:val="148"/>
        </w:trPr>
        <w:tc>
          <w:tcPr>
            <w:tcW w:w="8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debt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2,126,740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(191,570)</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82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745,543,177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 w:type="dxa"/>
            <w:vAlign w:val="bottom"/>
            <w:shd w:val="clear" w:color="auto" w:fill="CCEEFF"/>
          </w:tcPr>
          <w:p>
            <w:pPr>
              <w:spacing w:after="0"/>
              <w:rPr>
                <w:sz w:val="12"/>
                <w:szCs w:val="12"/>
                <w:color w:val="auto"/>
              </w:rPr>
            </w:pPr>
          </w:p>
        </w:tc>
        <w:tc>
          <w:tcPr>
            <w:tcW w:w="82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1,404,885,240</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5"/>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8"/>
              </w:rPr>
              <w:t>1,411,827,197</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72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10.04</w:t>
            </w:r>
          </w:p>
        </w:tc>
        <w:tc>
          <w:tcPr>
            <w:tcW w:w="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11.03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89"/>
              </w:rPr>
              <w:t>Three Months Ended June 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91"/>
              </w:rPr>
              <w:t>Nine Months Ended June 30,</w:t>
            </w:r>
          </w:p>
        </w:tc>
        <w:tc>
          <w:tcPr>
            <w:tcW w:w="0" w:type="dxa"/>
            <w:vAlign w:val="bottom"/>
          </w:tcPr>
          <w:p>
            <w:pPr>
              <w:spacing w:after="0"/>
              <w:rPr>
                <w:sz w:val="1"/>
                <w:szCs w:val="1"/>
                <w:color w:val="auto"/>
              </w:rPr>
            </w:pPr>
          </w:p>
        </w:tc>
      </w:tr>
      <w:tr>
        <w:trPr>
          <w:trHeight w:val="128"/>
        </w:trPr>
        <w:tc>
          <w:tcPr>
            <w:tcW w:w="642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2014</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6"/>
              </w:rPr>
              <w:t>31,722,226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29,949,064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101,811,852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90,772,466</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3,138,382</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1,463,884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9,535,685</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6,314,911</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4,263,709</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1,456,621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7,000,896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4,174,234</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159,437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159,437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1,357,778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2,447,354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3,998,887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6,071,987</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158,333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459,166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40,641,532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8"/>
              </w:rPr>
              <w:t>35,475,256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7"/>
              </w:rPr>
              <w:t>122,506,757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9"/>
              </w:rPr>
              <w:t>107,792,764</w:t>
            </w:r>
          </w:p>
        </w:tc>
        <w:tc>
          <w:tcPr>
            <w:tcW w:w="0" w:type="dxa"/>
            <w:vAlign w:val="bottom"/>
          </w:tcPr>
          <w:p>
            <w:pPr>
              <w:spacing w:after="0"/>
              <w:rPr>
                <w:sz w:val="1"/>
                <w:szCs w:val="1"/>
                <w:color w:val="auto"/>
              </w:rPr>
            </w:pP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Expenses:</w:t>
            </w: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6,497,136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6,131,963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20,093,624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17,906,316</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5,163,582</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5,370,391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15,556,767</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14,866,434</w:t>
            </w: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6,616,779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5,034,567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19,699,606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14,707,313</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855,313</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930,809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2,562,033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2,771,359</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854,397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929,254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2,367,661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2,470,350</w:t>
            </w:r>
          </w:p>
        </w:tc>
        <w:tc>
          <w:tcPr>
            <w:tcW w:w="0" w:type="dxa"/>
            <w:vAlign w:val="bottom"/>
          </w:tcPr>
          <w:p>
            <w:pPr>
              <w:spacing w:after="0"/>
              <w:rPr>
                <w:sz w:val="1"/>
                <w:szCs w:val="1"/>
                <w:color w:val="auto"/>
              </w:rPr>
            </w:pPr>
          </w:p>
        </w:tc>
      </w:tr>
      <w:tr>
        <w:trPr>
          <w:trHeight w:val="142"/>
        </w:trPr>
        <w:tc>
          <w:tcPr>
            <w:tcW w:w="64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Expenses before taxes and debt issuance costs</w:t>
            </w: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19,987,207</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18,396,984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60,279,691</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52,721,772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Tax expense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40,548</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Debt issuance costs (See Note 5)</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3,850,000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3,850,000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expenses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19,987,207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8"/>
              </w:rPr>
              <w:t>22,278,984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60,279,691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9"/>
              </w:rPr>
              <w:t>56,612,320</w:t>
            </w:r>
          </w:p>
        </w:tc>
        <w:tc>
          <w:tcPr>
            <w:tcW w:w="0" w:type="dxa"/>
            <w:vAlign w:val="bottom"/>
          </w:tcPr>
          <w:p>
            <w:pPr>
              <w:spacing w:after="0"/>
              <w:rPr>
                <w:sz w:val="1"/>
                <w:szCs w:val="1"/>
                <w:color w:val="auto"/>
              </w:rPr>
            </w:pPr>
          </w:p>
        </w:tc>
      </w:tr>
      <w:tr>
        <w:trPr>
          <w:trHeight w:val="142"/>
        </w:trPr>
        <w:tc>
          <w:tcPr>
            <w:tcW w:w="64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Net investment income</w:t>
            </w:r>
          </w:p>
        </w:tc>
        <w:tc>
          <w:tcPr>
            <w:tcW w:w="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20,654,325</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13,196,272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62,227,066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51,180,444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w w:val="96"/>
              </w:rPr>
              <w:t>13,820,350</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23,267,131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31,936,928</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28,955,815</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w w:val="90"/>
              </w:rPr>
              <w:t>(24,919,481)</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(8,997,766)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(102,855,290)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21,000,422</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(5,260,674)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7,860,989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(5,258,057)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16,369,826</w:t>
            </w:r>
          </w:p>
        </w:tc>
        <w:tc>
          <w:tcPr>
            <w:tcW w:w="0" w:type="dxa"/>
            <w:vAlign w:val="bottom"/>
          </w:tcPr>
          <w:p>
            <w:pPr>
              <w:spacing w:after="0"/>
              <w:rPr>
                <w:sz w:val="1"/>
                <w:szCs w:val="1"/>
                <w:color w:val="auto"/>
              </w:rPr>
            </w:pPr>
          </w:p>
        </w:tc>
      </w:tr>
      <w:tr>
        <w:trPr>
          <w:trHeight w:val="148"/>
        </w:trPr>
        <w:tc>
          <w:tcPr>
            <w:tcW w:w="642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(appreciation) (See Notes 5 and 10)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641,430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(3,377,315)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2,318,310</w:t>
            </w: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(5,421,092)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9"/>
              <w:spacing w:after="0" w:line="142" w:lineRule="exact"/>
              <w:rPr>
                <w:sz w:val="20"/>
                <w:szCs w:val="20"/>
                <w:color w:val="auto"/>
              </w:rPr>
            </w:pPr>
            <w:r>
              <w:rPr>
                <w:rFonts w:ascii="Arial" w:cs="Arial" w:eastAsia="Arial" w:hAnsi="Arial"/>
                <w:sz w:val="14"/>
                <w:szCs w:val="14"/>
                <w:color w:val="auto"/>
                <w:w w:val="90"/>
              </w:rPr>
              <w:t>(29,538,725)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4"/>
              </w:rPr>
              <w:t>(4,514,092)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1"/>
              </w:rPr>
              <w:t>(105,795,037)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9"/>
              </w:rPr>
              <w:t>31,949,156</w:t>
            </w:r>
          </w:p>
        </w:tc>
        <w:tc>
          <w:tcPr>
            <w:tcW w:w="0" w:type="dxa"/>
            <w:vAlign w:val="bottom"/>
          </w:tcPr>
          <w:p>
            <w:pPr>
              <w:spacing w:after="0"/>
              <w:rPr>
                <w:sz w:val="1"/>
                <w:szCs w:val="1"/>
                <w:color w:val="auto"/>
              </w:rPr>
            </w:pP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(15,718,375</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18,753,039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(73,858,109)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60,904,971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59"/>
              <w:spacing w:after="0" w:line="142" w:lineRule="exact"/>
              <w:rPr>
                <w:sz w:val="20"/>
                <w:szCs w:val="20"/>
                <w:color w:val="auto"/>
              </w:rPr>
            </w:pPr>
            <w:r>
              <w:rPr>
                <w:rFonts w:ascii="Arial" w:cs="Arial" w:eastAsia="Arial" w:hAnsi="Arial"/>
                <w:sz w:val="14"/>
                <w:szCs w:val="14"/>
                <w:color w:val="auto"/>
              </w:rPr>
              <w:t>4,935,950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8"/>
              </w:rPr>
              <w:t>31,949,311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(11,631,043)</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9"/>
              </w:rPr>
              <w:t>112,085,415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9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0.07</w:t>
            </w:r>
          </w:p>
        </w:tc>
        <w:tc>
          <w:tcPr>
            <w:tcW w:w="20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0.48</w:t>
            </w: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(0.16)</w:t>
            </w:r>
          </w:p>
        </w:tc>
        <w:tc>
          <w:tcPr>
            <w:tcW w:w="1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1.68</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investment income per common share</w:t>
            </w:r>
          </w:p>
        </w:tc>
        <w:tc>
          <w:tcPr>
            <w:tcW w:w="10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59"/>
              <w:spacing w:after="0" w:line="129" w:lineRule="exact"/>
              <w:rPr>
                <w:sz w:val="20"/>
                <w:szCs w:val="20"/>
                <w:color w:val="auto"/>
              </w:rPr>
            </w:pPr>
            <w:r>
              <w:rPr>
                <w:rFonts w:ascii="Arial" w:cs="Arial" w:eastAsia="Arial" w:hAnsi="Arial"/>
                <w:sz w:val="14"/>
                <w:szCs w:val="14"/>
                <w:color w:val="auto"/>
              </w:rPr>
              <w:t>0.28</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0.20</w:t>
            </w:r>
          </w:p>
        </w:tc>
        <w:tc>
          <w:tcPr>
            <w:tcW w:w="1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168"/>
              <w:spacing w:after="0"/>
              <w:rPr>
                <w:sz w:val="20"/>
                <w:szCs w:val="20"/>
                <w:color w:val="auto"/>
              </w:rPr>
            </w:pPr>
            <w:r>
              <w:rPr>
                <w:rFonts w:ascii="Arial" w:cs="Arial" w:eastAsia="Arial" w:hAnsi="Arial"/>
                <w:sz w:val="13"/>
                <w:szCs w:val="13"/>
                <w:b w:val="1"/>
                <w:bCs w:val="1"/>
                <w:color w:val="auto"/>
                <w:w w:val="91"/>
              </w:rPr>
              <w:t>Nine Months Ended June 30,</w:t>
            </w:r>
          </w:p>
        </w:tc>
        <w:tc>
          <w:tcPr>
            <w:tcW w:w="0" w:type="dxa"/>
            <w:vAlign w:val="bottom"/>
          </w:tcPr>
          <w:p>
            <w:pPr>
              <w:spacing w:after="0"/>
              <w:rPr>
                <w:sz w:val="1"/>
                <w:szCs w:val="1"/>
                <w:color w:val="auto"/>
              </w:rPr>
            </w:pPr>
          </w:p>
        </w:tc>
      </w:tr>
      <w:tr>
        <w:trPr>
          <w:trHeight w:val="128"/>
        </w:trPr>
        <w:tc>
          <w:tcPr>
            <w:tcW w:w="682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62,227,066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9"/>
              </w:rPr>
              <w:t>51,180,444</w:t>
            </w: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31,936,928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28,955,815</w:t>
            </w: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1"/>
              </w:rPr>
              <w:t>(108,113,347)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9"/>
              </w:rPr>
              <w:t>37,370,248</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2,318,310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(5,421,092)</w:t>
            </w:r>
          </w:p>
        </w:tc>
        <w:tc>
          <w:tcPr>
            <w:tcW w:w="0" w:type="dxa"/>
            <w:vAlign w:val="bottom"/>
          </w:tcPr>
          <w:p>
            <w:pPr>
              <w:spacing w:after="0"/>
              <w:rPr>
                <w:sz w:val="1"/>
                <w:szCs w:val="1"/>
                <w:color w:val="auto"/>
              </w:rPr>
            </w:pPr>
          </w:p>
        </w:tc>
      </w:tr>
      <w:tr>
        <w:trPr>
          <w:trHeight w:val="142"/>
        </w:trPr>
        <w:tc>
          <w:tcPr>
            <w:tcW w:w="68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2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(11,631,043)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112,085,415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Distributions to stockholders</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2" w:lineRule="exact"/>
              <w:rPr>
                <w:sz w:val="20"/>
                <w:szCs w:val="20"/>
                <w:color w:val="auto"/>
              </w:rPr>
            </w:pPr>
            <w:r>
              <w:rPr>
                <w:rFonts w:ascii="Arial" w:cs="Arial" w:eastAsia="Arial" w:hAnsi="Arial"/>
                <w:sz w:val="14"/>
                <w:szCs w:val="14"/>
                <w:color w:val="auto"/>
              </w:rPr>
              <w:t>(62,844,746)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(55,911,746)</w:t>
            </w:r>
          </w:p>
        </w:tc>
        <w:tc>
          <w:tcPr>
            <w:tcW w:w="0" w:type="dxa"/>
            <w:vAlign w:val="bottom"/>
          </w:tcPr>
          <w:p>
            <w:pPr>
              <w:spacing w:after="0"/>
              <w:rPr>
                <w:sz w:val="1"/>
                <w:szCs w:val="1"/>
                <w:color w:val="auto"/>
              </w:rPr>
            </w:pP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4"/>
                <w:szCs w:val="14"/>
                <w:b w:val="1"/>
                <w:bCs w:val="1"/>
                <w:color w:val="auto"/>
              </w:rPr>
              <w:t>Capital transactions:</w:t>
            </w:r>
          </w:p>
        </w:tc>
        <w:tc>
          <w:tcPr>
            <w:tcW w:w="2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(7,990,983)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Reinvestment of distributions</w:t>
            </w: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792,925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net assets resulting from capital transactions</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2" w:lineRule="exact"/>
              <w:rPr>
                <w:sz w:val="20"/>
                <w:szCs w:val="20"/>
                <w:color w:val="auto"/>
              </w:rPr>
            </w:pPr>
            <w:r>
              <w:rPr>
                <w:rFonts w:ascii="Arial" w:cs="Arial" w:eastAsia="Arial" w:hAnsi="Arial"/>
                <w:sz w:val="14"/>
                <w:szCs w:val="14"/>
                <w:color w:val="auto"/>
              </w:rPr>
              <w:t>(7,990,983)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792,925</w:t>
            </w:r>
          </w:p>
        </w:tc>
        <w:tc>
          <w:tcPr>
            <w:tcW w:w="0" w:type="dxa"/>
            <w:vAlign w:val="bottom"/>
          </w:tcPr>
          <w:p>
            <w:pPr>
              <w:spacing w:after="0"/>
              <w:rPr>
                <w:sz w:val="1"/>
                <w:szCs w:val="1"/>
                <w:color w:val="auto"/>
              </w:rPr>
            </w:pP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4"/>
                <w:szCs w:val="14"/>
                <w:b w:val="1"/>
                <w:bCs w:val="1"/>
                <w:color w:val="auto"/>
              </w:rPr>
              <w:t>Net (decrease) increase in net assets</w:t>
            </w:r>
          </w:p>
        </w:tc>
        <w:tc>
          <w:tcPr>
            <w:tcW w:w="2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(82,466,772)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56,966,594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assets:</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828,009,949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89"/>
              </w:rPr>
              <w:t>697,506,199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End of period</w:t>
            </w: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745,543,177</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89"/>
              </w:rPr>
              <w:t>754,472,793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24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line="20" w:lineRule="exact"/>
              <w:rPr>
                <w:sz w:val="1"/>
                <w:szCs w:val="1"/>
                <w:color w:val="auto"/>
              </w:rPr>
            </w:pPr>
          </w:p>
        </w:tc>
      </w:tr>
      <w:tr>
        <w:trPr>
          <w:trHeight w:val="129"/>
        </w:trPr>
        <w:tc>
          <w:tcPr>
            <w:tcW w:w="6820" w:type="dxa"/>
            <w:vAlign w:val="bottom"/>
            <w:vMerge w:val="continue"/>
          </w:tcPr>
          <w:p>
            <w:pPr>
              <w:spacing w:after="0"/>
              <w:rPr>
                <w:sz w:val="11"/>
                <w:szCs w:val="11"/>
                <w:color w:val="auto"/>
              </w:rPr>
            </w:pPr>
          </w:p>
        </w:tc>
        <w:tc>
          <w:tcPr>
            <w:tcW w:w="24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(12,420,260</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(9,406,519</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Capital share activity:</w:t>
            </w: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Shares of common stock repurchased</w:t>
            </w: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(833,213)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shd w:val="clear" w:color="auto" w:fill="CCEEFF"/>
          </w:tcPr>
          <w:p>
            <w:pPr>
              <w:ind w:left="300"/>
              <w:spacing w:after="0" w:line="129" w:lineRule="exact"/>
              <w:rPr>
                <w:sz w:val="20"/>
                <w:szCs w:val="20"/>
                <w:color w:val="auto"/>
              </w:rPr>
            </w:pPr>
            <w:r>
              <w:rPr>
                <w:rFonts w:ascii="Arial" w:cs="Arial" w:eastAsia="Arial" w:hAnsi="Arial"/>
                <w:sz w:val="14"/>
                <w:szCs w:val="14"/>
                <w:color w:val="auto"/>
              </w:rPr>
              <w:t>Shares issued from reinvestment of distributions</w:t>
            </w: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9"/>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69,709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7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7"/>
          </w:tcPr>
          <w:p>
            <w:pPr>
              <w:jc w:val="right"/>
              <w:ind w:right="400"/>
              <w:spacing w:after="0"/>
              <w:rPr>
                <w:sz w:val="20"/>
                <w:szCs w:val="20"/>
                <w:color w:val="auto"/>
              </w:rPr>
            </w:pPr>
            <w:r>
              <w:rPr>
                <w:rFonts w:ascii="Arial" w:cs="Arial" w:eastAsia="Arial" w:hAnsi="Arial"/>
                <w:sz w:val="13"/>
                <w:szCs w:val="13"/>
                <w:b w:val="1"/>
                <w:bCs w:val="1"/>
                <w:color w:val="auto"/>
                <w:w w:val="99"/>
              </w:rPr>
              <w:t>Nine Months Ended June 30,</w:t>
            </w:r>
          </w:p>
        </w:tc>
        <w:tc>
          <w:tcPr>
            <w:tcW w:w="0" w:type="dxa"/>
            <w:vAlign w:val="bottom"/>
          </w:tcPr>
          <w:p>
            <w:pPr>
              <w:spacing w:after="0"/>
              <w:rPr>
                <w:sz w:val="1"/>
                <w:szCs w:val="1"/>
                <w:color w:val="auto"/>
              </w:rPr>
            </w:pPr>
          </w:p>
        </w:tc>
      </w:tr>
      <w:tr>
        <w:trPr>
          <w:trHeight w:val="128"/>
        </w:trPr>
        <w:tc>
          <w:tcPr>
            <w:tcW w:w="7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1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60" w:type="dxa"/>
            <w:vAlign w:val="bottom"/>
          </w:tcPr>
          <w:p>
            <w:pPr>
              <w:ind w:left="42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(11,631,043)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112,085,415</w:t>
            </w:r>
          </w:p>
        </w:tc>
        <w:tc>
          <w:tcPr>
            <w:tcW w:w="0" w:type="dxa"/>
            <w:vAlign w:val="bottom"/>
          </w:tcPr>
          <w:p>
            <w:pPr>
              <w:spacing w:after="0"/>
              <w:rPr>
                <w:sz w:val="1"/>
                <w:szCs w:val="1"/>
                <w:color w:val="auto"/>
              </w:rPr>
            </w:pPr>
          </w:p>
        </w:tc>
      </w:tr>
      <w:tr>
        <w:trPr>
          <w:trHeight w:val="130"/>
        </w:trPr>
        <w:tc>
          <w:tcPr>
            <w:tcW w:w="716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9"/>
              </w:rPr>
              <w:t>Adjustments to reconcile net (decrease) increase in net assets resulting from operations to net cash provided</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(used) by operating activities: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Net change in net unrealized depreciation (appreciation) on investments</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108,113,347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(37,370,248)</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(deprecation) appreciation on debt</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(2,318,310)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5,421,092</w:t>
            </w:r>
          </w:p>
        </w:tc>
        <w:tc>
          <w:tcPr>
            <w:tcW w:w="0" w:type="dxa"/>
            <w:vAlign w:val="bottom"/>
          </w:tcPr>
          <w:p>
            <w:pPr>
              <w:spacing w:after="0"/>
              <w:rPr>
                <w:sz w:val="1"/>
                <w:szCs w:val="1"/>
                <w:color w:val="auto"/>
              </w:rPr>
            </w:pPr>
          </w:p>
        </w:tc>
      </w:tr>
      <w:tr>
        <w:trPr>
          <w:trHeight w:val="149"/>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(31,936,928)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(28,955,815)</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(4,937,779)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(6,629,854)</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1"/>
              </w:rPr>
              <w:t>(344,808,702)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(561,839,426)</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income</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(7,693,992)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(6,530,685)</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289,545,505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534,400,443</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interest receivable</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(147,839)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(3,105,665)</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Increase in deferred financing costs and other assets</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(108,537)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(6,809,887)</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payable for investments purchased at cost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43,190,530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(52,544,704)</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Increase in interest payable on debt</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4,237,937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1,223,182</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management fee payable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112,034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712,406</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540,828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1,095,510</w:t>
            </w: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(708,245)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400,618</w:t>
            </w:r>
          </w:p>
        </w:tc>
        <w:tc>
          <w:tcPr>
            <w:tcW w:w="0" w:type="dxa"/>
            <w:vAlign w:val="bottom"/>
          </w:tcPr>
          <w:p>
            <w:pPr>
              <w:spacing w:after="0"/>
              <w:rPr>
                <w:sz w:val="1"/>
                <w:szCs w:val="1"/>
                <w:color w:val="auto"/>
              </w:rPr>
            </w:pPr>
          </w:p>
        </w:tc>
      </w:tr>
      <w:tr>
        <w:trPr>
          <w:trHeight w:val="142"/>
        </w:trPr>
        <w:tc>
          <w:tcPr>
            <w:tcW w:w="7160" w:type="dxa"/>
            <w:vAlign w:val="bottom"/>
          </w:tcPr>
          <w:p>
            <w:pPr>
              <w:ind w:left="1280"/>
              <w:spacing w:after="0" w:line="142" w:lineRule="exact"/>
              <w:rPr>
                <w:sz w:val="20"/>
                <w:szCs w:val="20"/>
                <w:color w:val="auto"/>
              </w:rPr>
            </w:pPr>
            <w:r>
              <w:rPr>
                <w:rFonts w:ascii="Arial" w:cs="Arial" w:eastAsia="Arial" w:hAnsi="Arial"/>
                <w:sz w:val="14"/>
                <w:szCs w:val="14"/>
                <w:color w:val="auto"/>
              </w:rPr>
              <w:t>Net cash provided (used) by operating activities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41,448,806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(48,447,618)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stock (See Note 12)</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(7,990,983)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6"/>
              </w:rPr>
              <w:t>(63,078,045 )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(55,099,303)</w:t>
            </w: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467,000,000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906,253,100</w:t>
            </w:r>
          </w:p>
        </w:tc>
        <w:tc>
          <w:tcPr>
            <w:tcW w:w="0" w:type="dxa"/>
            <w:vAlign w:val="bottom"/>
          </w:tcPr>
          <w:p>
            <w:pPr>
              <w:spacing w:after="0"/>
              <w:rPr>
                <w:sz w:val="1"/>
                <w:szCs w:val="1"/>
                <w:color w:val="auto"/>
              </w:rPr>
            </w:pPr>
          </w:p>
        </w:tc>
      </w:tr>
      <w:tr>
        <w:trPr>
          <w:trHeight w:val="148"/>
        </w:trPr>
        <w:tc>
          <w:tcPr>
            <w:tcW w:w="716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1"/>
              </w:rPr>
              <w:t>(420,689,600)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(795,854,400)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60" w:type="dxa"/>
            <w:vAlign w:val="bottom"/>
            <w:shd w:val="clear" w:color="auto" w:fill="CCEEFF"/>
          </w:tcPr>
          <w:p>
            <w:pPr>
              <w:ind w:left="1280"/>
              <w:spacing w:after="0" w:line="142" w:lineRule="exact"/>
              <w:rPr>
                <w:sz w:val="20"/>
                <w:szCs w:val="20"/>
                <w:color w:val="auto"/>
              </w:rPr>
            </w:pPr>
            <w:r>
              <w:rPr>
                <w:rFonts w:ascii="Arial" w:cs="Arial" w:eastAsia="Arial" w:hAnsi="Arial"/>
                <w:sz w:val="14"/>
                <w:szCs w:val="14"/>
                <w:color w:val="auto"/>
              </w:rPr>
              <w:t>Net cash (used) provided by financing activities</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(24,758,628)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54,549,397</w:t>
            </w:r>
          </w:p>
        </w:tc>
        <w:tc>
          <w:tcPr>
            <w:tcW w:w="0" w:type="dxa"/>
            <w:vAlign w:val="bottom"/>
          </w:tcPr>
          <w:p>
            <w:pPr>
              <w:spacing w:after="0"/>
              <w:rPr>
                <w:sz w:val="1"/>
                <w:szCs w:val="1"/>
                <w:color w:val="auto"/>
              </w:rPr>
            </w:pPr>
          </w:p>
        </w:tc>
      </w:tr>
      <w:tr>
        <w:trPr>
          <w:trHeight w:val="142"/>
        </w:trPr>
        <w:tc>
          <w:tcPr>
            <w:tcW w:w="716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in cash equivalents</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16,690,178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6,101,779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120,112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(151,821)</w:t>
            </w:r>
          </w:p>
        </w:tc>
        <w:tc>
          <w:tcPr>
            <w:tcW w:w="0" w:type="dxa"/>
            <w:vAlign w:val="bottom"/>
          </w:tcPr>
          <w:p>
            <w:pPr>
              <w:spacing w:after="0"/>
              <w:rPr>
                <w:sz w:val="1"/>
                <w:szCs w:val="1"/>
                <w:color w:val="auto"/>
              </w:rPr>
            </w:pPr>
          </w:p>
        </w:tc>
      </w:tr>
      <w:tr>
        <w:trPr>
          <w:trHeight w:val="149"/>
        </w:trPr>
        <w:tc>
          <w:tcPr>
            <w:tcW w:w="71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58,440,829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83,328,972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64,390,787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7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15,048,316</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13,239,662</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0"/>
              <w:spacing w:after="0"/>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60,808</w:t>
            </w:r>
          </w:p>
        </w:tc>
        <w:tc>
          <w:tcPr>
            <w:tcW w:w="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8,166</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Distributions reinvested</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792,925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0"/>
              <w:spacing w:after="0"/>
              <w:rPr>
                <w:sz w:val="20"/>
                <w:szCs w:val="20"/>
                <w:color w:val="auto"/>
              </w:rPr>
            </w:pPr>
            <w:r>
              <w:rPr>
                <w:rFonts w:ascii="Arial" w:cs="Arial" w:eastAsia="Arial" w:hAnsi="Arial"/>
                <w:sz w:val="14"/>
                <w:szCs w:val="14"/>
                <w:color w:val="auto"/>
              </w:rPr>
              <w:t>Conversions and non-cash exchanges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19,765,183</w:t>
            </w:r>
          </w:p>
        </w:tc>
        <w:tc>
          <w:tcPr>
            <w:tcW w:w="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59,126,053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1"/>
              </w:rPr>
              <w:t>Basis Point</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460" w:type="dxa"/>
            <w:vAlign w:val="bottom"/>
          </w:tcPr>
          <w:p>
            <w:pPr>
              <w:ind w:left="1520"/>
              <w:spacing w:after="0" w:line="135" w:lineRule="exact"/>
              <w:rPr>
                <w:sz w:val="20"/>
                <w:szCs w:val="20"/>
                <w:color w:val="auto"/>
              </w:rPr>
            </w:pPr>
            <w:r>
              <w:rPr>
                <w:rFonts w:ascii="Arial" w:cs="Arial" w:eastAsia="Arial" w:hAnsi="Arial"/>
                <w:sz w:val="13"/>
                <w:szCs w:val="13"/>
                <w:b w:val="1"/>
                <w:bCs w:val="1"/>
                <w:color w:val="auto"/>
              </w:rPr>
              <w:t>Maturity /</w:t>
            </w:r>
          </w:p>
        </w:tc>
        <w:tc>
          <w:tcPr>
            <w:tcW w:w="1280" w:type="dxa"/>
            <w:vAlign w:val="bottom"/>
          </w:tcPr>
          <w:p>
            <w:pPr>
              <w:spacing w:after="0"/>
              <w:rPr>
                <w:sz w:val="11"/>
                <w:szCs w:val="11"/>
                <w:color w:val="auto"/>
              </w:rPr>
            </w:pPr>
          </w:p>
        </w:tc>
        <w:tc>
          <w:tcPr>
            <w:tcW w:w="118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Current</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Par /</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00" w:type="dxa"/>
            <w:vAlign w:val="bottom"/>
            <w:vMerge w:val="continue"/>
          </w:tcPr>
          <w:p>
            <w:pPr>
              <w:spacing w:after="0"/>
              <w:rPr>
                <w:sz w:val="13"/>
                <w:szCs w:val="13"/>
                <w:color w:val="auto"/>
              </w:rPr>
            </w:pPr>
          </w:p>
        </w:tc>
        <w:tc>
          <w:tcPr>
            <w:tcW w:w="2460" w:type="dxa"/>
            <w:vAlign w:val="bottom"/>
          </w:tcPr>
          <w:p>
            <w:pPr>
              <w:ind w:left="1500"/>
              <w:spacing w:after="0"/>
              <w:rPr>
                <w:sz w:val="20"/>
                <w:szCs w:val="20"/>
                <w:color w:val="auto"/>
              </w:rPr>
            </w:pPr>
            <w:r>
              <w:rPr>
                <w:rFonts w:ascii="Arial" w:cs="Arial" w:eastAsia="Arial" w:hAnsi="Arial"/>
                <w:sz w:val="13"/>
                <w:szCs w:val="13"/>
                <w:b w:val="1"/>
                <w:bCs w:val="1"/>
                <w:color w:val="auto"/>
              </w:rPr>
              <w:t>Expiration</w:t>
            </w:r>
          </w:p>
        </w:tc>
        <w:tc>
          <w:tcPr>
            <w:tcW w:w="128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1180" w:type="dxa"/>
            <w:vAlign w:val="bottom"/>
          </w:tcPr>
          <w:p>
            <w:pPr>
              <w:ind w:left="440"/>
              <w:spacing w:after="0"/>
              <w:rPr>
                <w:sz w:val="20"/>
                <w:szCs w:val="20"/>
                <w:color w:val="auto"/>
              </w:rPr>
            </w:pPr>
            <w:r>
              <w:rPr>
                <w:rFonts w:ascii="Arial" w:cs="Arial" w:eastAsia="Arial" w:hAnsi="Arial"/>
                <w:sz w:val="13"/>
                <w:szCs w:val="13"/>
                <w:b w:val="1"/>
                <w:bCs w:val="1"/>
                <w:color w:val="auto"/>
              </w:rPr>
              <w:t>Coupon</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tcPr>
          <w:p>
            <w:pPr>
              <w:ind w:left="280"/>
              <w:spacing w:after="0"/>
              <w:rPr>
                <w:sz w:val="20"/>
                <w:szCs w:val="20"/>
                <w:color w:val="auto"/>
              </w:rPr>
            </w:pPr>
            <w:r>
              <w:rPr>
                <w:rFonts w:ascii="Arial" w:cs="Arial" w:eastAsia="Arial" w:hAnsi="Arial"/>
                <w:sz w:val="13"/>
                <w:szCs w:val="13"/>
                <w:b w:val="1"/>
                <w:bCs w:val="1"/>
                <w:color w:val="auto"/>
              </w:rPr>
              <w:t>Cost</w:t>
            </w: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4"/>
          <w:szCs w:val="14"/>
          <w:b w:val="1"/>
          <w:bCs w:val="1"/>
          <w:color w:val="auto"/>
        </w:rPr>
        <w:t xml:space="preserve">Investments in Non-Controlled, Non-Affiliated Portfolio Companies—143.0% </w:t>
      </w:r>
      <w:r>
        <w:rPr>
          <w:rFonts w:ascii="Arial" w:cs="Arial" w:eastAsia="Arial" w:hAnsi="Arial"/>
          <w:sz w:val="12"/>
          <w:szCs w:val="12"/>
          <w:b w:val="1"/>
          <w:bCs w:val="1"/>
          <w:color w:val="auto"/>
        </w:rPr>
        <w:t>(1), (2)</w:t>
      </w:r>
    </w:p>
    <w:tbl>
      <w:tblPr>
        <w:tblLayout w:type="fixed"/>
        <w:tblInd w:w="0" w:type="dxa"/>
        <w:tblCellMar>
          <w:top w:w="0" w:type="dxa"/>
          <w:left w:w="0" w:type="dxa"/>
          <w:bottom w:w="0" w:type="dxa"/>
          <w:right w:w="0" w:type="dxa"/>
        </w:tblCellMar>
      </w:tblPr>
      <w:tr>
        <w:trPr>
          <w:trHeight w:val="139"/>
        </w:trPr>
        <w:tc>
          <w:tcPr>
            <w:tcW w:w="3240" w:type="dxa"/>
            <w:vAlign w:val="bottom"/>
          </w:tcPr>
          <w:p>
            <w:pPr>
              <w:spacing w:after="0" w:line="139" w:lineRule="exact"/>
              <w:rPr>
                <w:sz w:val="20"/>
                <w:szCs w:val="20"/>
                <w:color w:val="auto"/>
              </w:rPr>
            </w:pPr>
            <w:r>
              <w:rPr>
                <w:rFonts w:ascii="Arial" w:cs="Arial" w:eastAsia="Arial" w:hAnsi="Arial"/>
                <w:sz w:val="13"/>
                <w:szCs w:val="13"/>
                <w:b w:val="1"/>
                <w:bCs w:val="1"/>
                <w:color w:val="auto"/>
              </w:rPr>
              <w:t>First Lien Secured Debt—32.8%</w:t>
            </w: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03/21/2018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11.25%</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22,842,397</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$ 22,210,159</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23,641,881</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04/02/2018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11.95%</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37,460,272</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36,835,688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38,369,016</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04/02/2018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220" w:type="dxa"/>
            <w:vAlign w:val="bottom"/>
            <w:shd w:val="clear" w:color="auto" w:fill="CCEEFF"/>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7,572,032</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183,683</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04/02/2018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22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4,371,469</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106,047</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300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w w:val="95"/>
              </w:rPr>
              <w:t>12/21/2020   Hotels, Motels, Inns and Gaming</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9.25%</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20,133,275</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19,852,796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20,007,442</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10/21/2020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4,488,750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4,428,067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4,488,750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06/30/2020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25,500,000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25,245,063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25,245,000</w:t>
            </w: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1140" w:type="dxa"/>
            <w:vAlign w:val="bottom"/>
          </w:tcPr>
          <w:p>
            <w:pPr>
              <w:ind w:left="460"/>
              <w:spacing w:after="0" w:line="121" w:lineRule="exact"/>
              <w:rPr>
                <w:sz w:val="20"/>
                <w:szCs w:val="20"/>
                <w:color w:val="auto"/>
              </w:rPr>
            </w:pPr>
            <w:r>
              <w:rPr>
                <w:rFonts w:ascii="Arial" w:cs="Arial" w:eastAsia="Arial" w:hAnsi="Arial"/>
                <w:sz w:val="13"/>
                <w:szCs w:val="13"/>
                <w:color w:val="auto"/>
              </w:rPr>
              <w:t>10/16/2017</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220" w:type="dxa"/>
            <w:vAlign w:val="bottom"/>
          </w:tcPr>
          <w:p>
            <w:pPr>
              <w:jc w:val="right"/>
              <w:ind w:right="357"/>
              <w:spacing w:after="0" w:line="121" w:lineRule="exact"/>
              <w:rPr>
                <w:sz w:val="20"/>
                <w:szCs w:val="20"/>
                <w:color w:val="auto"/>
              </w:rPr>
            </w:pPr>
            <w:r>
              <w:rPr>
                <w:rFonts w:ascii="Arial" w:cs="Arial" w:eastAsia="Arial" w:hAnsi="Arial"/>
                <w:sz w:val="13"/>
                <w:szCs w:val="13"/>
                <w:color w:val="auto"/>
              </w:rPr>
              <w:t>10.00%</w:t>
            </w:r>
          </w:p>
        </w:tc>
        <w:tc>
          <w:tcPr>
            <w:tcW w:w="9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7,084,822</w:t>
            </w:r>
          </w:p>
        </w:tc>
        <w:tc>
          <w:tcPr>
            <w:tcW w:w="900" w:type="dxa"/>
            <w:vAlign w:val="bottom"/>
            <w:gridSpan w:val="3"/>
          </w:tcPr>
          <w:p>
            <w:pPr>
              <w:jc w:val="right"/>
              <w:ind w:right="100"/>
              <w:spacing w:after="0" w:line="121" w:lineRule="exact"/>
              <w:rPr>
                <w:sz w:val="20"/>
                <w:szCs w:val="20"/>
                <w:color w:val="auto"/>
              </w:rPr>
            </w:pPr>
            <w:r>
              <w:rPr>
                <w:rFonts w:ascii="Arial" w:cs="Arial" w:eastAsia="Arial" w:hAnsi="Arial"/>
                <w:sz w:val="13"/>
                <w:szCs w:val="13"/>
                <w:color w:val="auto"/>
              </w:rPr>
              <w:t>7,084,802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7,049,398</w:t>
            </w:r>
          </w:p>
        </w:tc>
      </w:tr>
      <w:tr>
        <w:trPr>
          <w:trHeight w:val="149"/>
        </w:trPr>
        <w:tc>
          <w:tcPr>
            <w:tcW w:w="3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08/19/2019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11.00%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21,783,793</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21,455,510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20,565,089</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10/31/2017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9.63%</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5,626,850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5,626,850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5,064,180</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12/16/2019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11.50%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14,250,000</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14,132,799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13,110,000</w:t>
            </w:r>
          </w:p>
        </w:tc>
      </w:tr>
      <w:tr>
        <w:trPr>
          <w:trHeight w:val="149"/>
        </w:trPr>
        <w:tc>
          <w:tcPr>
            <w:tcW w:w="3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Precious Metals</w:t>
            </w:r>
          </w:p>
        </w:tc>
        <w:tc>
          <w:tcPr>
            <w:tcW w:w="1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06/18/2019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13,583,020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13,481,049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13,601,741</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06/18/2019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317,647</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317,647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318,085</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(9)</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06/18/2019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22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2,329,411</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3,210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04/21/2017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19,776,567</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19,017,664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17,798,910</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02/12/2020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11.08%</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24,884,965</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39,491,803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39,070,899</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05/02/2019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15,609,501</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15,329,605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15,595,595</w:t>
            </w:r>
          </w:p>
        </w:tc>
      </w:tr>
      <w:tr>
        <w:trPr>
          <w:trHeight w:val="129"/>
        </w:trPr>
        <w:tc>
          <w:tcPr>
            <w:tcW w:w="3240" w:type="dxa"/>
            <w:vAlign w:val="bottom"/>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244,509,502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244,218,926</w:t>
            </w:r>
          </w:p>
        </w:tc>
        <w:tc>
          <w:tcPr>
            <w:tcW w:w="140" w:type="dxa"/>
            <w:vAlign w:val="bottom"/>
          </w:tcPr>
          <w:p>
            <w:pPr>
              <w:spacing w:after="0"/>
              <w:rPr>
                <w:sz w:val="11"/>
                <w:szCs w:val="11"/>
                <w:color w:val="auto"/>
              </w:rPr>
            </w:pPr>
          </w:p>
        </w:tc>
      </w:tr>
      <w:tr>
        <w:trPr>
          <w:trHeight w:val="128"/>
        </w:trPr>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Second Lien Secured Debt—81.1%</w:t>
            </w:r>
          </w:p>
        </w:tc>
        <w:tc>
          <w:tcPr>
            <w:tcW w:w="11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10/31/2018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8.50%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15,300,000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14,007,150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13,750,875</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09/01/2017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11.50%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25,400,000</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25,400,000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22,796,500</w:t>
            </w:r>
          </w:p>
        </w:tc>
      </w:tr>
      <w:tr>
        <w:trPr>
          <w:trHeight w:val="149"/>
        </w:trPr>
        <w:tc>
          <w:tcPr>
            <w:tcW w:w="3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1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12/02/2020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15,500,000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15,313,198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15,471,015</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Balboa Capital Corporation</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03/04/2022</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9,500,000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9,314,299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9,405,000</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(9)</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09/04/2016</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22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9,500,000</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Bennu Oil &amp; Gas, LLC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11/01/2018</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12.25%</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26,265,857</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24,849,707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20,093,381</w:t>
            </w:r>
          </w:p>
        </w:tc>
      </w:tr>
      <w:tr>
        <w:trPr>
          <w:trHeight w:val="163"/>
        </w:trPr>
        <w:tc>
          <w:tcPr>
            <w:tcW w:w="3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(PIK 2.50%)</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04/30/2019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12.00%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45,000,000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44,618,018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45,346,581</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04/30/2019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L+1,200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33,025,394</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32,481,464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33,355,647</w:t>
            </w:r>
          </w:p>
        </w:tc>
      </w:tr>
      <w:tr>
        <w:trPr>
          <w:trHeight w:val="163"/>
        </w:trPr>
        <w:tc>
          <w:tcPr>
            <w:tcW w:w="3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(PIK 1.00%)</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09/30/2020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41,250,000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39,009,942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40,837,500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03/01/2017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122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4,162,484</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4,162,486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1,165,496</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07/31/2019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34,000,000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33,450,435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34,277,404</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300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w w:val="95"/>
              </w:rPr>
              <w:t>10/29/2019   Hotels, Motels, Inns and Gaming</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48,765,129</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48,274,438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48,765,129</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KIK Custom Products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10/29/2019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9.50%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9,500,000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9,378,418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9,500,000</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12/20/2016</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10.50%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41,812,500</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41,527,711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41,603,438</w:t>
            </w:r>
          </w:p>
        </w:tc>
      </w:tr>
      <w:tr>
        <w:trPr>
          <w:trHeight w:val="149"/>
        </w:trPr>
        <w:tc>
          <w:tcPr>
            <w:tcW w:w="3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10/31/2017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2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11,875,000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11,649,448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10,271,937</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05/15/2019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11.75%</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45,000,000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44,677,842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37,800,000</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07/07/2021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11.75%</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41,250,000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40,867,704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40,425,000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300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w w:val="95"/>
              </w:rPr>
              <w:t>12/17/2021   Hotels, Motels, Inns and Gaming</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75,000,000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75,000,000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75,323,525</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10/02/2020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19,698,091</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19,473,273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19,698,092</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07/01/2020</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3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2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10.25%</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L+900</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56,750,000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56,080,774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56,395,313</w:t>
            </w: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140" w:type="dxa"/>
            <w:vAlign w:val="bottom"/>
          </w:tcPr>
          <w:p>
            <w:pPr>
              <w:ind w:left="460"/>
              <w:spacing w:after="0" w:line="121" w:lineRule="exact"/>
              <w:rPr>
                <w:sz w:val="20"/>
                <w:szCs w:val="20"/>
                <w:color w:val="auto"/>
              </w:rPr>
            </w:pPr>
            <w:r>
              <w:rPr>
                <w:rFonts w:ascii="Arial" w:cs="Arial" w:eastAsia="Arial" w:hAnsi="Arial"/>
                <w:sz w:val="13"/>
                <w:szCs w:val="13"/>
                <w:color w:val="auto"/>
              </w:rPr>
              <w:t>07/01/2022</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3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220" w:type="dxa"/>
            <w:vAlign w:val="bottom"/>
          </w:tcPr>
          <w:p>
            <w:pPr>
              <w:jc w:val="right"/>
              <w:ind w:right="357"/>
              <w:spacing w:after="0"/>
              <w:rPr>
                <w:sz w:val="20"/>
                <w:szCs w:val="20"/>
                <w:color w:val="auto"/>
              </w:rPr>
            </w:pPr>
            <w:r>
              <w:rPr>
                <w:rFonts w:ascii="Arial" w:cs="Arial" w:eastAsia="Arial" w:hAnsi="Arial"/>
                <w:sz w:val="13"/>
                <w:szCs w:val="13"/>
                <w:color w:val="auto"/>
              </w:rPr>
              <w:t>9.75%</w:t>
            </w:r>
          </w:p>
        </w:tc>
        <w:tc>
          <w:tcPr>
            <w:tcW w:w="940" w:type="dxa"/>
            <w:vAlign w:val="bottom"/>
          </w:tcPr>
          <w:p>
            <w:pPr>
              <w:jc w:val="right"/>
              <w:ind w:right="157"/>
              <w:spacing w:after="0"/>
              <w:rPr>
                <w:sz w:val="20"/>
                <w:szCs w:val="20"/>
                <w:color w:val="auto"/>
              </w:rPr>
            </w:pPr>
            <w:r>
              <w:rPr>
                <w:rFonts w:ascii="Arial" w:cs="Arial" w:eastAsia="Arial" w:hAnsi="Arial"/>
                <w:sz w:val="13"/>
                <w:szCs w:val="13"/>
                <w:color w:val="auto"/>
              </w:rPr>
              <w:t>L+875</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28,500,000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28,072,500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28,072,500</w:t>
            </w:r>
          </w:p>
        </w:tc>
      </w:tr>
      <w:tr>
        <w:trPr>
          <w:trHeight w:val="20"/>
        </w:trPr>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Second Lien Secured Debt</w:t>
            </w:r>
          </w:p>
        </w:tc>
        <w:tc>
          <w:tcPr>
            <w:tcW w:w="11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4"/>
              </w:rPr>
              <w:t>617,608,807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604,354,333</w:t>
            </w:r>
          </w:p>
        </w:tc>
      </w:tr>
      <w:tr>
        <w:trPr>
          <w:trHeight w:val="129"/>
        </w:trPr>
        <w:tc>
          <w:tcPr>
            <w:tcW w:w="3240" w:type="dxa"/>
            <w:vAlign w:val="bottom"/>
          </w:tcPr>
          <w:p>
            <w:pPr>
              <w:spacing w:after="0" w:line="129" w:lineRule="exact"/>
              <w:rPr>
                <w:sz w:val="20"/>
                <w:szCs w:val="20"/>
                <w:color w:val="auto"/>
              </w:rPr>
            </w:pPr>
            <w:r>
              <w:rPr>
                <w:rFonts w:ascii="Arial" w:cs="Arial" w:eastAsia="Arial" w:hAnsi="Arial"/>
                <w:sz w:val="13"/>
                <w:szCs w:val="13"/>
                <w:b w:val="1"/>
                <w:bCs w:val="1"/>
                <w:color w:val="auto"/>
              </w:rPr>
              <w:t>Subordinated Debt/Corporate Notes—20.6%</w:t>
            </w: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09/14/2018</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14.50%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38,591,964</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34,708,706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21,225,580</w:t>
            </w:r>
          </w:p>
        </w:tc>
      </w:tr>
      <w:tr>
        <w:trPr>
          <w:trHeight w:val="163"/>
        </w:trPr>
        <w:tc>
          <w:tcPr>
            <w:tcW w:w="3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(PIK 14.50%)</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08/15/2018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13.50%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15,096,000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15,096,000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6,642,240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02/15/2019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8,930,000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8,810,714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8,911,498</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Associated Materials, LLC</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11/01/2017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9.13%</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2,850,000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2,505,283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2,365,500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LP Holdings, LLC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08/20/2021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22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23,600,000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23,096,295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23,364,000</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02/20/2017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220" w:type="dxa"/>
            <w:vAlign w:val="bottom"/>
          </w:tcPr>
          <w:p>
            <w:pPr>
              <w:jc w:val="right"/>
              <w:ind w:right="4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15,000,000</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187,500</w:t>
            </w: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114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10/26/2018</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220" w:type="dxa"/>
            <w:vAlign w:val="bottom"/>
            <w:shd w:val="clear" w:color="auto" w:fill="CCEEFF"/>
          </w:tcPr>
          <w:p>
            <w:pPr>
              <w:jc w:val="right"/>
              <w:ind w:right="357"/>
              <w:spacing w:after="0" w:line="121" w:lineRule="exact"/>
              <w:rPr>
                <w:sz w:val="20"/>
                <w:szCs w:val="20"/>
                <w:color w:val="auto"/>
              </w:rPr>
            </w:pPr>
            <w:r>
              <w:rPr>
                <w:rFonts w:ascii="Arial" w:cs="Arial" w:eastAsia="Arial" w:hAnsi="Arial"/>
                <w:sz w:val="13"/>
                <w:szCs w:val="13"/>
                <w:color w:val="auto"/>
              </w:rPr>
              <w:t>13.00%</w:t>
            </w:r>
          </w:p>
        </w:tc>
        <w:tc>
          <w:tcPr>
            <w:tcW w:w="9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10,752,918</w:t>
            </w:r>
          </w:p>
        </w:tc>
        <w:tc>
          <w:tcPr>
            <w:tcW w:w="90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10,607,668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10,781,582</w:t>
            </w:r>
          </w:p>
        </w:tc>
      </w:tr>
      <w:tr>
        <w:trPr>
          <w:trHeight w:val="163"/>
        </w:trPr>
        <w:tc>
          <w:tcPr>
            <w:tcW w:w="3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(PIK 1.75%)</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Energy &amp; Exploration Partners, Inc. </w:t>
            </w:r>
            <w:r>
              <w:rPr>
                <w:rFonts w:ascii="Arial" w:cs="Arial" w:eastAsia="Arial" w:hAnsi="Arial"/>
                <w:sz w:val="10"/>
                <w:szCs w:val="10"/>
                <w:color w:val="auto"/>
              </w:rPr>
              <w:t>(5)</w:t>
            </w:r>
          </w:p>
        </w:tc>
        <w:tc>
          <w:tcPr>
            <w:tcW w:w="1140" w:type="dxa"/>
            <w:vAlign w:val="bottom"/>
          </w:tcPr>
          <w:p>
            <w:pPr>
              <w:ind w:left="460"/>
              <w:spacing w:after="0" w:line="135" w:lineRule="exact"/>
              <w:rPr>
                <w:sz w:val="20"/>
                <w:szCs w:val="20"/>
                <w:color w:val="auto"/>
              </w:rPr>
            </w:pPr>
            <w:r>
              <w:rPr>
                <w:rFonts w:ascii="Arial" w:cs="Arial" w:eastAsia="Arial" w:hAnsi="Arial"/>
                <w:sz w:val="13"/>
                <w:szCs w:val="13"/>
                <w:color w:val="auto"/>
              </w:rPr>
              <w:t>07/01/2019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8.00%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8,550,000</w:t>
            </w: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8,550,000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2,180,250</w:t>
            </w: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MSPark, Inc.</w:t>
            </w:r>
          </w:p>
        </w:tc>
        <w:tc>
          <w:tcPr>
            <w:tcW w:w="114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rPr>
              <w:t>06/15/2017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12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9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15,000,000</w:t>
            </w:r>
          </w:p>
        </w:tc>
        <w:tc>
          <w:tcPr>
            <w:tcW w:w="9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14,818,644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15,000,000</w:t>
            </w: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40" w:type="dxa"/>
            <w:vAlign w:val="bottom"/>
          </w:tcPr>
          <w:p>
            <w:pPr>
              <w:ind w:left="460"/>
              <w:spacing w:after="0" w:line="121" w:lineRule="exact"/>
              <w:rPr>
                <w:sz w:val="20"/>
                <w:szCs w:val="20"/>
                <w:color w:val="auto"/>
              </w:rPr>
            </w:pPr>
            <w:r>
              <w:rPr>
                <w:rFonts w:ascii="Arial" w:cs="Arial" w:eastAsia="Arial" w:hAnsi="Arial"/>
                <w:sz w:val="13"/>
                <w:szCs w:val="13"/>
                <w:color w:val="auto"/>
              </w:rPr>
              <w:t>11/15/2019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220" w:type="dxa"/>
            <w:vAlign w:val="bottom"/>
          </w:tcPr>
          <w:p>
            <w:pPr>
              <w:jc w:val="right"/>
              <w:ind w:right="357"/>
              <w:spacing w:after="0" w:line="121" w:lineRule="exact"/>
              <w:rPr>
                <w:sz w:val="20"/>
                <w:szCs w:val="20"/>
                <w:color w:val="auto"/>
              </w:rPr>
            </w:pPr>
            <w:r>
              <w:rPr>
                <w:rFonts w:ascii="Arial" w:cs="Arial" w:eastAsia="Arial" w:hAnsi="Arial"/>
                <w:sz w:val="13"/>
                <w:szCs w:val="13"/>
                <w:color w:val="auto"/>
              </w:rPr>
              <w:t>12.00%</w:t>
            </w:r>
          </w:p>
        </w:tc>
        <w:tc>
          <w:tcPr>
            <w:tcW w:w="9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15,204,289</w:t>
            </w:r>
          </w:p>
        </w:tc>
        <w:tc>
          <w:tcPr>
            <w:tcW w:w="900" w:type="dxa"/>
            <w:vAlign w:val="bottom"/>
            <w:gridSpan w:val="3"/>
          </w:tcPr>
          <w:p>
            <w:pPr>
              <w:jc w:val="right"/>
              <w:ind w:right="100"/>
              <w:spacing w:after="0" w:line="121" w:lineRule="exact"/>
              <w:rPr>
                <w:sz w:val="20"/>
                <w:szCs w:val="20"/>
                <w:color w:val="auto"/>
              </w:rPr>
            </w:pPr>
            <w:r>
              <w:rPr>
                <w:rFonts w:ascii="Arial" w:cs="Arial" w:eastAsia="Arial" w:hAnsi="Arial"/>
                <w:sz w:val="13"/>
                <w:szCs w:val="13"/>
                <w:color w:val="auto"/>
              </w:rPr>
              <w:t>14,810,660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7,602,145</w:t>
            </w:r>
          </w:p>
        </w:tc>
      </w:tr>
      <w:tr>
        <w:trPr>
          <w:trHeight w:val="161"/>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(PIK 12.00%)</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36"/>
        </w:trPr>
        <w:tc>
          <w:tcPr>
            <w:tcW w:w="32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Randall-Reilly, LLC</w:t>
            </w:r>
          </w:p>
        </w:tc>
        <w:tc>
          <w:tcPr>
            <w:tcW w:w="1140" w:type="dxa"/>
            <w:vAlign w:val="bottom"/>
            <w:shd w:val="clear" w:color="auto" w:fill="CCEEFF"/>
          </w:tcPr>
          <w:p>
            <w:pPr>
              <w:ind w:left="460"/>
              <w:spacing w:after="0" w:line="136" w:lineRule="exact"/>
              <w:rPr>
                <w:sz w:val="20"/>
                <w:szCs w:val="20"/>
                <w:color w:val="auto"/>
              </w:rPr>
            </w:pPr>
            <w:r>
              <w:rPr>
                <w:rFonts w:ascii="Arial" w:cs="Arial" w:eastAsia="Arial" w:hAnsi="Arial"/>
                <w:sz w:val="13"/>
                <w:szCs w:val="13"/>
                <w:color w:val="auto"/>
              </w:rPr>
              <w:t>04/15/2019</w:t>
            </w:r>
          </w:p>
        </w:tc>
        <w:tc>
          <w:tcPr>
            <w:tcW w:w="18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Other Media</w:t>
            </w:r>
          </w:p>
        </w:tc>
        <w:tc>
          <w:tcPr>
            <w:tcW w:w="1220" w:type="dxa"/>
            <w:vAlign w:val="bottom"/>
            <w:shd w:val="clear" w:color="auto" w:fill="CCEEFF"/>
          </w:tcPr>
          <w:p>
            <w:pPr>
              <w:jc w:val="right"/>
              <w:ind w:right="237"/>
              <w:spacing w:after="0" w:line="136"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9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42,275,000</w:t>
            </w:r>
          </w:p>
        </w:tc>
        <w:tc>
          <w:tcPr>
            <w:tcW w:w="90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41,581,843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42,341,523</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3000" w:type="dxa"/>
            <w:vAlign w:val="bottom"/>
            <w:gridSpan w:val="2"/>
          </w:tcPr>
          <w:p>
            <w:pPr>
              <w:ind w:left="460"/>
              <w:spacing w:after="0" w:line="135" w:lineRule="exact"/>
              <w:rPr>
                <w:sz w:val="20"/>
                <w:szCs w:val="20"/>
                <w:color w:val="auto"/>
              </w:rPr>
            </w:pPr>
            <w:r>
              <w:rPr>
                <w:rFonts w:ascii="Arial" w:cs="Arial" w:eastAsia="Arial" w:hAnsi="Arial"/>
                <w:sz w:val="13"/>
                <w:szCs w:val="13"/>
                <w:color w:val="auto"/>
                <w:w w:val="96"/>
              </w:rPr>
              <w:t>05/13/2021   Manufacturing / Basic Industries</w:t>
            </w:r>
          </w:p>
        </w:tc>
        <w:tc>
          <w:tcPr>
            <w:tcW w:w="12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11.00%</w:t>
            </w:r>
          </w:p>
        </w:tc>
        <w:tc>
          <w:tcPr>
            <w:tcW w:w="9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13,300,000</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13,054,908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13,167,000</w:t>
            </w:r>
          </w:p>
        </w:tc>
      </w:tr>
      <w:tr>
        <w:trPr>
          <w:trHeight w:val="129"/>
        </w:trPr>
        <w:tc>
          <w:tcPr>
            <w:tcW w:w="3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11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187,640,721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153,768,818</w:t>
            </w:r>
          </w:p>
        </w:tc>
        <w:tc>
          <w:tcPr>
            <w:tcW w:w="140" w:type="dxa"/>
            <w:vAlign w:val="bottom"/>
            <w:shd w:val="clear" w:color="auto" w:fill="CCEE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1"/>
              </w:rPr>
              <w:t>Basis Point</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900" w:type="dxa"/>
            <w:vAlign w:val="bottom"/>
          </w:tcPr>
          <w:p>
            <w:pPr>
              <w:spacing w:after="0"/>
              <w:rPr>
                <w:sz w:val="11"/>
                <w:szCs w:val="11"/>
                <w:color w:val="auto"/>
              </w:rPr>
            </w:pPr>
          </w:p>
        </w:tc>
        <w:tc>
          <w:tcPr>
            <w:tcW w:w="100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96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80" w:type="dxa"/>
            <w:vAlign w:val="bottom"/>
            <w:vMerge w:val="continue"/>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900" w:type="dxa"/>
            <w:vAlign w:val="bottom"/>
          </w:tcPr>
          <w:p>
            <w:pPr>
              <w:ind w:left="680"/>
              <w:spacing w:after="0"/>
              <w:rPr>
                <w:sz w:val="20"/>
                <w:szCs w:val="20"/>
                <w:color w:val="auto"/>
              </w:rPr>
            </w:pPr>
            <w:r>
              <w:rPr>
                <w:rFonts w:ascii="Arial" w:cs="Arial" w:eastAsia="Arial" w:hAnsi="Arial"/>
                <w:sz w:val="13"/>
                <w:szCs w:val="13"/>
                <w:b w:val="1"/>
                <w:bCs w:val="1"/>
                <w:color w:val="auto"/>
              </w:rPr>
              <w:t>Industry</w:t>
            </w:r>
          </w:p>
        </w:tc>
        <w:tc>
          <w:tcPr>
            <w:tcW w:w="100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(3)</w:t>
            </w:r>
          </w:p>
        </w:tc>
        <w:tc>
          <w:tcPr>
            <w:tcW w:w="0" w:type="dxa"/>
            <w:vAlign w:val="bottom"/>
          </w:tcPr>
          <w:p>
            <w:pPr>
              <w:spacing w:after="0"/>
              <w:rPr>
                <w:sz w:val="1"/>
                <w:szCs w:val="1"/>
                <w:color w:val="auto"/>
              </w:rPr>
            </w:pPr>
          </w:p>
        </w:tc>
      </w:tr>
      <w:tr>
        <w:trPr>
          <w:trHeight w:val="128"/>
        </w:trPr>
        <w:tc>
          <w:tcPr>
            <w:tcW w:w="3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Interests—2.0% </w:t>
            </w:r>
            <w:r>
              <w:rPr>
                <w:rFonts w:ascii="Arial" w:cs="Arial" w:eastAsia="Arial" w:hAnsi="Arial"/>
                <w:sz w:val="10"/>
                <w:szCs w:val="10"/>
                <w:b w:val="1"/>
                <w:bCs w:val="1"/>
                <w:color w:val="auto"/>
              </w:rPr>
              <w:t>(6)</w:t>
            </w:r>
          </w:p>
        </w:tc>
        <w:tc>
          <w:tcPr>
            <w:tcW w:w="80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6.00%</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500,000</w:t>
            </w:r>
          </w:p>
        </w:tc>
        <w:tc>
          <w:tcPr>
            <w:tcW w:w="2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252,204</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Alegeus Technologies Holdings Corp. (Alegeus Technologies,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949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949,050</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976,423</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8.00%</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76,357</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765,307</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3,538,695</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38,179</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2,375</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2,088,121</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2,177,509</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3,591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J.A. Cosmetics US, Inc.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8.00%</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3,397</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3,397,484</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3,800,451</w:t>
            </w:r>
          </w:p>
        </w:tc>
        <w:tc>
          <w:tcPr>
            <w:tcW w:w="0" w:type="dxa"/>
            <w:vAlign w:val="bottom"/>
          </w:tcPr>
          <w:p>
            <w:pPr>
              <w:spacing w:after="0"/>
              <w:rPr>
                <w:sz w:val="1"/>
                <w:szCs w:val="1"/>
                <w:color w:val="auto"/>
              </w:rPr>
            </w:pPr>
          </w:p>
        </w:tc>
      </w:tr>
      <w:tr>
        <w:trPr>
          <w:trHeight w:val="149"/>
        </w:trPr>
        <w:tc>
          <w:tcPr>
            <w:tcW w:w="3580" w:type="dxa"/>
            <w:vAlign w:val="bottom"/>
          </w:tcPr>
          <w:p>
            <w:pPr>
              <w:ind w:left="140"/>
              <w:spacing w:after="0"/>
              <w:rPr>
                <w:sz w:val="20"/>
                <w:szCs w:val="20"/>
                <w:color w:val="auto"/>
              </w:rPr>
            </w:pPr>
            <w:r>
              <w:rPr>
                <w:rFonts w:ascii="Arial" w:cs="Arial" w:eastAsia="Arial" w:hAnsi="Arial"/>
                <w:sz w:val="13"/>
                <w:szCs w:val="13"/>
                <w:color w:val="auto"/>
              </w:rPr>
              <w:t>(J.A. Cosmetics Holdings, Inc.)</w:t>
            </w:r>
          </w:p>
        </w:tc>
        <w:tc>
          <w:tcPr>
            <w:tcW w:w="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0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1,966,667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2,102,669</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3,112,967</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1,197</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1,197,000</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1,266,885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Preferred Equity/Partnership Interests</w:t>
            </w:r>
          </w:p>
        </w:tc>
        <w:tc>
          <w:tcPr>
            <w:tcW w:w="8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10,999,631</w:t>
            </w:r>
          </w:p>
        </w:tc>
        <w:tc>
          <w:tcPr>
            <w:tcW w:w="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15,149,311</w:t>
            </w:r>
          </w:p>
        </w:tc>
        <w:tc>
          <w:tcPr>
            <w:tcW w:w="0" w:type="dxa"/>
            <w:vAlign w:val="bottom"/>
          </w:tcPr>
          <w:p>
            <w:pPr>
              <w:spacing w:after="0"/>
              <w:rPr>
                <w:sz w:val="1"/>
                <w:szCs w:val="1"/>
                <w:color w:val="auto"/>
              </w:rPr>
            </w:pPr>
          </w:p>
        </w:tc>
      </w:tr>
      <w:tr>
        <w:trPr>
          <w:trHeight w:val="128"/>
        </w:trPr>
        <w:tc>
          <w:tcPr>
            <w:tcW w:w="3580" w:type="dxa"/>
            <w:vAlign w:val="bottom"/>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Interests/Warrants—6.5% </w:t>
            </w:r>
            <w:r>
              <w:rPr>
                <w:rFonts w:ascii="Arial" w:cs="Arial" w:eastAsia="Arial" w:hAnsi="Arial"/>
                <w:sz w:val="10"/>
                <w:szCs w:val="10"/>
                <w:b w:val="1"/>
                <w:bCs w:val="1"/>
                <w:color w:val="auto"/>
              </w:rPr>
              <w:t>(6)</w:t>
            </w:r>
          </w:p>
        </w:tc>
        <w:tc>
          <w:tcPr>
            <w:tcW w:w="8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 (f/k/a Z Wireless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1,736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445,500</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2,581,037</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6"/>
              </w:rPr>
              <w:t>12/12/2023</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4,798,624</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10,265,972</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2,279,347</w:t>
            </w:r>
          </w:p>
        </w:tc>
        <w:tc>
          <w:tcPr>
            <w:tcW w:w="0" w:type="dxa"/>
            <w:vAlign w:val="bottom"/>
          </w:tcPr>
          <w:p>
            <w:pPr>
              <w:spacing w:after="0"/>
              <w:rPr>
                <w:sz w:val="1"/>
                <w:szCs w:val="1"/>
                <w:color w:val="auto"/>
              </w:rPr>
            </w:pPr>
          </w:p>
        </w:tc>
      </w:tr>
      <w:tr>
        <w:trPr>
          <w:trHeight w:val="149"/>
        </w:trPr>
        <w:tc>
          <w:tcPr>
            <w:tcW w:w="3580" w:type="dxa"/>
            <w:vAlign w:val="bottom"/>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12/12/2023</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9,822,196</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6"/>
              </w:rPr>
              <w:t>03/23/2021</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753</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Alegeus Technologies Holding Corp.</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Financial Services</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950</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(Alegeus Technologies, LLC)</w:t>
            </w: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6"/>
              </w:rPr>
              <w:t>05/05/2026</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Education</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933</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762,408</w:t>
            </w: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Autumn Games, LLC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Broadcasting and</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1,333,330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Entertainment</w:t>
            </w: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137,923</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23,600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2,659,507</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207,242</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2,250,000</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3,274,270</w:t>
            </w:r>
          </w:p>
        </w:tc>
        <w:tc>
          <w:tcPr>
            <w:tcW w:w="0" w:type="dxa"/>
            <w:vAlign w:val="bottom"/>
          </w:tcPr>
          <w:p>
            <w:pPr>
              <w:spacing w:after="0"/>
              <w:rPr>
                <w:sz w:val="1"/>
                <w:szCs w:val="1"/>
                <w:color w:val="auto"/>
              </w:rPr>
            </w:pPr>
          </w:p>
        </w:tc>
      </w:tr>
      <w:tr>
        <w:trPr>
          <w:trHeight w:val="149"/>
        </w:trPr>
        <w:tc>
          <w:tcPr>
            <w:tcW w:w="358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103,621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1,505,000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1,505,000</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1,891,483</w:t>
            </w: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23,416</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234,693</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1,085,251</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11,708</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2,375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1,085,113</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3,520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171,601</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171,601</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388,378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2,312,692</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J.A. Cosmetics US, Inc. (J.A. Cosmetics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252</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2,516</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1,012,263</w:t>
            </w: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1,079,920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1,236,832</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7,076,532</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1,079,920</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1,028,807</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971,043</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795,927</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6"/>
              </w:rPr>
              <w:t>04/16/2016</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122,192</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182,498</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21"/>
        </w:trPr>
        <w:tc>
          <w:tcPr>
            <w:tcW w:w="3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MidOcean PPL Holdings, Corp. (Pre-Paid Legal Services, Inc.)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w:t>
            </w:r>
          </w:p>
        </w:tc>
        <w:tc>
          <w:tcPr>
            <w:tcW w:w="100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3,000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28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5,146,588</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Miscellaneous</w:t>
            </w: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10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6"/>
              </w:rPr>
              <w:t>05/09/2024</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13,500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495,000</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11/27/2023</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123,129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238,049</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1,641,310</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1,350,000</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970,563</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1,122,382</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150,000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150,000</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1,471,390</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Ride Group Parent,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1,870,331</w:t>
            </w:r>
          </w:p>
        </w:tc>
        <w:tc>
          <w:tcPr>
            <w:tcW w:w="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148,998</w:t>
            </w: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9,882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11,314</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580" w:type="dxa"/>
            <w:vAlign w:val="bottom"/>
          </w:tcPr>
          <w:p>
            <w:pPr>
              <w:spacing w:after="0" w:line="121" w:lineRule="exact"/>
              <w:rPr>
                <w:sz w:val="20"/>
                <w:szCs w:val="20"/>
                <w:color w:val="auto"/>
              </w:rPr>
            </w:pPr>
            <w:r>
              <w:rPr>
                <w:rFonts w:ascii="Arial" w:cs="Arial" w:eastAsia="Arial" w:hAnsi="Arial"/>
                <w:sz w:val="13"/>
                <w:szCs w:val="13"/>
                <w:color w:val="auto"/>
              </w:rPr>
              <w:t>Roto Holdings, Inc.</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21" w:lineRule="exact"/>
              <w:rPr>
                <w:sz w:val="20"/>
                <w:szCs w:val="20"/>
                <w:color w:val="auto"/>
              </w:rPr>
            </w:pPr>
            <w:r>
              <w:rPr>
                <w:rFonts w:ascii="Arial" w:cs="Arial" w:eastAsia="Arial" w:hAnsi="Arial"/>
                <w:sz w:val="13"/>
                <w:szCs w:val="13"/>
                <w:color w:val="auto"/>
                <w:w w:val="89"/>
              </w:rPr>
              <w:t>Manufacturing / Basic</w:t>
            </w:r>
          </w:p>
        </w:tc>
        <w:tc>
          <w:tcPr>
            <w:tcW w:w="100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1,330</w:t>
            </w:r>
          </w:p>
        </w:tc>
        <w:tc>
          <w:tcPr>
            <w:tcW w:w="60" w:type="dxa"/>
            <w:vAlign w:val="bottom"/>
          </w:tcPr>
          <w:p>
            <w:pPr>
              <w:spacing w:after="0"/>
              <w:rPr>
                <w:sz w:val="10"/>
                <w:szCs w:val="10"/>
                <w:color w:val="auto"/>
              </w:rPr>
            </w:pPr>
          </w:p>
        </w:tc>
        <w:tc>
          <w:tcPr>
            <w:tcW w:w="7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133,000</w:t>
            </w:r>
          </w:p>
        </w:tc>
        <w:tc>
          <w:tcPr>
            <w:tcW w:w="2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371,192</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88"/>
              </w:rPr>
              <w:t>Industries</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211,797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3,406,816</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VText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35,526</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4,050,000</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7,293,794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36,373,729</w:t>
            </w:r>
          </w:p>
        </w:tc>
        <w:tc>
          <w:tcPr>
            <w:tcW w:w="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48,759,586</w:t>
            </w:r>
          </w:p>
        </w:tc>
        <w:tc>
          <w:tcPr>
            <w:tcW w:w="0" w:type="dxa"/>
            <w:vAlign w:val="bottom"/>
          </w:tcPr>
          <w:p>
            <w:pPr>
              <w:spacing w:after="0"/>
              <w:rPr>
                <w:sz w:val="1"/>
                <w:szCs w:val="1"/>
                <w:color w:val="auto"/>
              </w:rPr>
            </w:pPr>
          </w:p>
        </w:tc>
      </w:tr>
      <w:tr>
        <w:trPr>
          <w:trHeight w:val="129"/>
        </w:trPr>
        <w:tc>
          <w:tcPr>
            <w:tcW w:w="43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1,097,132,390</w:t>
            </w: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1,066,250,974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Spread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Par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00" w:type="dxa"/>
            <w:vAlign w:val="bottom"/>
            <w:gridSpan w:val="2"/>
            <w:vMerge w:val="continue"/>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Expiration</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Industry</w:t>
            </w: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Coupon</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 xml:space="preserve">Index </w:t>
            </w:r>
            <w:r>
              <w:rPr>
                <w:rFonts w:ascii="Arial" w:cs="Arial" w:eastAsia="Arial" w:hAnsi="Arial"/>
                <w:sz w:val="10"/>
                <w:szCs w:val="10"/>
                <w:b w:val="1"/>
                <w:bCs w:val="1"/>
                <w:color w:val="auto"/>
                <w:w w:val="88"/>
              </w:rPr>
              <w:t>(4)</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15"/>
        </w:trPr>
        <w:tc>
          <w:tcPr>
            <w:tcW w:w="6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6"/>
              </w:rPr>
              <w:t>Investments</w:t>
            </w:r>
          </w:p>
        </w:tc>
        <w:tc>
          <w:tcPr>
            <w:tcW w:w="402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 xml:space="preserve">in Non-Controlled, Affiliated Portfolio Companies—23.8% </w:t>
            </w:r>
            <w:r>
              <w:rPr>
                <w:rFonts w:ascii="Arial" w:cs="Arial" w:eastAsia="Arial" w:hAnsi="Arial"/>
                <w:sz w:val="10"/>
                <w:szCs w:val="10"/>
                <w:b w:val="1"/>
                <w:bCs w:val="1"/>
                <w:color w:val="auto"/>
              </w:rPr>
              <w:t>(1), (2)</w:t>
            </w: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Debt—14.1%</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A</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07/18/2019</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Energy and Utilities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12.00%</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L+1,000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75,000,000</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73,674,782</w:t>
            </w: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66,000,000</w:t>
            </w: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RAM Energy LLC, Tranche B</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07/20/2015</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Energy and Utilities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15.00%</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L+1,300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20,000,000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19,961,945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17,600,000</w:t>
            </w: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04/30/2018</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12.00%</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L+1,050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23,514,911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23,261,247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21,163,420</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116,897,974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104,763,420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Second Lien Secured Debt—1.2%</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12/26/2017</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Environmental Services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L+800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9,409,740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9,217,303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Notes—4.7%</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12,710,748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12,710,749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7,372,234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Service Champ, Inc.</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10/02/2017</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Auto Sector</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28,000,000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27,670,753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28,120,767</w:t>
            </w:r>
          </w:p>
        </w:tc>
        <w:tc>
          <w:tcPr>
            <w:tcW w:w="0" w:type="dxa"/>
            <w:vAlign w:val="bottom"/>
          </w:tcPr>
          <w:p>
            <w:pPr>
              <w:spacing w:after="0"/>
              <w:rPr>
                <w:sz w:val="1"/>
                <w:szCs w:val="1"/>
                <w:color w:val="auto"/>
              </w:rPr>
            </w:pPr>
          </w:p>
        </w:tc>
      </w:tr>
      <w:tr>
        <w:trPr>
          <w:trHeight w:val="129"/>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40,381,502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35,493,001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20,059,340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Interests/Warrants—3.1%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104,719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21,492,822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11/05/2022</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15,486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700" w:type="dxa"/>
            <w:vAlign w:val="bottom"/>
            <w:gridSpan w:val="2"/>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Environmental Services</w:t>
            </w:r>
          </w:p>
        </w:tc>
        <w:tc>
          <w:tcPr>
            <w:tcW w:w="98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143,668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11,960,702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10,331,274</w:t>
            </w:r>
          </w:p>
        </w:tc>
        <w:tc>
          <w:tcPr>
            <w:tcW w:w="0" w:type="dxa"/>
            <w:vAlign w:val="bottom"/>
          </w:tcPr>
          <w:p>
            <w:pPr>
              <w:spacing w:after="0"/>
              <w:rPr>
                <w:sz w:val="1"/>
                <w:szCs w:val="1"/>
                <w:color w:val="auto"/>
              </w:rPr>
            </w:pPr>
          </w:p>
        </w:tc>
      </w:tr>
      <w:tr>
        <w:trPr>
          <w:trHeight w:val="161"/>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NCP-Performance, L.P.</w:t>
            </w:r>
          </w:p>
        </w:tc>
        <w:tc>
          <w:tcPr>
            <w:tcW w:w="7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91"/>
              </w:rPr>
              <w:t>—</w:t>
            </w:r>
          </w:p>
        </w:tc>
        <w:tc>
          <w:tcPr>
            <w:tcW w:w="13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7"/>
              </w:rPr>
              <w:t>Leisure, Amusement,</w:t>
            </w:r>
          </w:p>
        </w:tc>
        <w:tc>
          <w:tcPr>
            <w:tcW w:w="98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375,000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3"/>
                <w:szCs w:val="13"/>
                <w:color w:val="auto"/>
              </w:rPr>
              <w:t>3,750,000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80" w:type="dxa"/>
            <w:vAlign w:val="bottom"/>
            <w:shd w:val="clear" w:color="auto" w:fill="CCEEFF"/>
          </w:tcPr>
          <w:p>
            <w:pPr>
              <w:spacing w:after="0"/>
              <w:rPr>
                <w:sz w:val="11"/>
                <w:szCs w:val="11"/>
                <w:color w:val="auto"/>
              </w:rPr>
            </w:pPr>
          </w:p>
        </w:tc>
        <w:tc>
          <w:tcPr>
            <w:tcW w:w="4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Motion Pictures</w:t>
            </w: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and Entertainment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700" w:type="dxa"/>
            <w:vAlign w:val="bottom"/>
            <w:gridSpan w:val="2"/>
          </w:tcPr>
          <w:p>
            <w:pPr>
              <w:spacing w:after="0" w:line="121" w:lineRule="exact"/>
              <w:rPr>
                <w:sz w:val="20"/>
                <w:szCs w:val="20"/>
                <w:color w:val="auto"/>
              </w:rPr>
            </w:pPr>
            <w:r>
              <w:rPr>
                <w:rFonts w:ascii="Arial" w:cs="Arial" w:eastAsia="Arial" w:hAnsi="Arial"/>
                <w:sz w:val="13"/>
                <w:szCs w:val="13"/>
                <w:color w:val="auto"/>
              </w:rPr>
              <w:t>New Service Champ Holdings,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Auto Sector</w:t>
            </w:r>
          </w:p>
        </w:tc>
        <w:tc>
          <w:tcPr>
            <w:tcW w:w="980" w:type="dxa"/>
            <w:vAlign w:val="bottom"/>
            <w:gridSpan w:val="2"/>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16,800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2,721,600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5,123,212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(Service Champ, Inc.)</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202,620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7,376,154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(11)</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Energy and Utilities</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827,922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491,755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41,144,503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22,830,640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w w:val="96"/>
              </w:rPr>
              <w:t>227,700,622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96"/>
              </w:rPr>
              <w:t>177,468,538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 xml:space="preserve">Investments in Controlled, Affiliated Portfolio Companies—6.8% </w:t>
            </w:r>
            <w:r>
              <w:rPr>
                <w:rFonts w:ascii="Arial" w:cs="Arial" w:eastAsia="Arial" w:hAnsi="Arial"/>
                <w:sz w:val="10"/>
                <w:szCs w:val="10"/>
                <w:b w:val="1"/>
                <w:bCs w:val="1"/>
                <w:color w:val="auto"/>
              </w:rPr>
              <w:t>(1), (2)</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Debt—4.4%</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0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12/31/2018</w:t>
            </w: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L+1,300</w:t>
            </w:r>
          </w:p>
        </w:tc>
        <w:tc>
          <w:tcPr>
            <w:tcW w:w="7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w w:val="92"/>
              </w:rPr>
              <w:t>22,259,043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20,048,651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22,114,335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(PIK 14.00%)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SuttonPark Holdings, Inc.</w:t>
            </w:r>
          </w:p>
        </w:tc>
        <w:tc>
          <w:tcPr>
            <w:tcW w:w="6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06/30/2020</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92"/>
              </w:rPr>
              <w:t>10,050,000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10,050,000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10,322,415</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30,098,651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32,436,750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Second Lien Secured Debt—(0.2)%</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0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600" w:type="dxa"/>
            <w:vAlign w:val="bottom"/>
          </w:tcPr>
          <w:p>
            <w:pPr>
              <w:jc w:val="center"/>
              <w:spacing w:after="0" w:line="121" w:lineRule="exact"/>
              <w:rPr>
                <w:sz w:val="20"/>
                <w:szCs w:val="20"/>
                <w:color w:val="auto"/>
              </w:rPr>
            </w:pPr>
            <w:r>
              <w:rPr>
                <w:rFonts w:ascii="Arial" w:cs="Arial" w:eastAsia="Arial" w:hAnsi="Arial"/>
                <w:sz w:val="13"/>
                <w:szCs w:val="13"/>
                <w:color w:val="auto"/>
                <w:w w:val="86"/>
              </w:rPr>
              <w:t>07/01/2019</w:t>
            </w: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16.00%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L+1,500</w:t>
            </w:r>
          </w:p>
        </w:tc>
        <w:tc>
          <w:tcPr>
            <w:tcW w:w="7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2,633,578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2,633,578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(PIK 16.00%)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6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07/01/2019</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1,775,000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(1,775,000)</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Second Lien Secured Debt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2,633,578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(1,775,000)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Notes—0.3%</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SuttonPark Holdings, Inc.</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2,450,000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2,186,802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Equity—1.4%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0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 Holdings,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15.00%</w:t>
            </w:r>
          </w:p>
        </w:tc>
        <w:tc>
          <w:tcPr>
            <w:tcW w:w="7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37,046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5,000,000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(Superior Digital Displays, LLC)</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14.00%</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11,000,000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10,990,782</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Preferred Equity</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10,990,782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Equity—0.9% </w:t>
            </w:r>
            <w:r>
              <w:rPr>
                <w:rFonts w:ascii="Arial" w:cs="Arial" w:eastAsia="Arial" w:hAnsi="Arial"/>
                <w:sz w:val="10"/>
                <w:szCs w:val="10"/>
                <w:b w:val="1"/>
                <w:bCs w:val="1"/>
                <w:color w:val="auto"/>
              </w:rPr>
              <w:t>(6)</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2"/>
              </w:rPr>
              <w:t>Distribution</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65,933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6,487,297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70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30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360"/>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11,100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2,211,000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(Superior Digital Displays, LLC)</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26,972,931</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6,487,297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78,155,160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50,326,631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Investments—173.6%</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w w:val="84"/>
              </w:rPr>
              <w:t>1,402,988,172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84"/>
              </w:rPr>
              <w:t>1,294,046,143</w:t>
            </w:r>
          </w:p>
        </w:tc>
        <w:tc>
          <w:tcPr>
            <w:tcW w:w="0" w:type="dxa"/>
            <w:vAlign w:val="bottom"/>
          </w:tcPr>
          <w:p>
            <w:pPr>
              <w:spacing w:after="0"/>
              <w:rPr>
                <w:sz w:val="1"/>
                <w:szCs w:val="1"/>
                <w:color w:val="auto"/>
              </w:rPr>
            </w:pPr>
          </w:p>
        </w:tc>
      </w:tr>
      <w:tr>
        <w:trPr>
          <w:trHeight w:val="129"/>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Cash and Cash Equivalents—11.2%</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3,320,678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3,320,678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80,057,954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80,008,294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Cash and Cash Equivalents</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83,378,632</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83,328,972</w:t>
            </w:r>
          </w:p>
        </w:tc>
        <w:tc>
          <w:tcPr>
            <w:tcW w:w="0" w:type="dxa"/>
            <w:vAlign w:val="bottom"/>
          </w:tcPr>
          <w:p>
            <w:pPr>
              <w:spacing w:after="0"/>
              <w:rPr>
                <w:sz w:val="1"/>
                <w:szCs w:val="1"/>
                <w:color w:val="auto"/>
              </w:rPr>
            </w:pPr>
          </w:p>
        </w:tc>
      </w:tr>
      <w:tr>
        <w:trPr>
          <w:trHeight w:val="128"/>
        </w:trPr>
        <w:tc>
          <w:tcPr>
            <w:tcW w:w="47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Investments and Cash Equivalents—184.8%</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1,486,366,804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1,377,375,115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0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Liabilities in Excess of Other Assets—(84.8%)</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100"/>
              <w:spacing w:after="0" w:line="116" w:lineRule="exact"/>
              <w:rPr>
                <w:sz w:val="20"/>
                <w:szCs w:val="20"/>
                <w:color w:val="auto"/>
              </w:rPr>
            </w:pPr>
            <w:r>
              <w:rPr>
                <w:rFonts w:ascii="Arial" w:cs="Arial" w:eastAsia="Arial" w:hAnsi="Arial"/>
                <w:sz w:val="13"/>
                <w:szCs w:val="13"/>
                <w:color w:val="auto"/>
                <w:w w:val="91"/>
              </w:rPr>
              <w:t>(631,831,938)</w:t>
            </w:r>
          </w:p>
        </w:tc>
        <w:tc>
          <w:tcPr>
            <w:tcW w:w="0" w:type="dxa"/>
            <w:vAlign w:val="bottom"/>
          </w:tcPr>
          <w:p>
            <w:pPr>
              <w:spacing w:after="0"/>
              <w:rPr>
                <w:sz w:val="1"/>
                <w:szCs w:val="1"/>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745,543,177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 All securities are subject to a LIBOR or Prime rate floor where a spread is provided, unless noted. The spread provided includes payment-in-kind, or PIK, interest and other fee rates, if any.</w:t>
      </w:r>
    </w:p>
    <w:p>
      <w:pPr>
        <w:ind w:left="340" w:righ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80"/>
          </w:cols>
          <w:pgMar w:left="32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Basis Point</w:t>
            </w: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0"/>
              </w:rPr>
              <w:t>Spread</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4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Maturity /</w:t>
            </w:r>
          </w:p>
        </w:tc>
        <w:tc>
          <w:tcPr>
            <w:tcW w:w="1840" w:type="dxa"/>
            <w:vAlign w:val="bottom"/>
          </w:tcPr>
          <w:p>
            <w:pPr>
              <w:spacing w:after="0"/>
              <w:rPr>
                <w:sz w:val="11"/>
                <w:szCs w:val="11"/>
                <w:color w:val="auto"/>
              </w:rPr>
            </w:pPr>
          </w:p>
        </w:tc>
        <w:tc>
          <w:tcPr>
            <w:tcW w:w="1060" w:type="dxa"/>
            <w:vAlign w:val="bottom"/>
          </w:tcPr>
          <w:p>
            <w:pPr>
              <w:jc w:val="right"/>
              <w:ind w:right="377"/>
              <w:spacing w:after="0" w:line="135" w:lineRule="exact"/>
              <w:rPr>
                <w:sz w:val="20"/>
                <w:szCs w:val="20"/>
                <w:color w:val="auto"/>
              </w:rPr>
            </w:pPr>
            <w:r>
              <w:rPr>
                <w:rFonts w:ascii="Arial" w:cs="Arial" w:eastAsia="Arial" w:hAnsi="Arial"/>
                <w:sz w:val="13"/>
                <w:szCs w:val="13"/>
                <w:b w:val="1"/>
                <w:bCs w:val="1"/>
                <w:color w:val="auto"/>
              </w:rPr>
              <w:t>Current</w:t>
            </w:r>
          </w:p>
        </w:tc>
        <w:tc>
          <w:tcPr>
            <w:tcW w:w="118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0"/>
              </w:rPr>
              <w:t>Above</w:t>
            </w:r>
          </w:p>
        </w:tc>
        <w:tc>
          <w:tcPr>
            <w:tcW w:w="1040" w:type="dxa"/>
            <w:vAlign w:val="bottom"/>
          </w:tcPr>
          <w:p>
            <w:pPr>
              <w:jc w:val="right"/>
              <w:ind w:right="457"/>
              <w:spacing w:after="0" w:line="135" w:lineRule="exact"/>
              <w:rPr>
                <w:sz w:val="20"/>
                <w:szCs w:val="20"/>
                <w:color w:val="auto"/>
              </w:rPr>
            </w:pPr>
            <w:r>
              <w:rPr>
                <w:rFonts w:ascii="Arial" w:cs="Arial" w:eastAsia="Arial" w:hAnsi="Arial"/>
                <w:sz w:val="13"/>
                <w:szCs w:val="13"/>
                <w:b w:val="1"/>
                <w:bCs w:val="1"/>
                <w:color w:val="auto"/>
              </w:rPr>
              <w:t>Par /</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Expiration</w:t>
            </w:r>
          </w:p>
        </w:tc>
        <w:tc>
          <w:tcPr>
            <w:tcW w:w="1840" w:type="dxa"/>
            <w:vAlign w:val="bottom"/>
          </w:tcPr>
          <w:p>
            <w:pPr>
              <w:ind w:left="660"/>
              <w:spacing w:after="0"/>
              <w:rPr>
                <w:sz w:val="20"/>
                <w:szCs w:val="20"/>
                <w:color w:val="auto"/>
              </w:rPr>
            </w:pPr>
            <w:r>
              <w:rPr>
                <w:rFonts w:ascii="Arial" w:cs="Arial" w:eastAsia="Arial" w:hAnsi="Arial"/>
                <w:sz w:val="13"/>
                <w:szCs w:val="13"/>
                <w:b w:val="1"/>
                <w:bCs w:val="1"/>
                <w:color w:val="auto"/>
              </w:rPr>
              <w:t>Industry</w:t>
            </w: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Coupon</w:t>
            </w:r>
          </w:p>
        </w:tc>
        <w:tc>
          <w:tcPr>
            <w:tcW w:w="118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1040" w:type="dxa"/>
            <w:vAlign w:val="bottom"/>
          </w:tcPr>
          <w:p>
            <w:pPr>
              <w:jc w:val="right"/>
              <w:ind w:right="417"/>
              <w:spacing w:after="0"/>
              <w:rPr>
                <w:sz w:val="20"/>
                <w:szCs w:val="20"/>
                <w:color w:val="auto"/>
              </w:rPr>
            </w:pPr>
            <w:r>
              <w:rPr>
                <w:rFonts w:ascii="Arial" w:cs="Arial" w:eastAsia="Arial" w:hAnsi="Arial"/>
                <w:sz w:val="13"/>
                <w:szCs w:val="13"/>
                <w:b w:val="1"/>
                <w:bCs w:val="1"/>
                <w:color w:val="auto"/>
              </w:rPr>
              <w:t>Shares</w:t>
            </w: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59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Companies—146.4% </w:t>
            </w:r>
            <w:r>
              <w:rPr>
                <w:rFonts w:ascii="Arial" w:cs="Arial" w:eastAsia="Arial" w:hAnsi="Arial"/>
                <w:sz w:val="10"/>
                <w:szCs w:val="10"/>
                <w:b w:val="1"/>
                <w:bCs w:val="1"/>
                <w:color w:val="auto"/>
              </w:rPr>
              <w:t>(1), (2)</w:t>
            </w:r>
          </w:p>
        </w:tc>
        <w:tc>
          <w:tcPr>
            <w:tcW w:w="10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Debt—52.4%</w:t>
            </w:r>
          </w:p>
        </w:tc>
        <w:tc>
          <w:tcPr>
            <w:tcW w:w="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03/21/2018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11.25%</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L+975</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23,301,182</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$ 22,545,408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24,466,241</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04/02/2018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11.92%</w:t>
            </w: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38,382,219</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37,594,531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38,835,189</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04/02/2018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6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7,500,000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7,588,512</w:t>
            </w: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AP Gaming I, LLC</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12/21/2020</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8"/>
              </w:rPr>
              <w:t>Hotels, Motels, Inns and</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9.25%</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L+825</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5,210,625</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5,067,986</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5,236,678</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Gaming</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10/20/2020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4,500,000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4,432,500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4,432,500</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03/30/2017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11.50%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11,500,000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11,369,159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12,463,125</w:t>
            </w: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InfuSystem Holdings, Inc.</w:t>
            </w:r>
          </w:p>
        </w:tc>
        <w:tc>
          <w:tcPr>
            <w:tcW w:w="84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11/30/2016</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13.16%</w:t>
            </w:r>
          </w:p>
        </w:tc>
        <w:tc>
          <w:tcPr>
            <w:tcW w:w="11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P+992</w:t>
            </w:r>
          </w:p>
        </w:tc>
        <w:tc>
          <w:tcPr>
            <w:tcW w:w="104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8,000,000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8,000,000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8,190,480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10/16/2017</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10.00%</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L+850</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7,777,902</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7,774,409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7,739,013</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K2 Pure Solutions NoCal, L.P.</w:t>
            </w:r>
          </w:p>
        </w:tc>
        <w:tc>
          <w:tcPr>
            <w:tcW w:w="84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08/19/2019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Chemicals, Plastics and</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10.00%</w:t>
            </w:r>
          </w:p>
        </w:tc>
        <w:tc>
          <w:tcPr>
            <w:tcW w:w="11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L+900</w:t>
            </w:r>
          </w:p>
        </w:tc>
        <w:tc>
          <w:tcPr>
            <w:tcW w:w="104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22,342,352</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21,957,793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22,003,560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Rubber</w:t>
            </w: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10/31/2017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9.63%</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5,626,850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5,626,850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5,851,924</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Patriot National, Inc. (f/k/a Old Guard Risk Services, Inc.)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11/27/2018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L+1,150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49,851,923</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47,685,257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50,350,442</w:t>
            </w: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12/16/2019</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14,250,000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14,116,948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15,960,000</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Precious Metals</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A</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07/18/2019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L+1,000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75,000,000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73,440,857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74,250,000</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RAM Energy LLC, Tranche B</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07/20/2015</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15.00%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L+1,300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27,500,000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26,727,390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27,500,000</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Robertshaw US Holding Corp. (f/k/a Fox US Bidco Corp.)</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06/18/2019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12,352,942</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12,235,053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12,331,043</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w w:val="93"/>
              </w:rPr>
              <w:t xml:space="preserve">Robertshaw US Holding Corp. (f/k/a Fox US Bidco Corp.) </w:t>
            </w:r>
            <w:r>
              <w:rPr>
                <w:rFonts w:ascii="Arial" w:cs="Arial" w:eastAsia="Arial" w:hAnsi="Arial"/>
                <w:sz w:val="10"/>
                <w:szCs w:val="10"/>
                <w:color w:val="auto"/>
                <w:w w:val="93"/>
              </w:rPr>
              <w:t>(9)</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06/18/2019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2,647,058</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2,647,058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2,642,366</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04/21/2017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19,838,145</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18,826,225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17,854,331</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04/30/2018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L+1,050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23,952,411</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23,659,108</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23,952,411</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10/31/2017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985,000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02/12/2020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11.06%</w:t>
            </w: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27,118,544</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42,793,869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44,024,504</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05/02/2019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L+1,150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16,235,293</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15,901,463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16,206,786</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Worley Claims Services, LLC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07/06/2017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L+1,100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11,201,270</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11,201,270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11,425,295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8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422,088,134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434,304,400</w:t>
            </w:r>
          </w:p>
        </w:tc>
        <w:tc>
          <w:tcPr>
            <w:tcW w:w="0" w:type="dxa"/>
            <w:vAlign w:val="bottom"/>
          </w:tcPr>
          <w:p>
            <w:pPr>
              <w:spacing w:after="0"/>
              <w:rPr>
                <w:sz w:val="1"/>
                <w:szCs w:val="1"/>
                <w:color w:val="auto"/>
              </w:rPr>
            </w:pPr>
          </w:p>
        </w:tc>
      </w:tr>
      <w:tr>
        <w:trPr>
          <w:trHeight w:val="128"/>
        </w:trPr>
        <w:tc>
          <w:tcPr>
            <w:tcW w:w="3260" w:type="dxa"/>
            <w:vAlign w:val="bottom"/>
          </w:tcPr>
          <w:p>
            <w:pPr>
              <w:spacing w:after="0" w:line="129" w:lineRule="exact"/>
              <w:rPr>
                <w:sz w:val="20"/>
                <w:szCs w:val="20"/>
                <w:color w:val="auto"/>
              </w:rPr>
            </w:pPr>
            <w:r>
              <w:rPr>
                <w:rFonts w:ascii="Arial" w:cs="Arial" w:eastAsia="Arial" w:hAnsi="Arial"/>
                <w:sz w:val="13"/>
                <w:szCs w:val="13"/>
                <w:b w:val="1"/>
                <w:bCs w:val="1"/>
                <w:color w:val="auto"/>
              </w:rPr>
              <w:t>Second Lien Secured Debt—58.5%</w:t>
            </w:r>
          </w:p>
        </w:tc>
        <w:tc>
          <w:tcPr>
            <w:tcW w:w="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84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09/01/2017</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1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25,400,000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25,400,000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27,432,000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Ascensus, Inc.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12/02/2020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15,500,000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15,297,220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15,655,000</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11/01/2018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8.75%</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L+750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19,750,360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19,659,292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19,635,216</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Carolina Beverage Group, LLC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08/01/2018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Beverage, Food and Tobacco</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10.63%</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13,125,000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13,125,000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13,551,562</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CT Technologies Intermediate Holdings, Inc.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10/05/2020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9.25%</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L+800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14,000,000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13,817,560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13,930,000</w:t>
            </w: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Envision Acquisition Company, LLC</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11/04/2021</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9.75%</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L+875</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24,700,000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24,324,871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24,700,000</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04/30/2019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L+1,100</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45,000,000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44,557,044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44,981,600</w:t>
            </w: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04/30/2019</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L+1,200</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32,776,212</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32,181,185</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32,762,810</w:t>
            </w: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(PIK 1.00%)</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84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03/01/2017</w:t>
            </w:r>
          </w:p>
        </w:tc>
        <w:tc>
          <w:tcPr>
            <w:tcW w:w="18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Cargo Transport</w:t>
            </w:r>
          </w:p>
        </w:tc>
        <w:tc>
          <w:tcPr>
            <w:tcW w:w="106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80" w:type="dxa"/>
            <w:vAlign w:val="bottom"/>
            <w:shd w:val="clear" w:color="auto" w:fill="CCEEFF"/>
          </w:tcPr>
          <w:p>
            <w:pPr>
              <w:jc w:val="right"/>
              <w:ind w:right="217"/>
              <w:spacing w:after="0" w:line="136"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3,945,483</w:t>
            </w:r>
          </w:p>
        </w:tc>
        <w:tc>
          <w:tcPr>
            <w:tcW w:w="9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3,945,485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1,183,645</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07/31/2019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L+1,000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34,000,000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33,374,349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34,505,954</w:t>
            </w: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Jacobs Entertainment, Inc.</w:t>
            </w:r>
          </w:p>
        </w:tc>
        <w:tc>
          <w:tcPr>
            <w:tcW w:w="84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10/29/2019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Hotels, Motels, Inns and</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11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L+1,175</w:t>
            </w:r>
          </w:p>
        </w:tc>
        <w:tc>
          <w:tcPr>
            <w:tcW w:w="104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38,950,000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38,400,639</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36,223,500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Gaming</w:t>
            </w: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KIK Custom Products Inc.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10/29/2019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9.50%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L+825</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9,500,000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9,368,296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9,515,865</w:t>
            </w: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Language Line, LLC</w:t>
            </w:r>
          </w:p>
        </w:tc>
        <w:tc>
          <w:tcPr>
            <w:tcW w:w="84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12/20/2016</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10.50%</w:t>
            </w:r>
          </w:p>
        </w:tc>
        <w:tc>
          <w:tcPr>
            <w:tcW w:w="11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L+875</w:t>
            </w:r>
          </w:p>
        </w:tc>
        <w:tc>
          <w:tcPr>
            <w:tcW w:w="104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33,750,000</w:t>
            </w:r>
          </w:p>
        </w:tc>
        <w:tc>
          <w:tcPr>
            <w:tcW w:w="9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33,397,785</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33,384,487</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10/31/2017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11,875,000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11,585,997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12,379,687</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05/15/2019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45,000,000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44,615,705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45,675,000</w:t>
            </w:r>
          </w:p>
        </w:tc>
        <w:tc>
          <w:tcPr>
            <w:tcW w:w="0" w:type="dxa"/>
            <w:vAlign w:val="bottom"/>
          </w:tcPr>
          <w:p>
            <w:pPr>
              <w:spacing w:after="0"/>
              <w:rPr>
                <w:sz w:val="1"/>
                <w:szCs w:val="1"/>
                <w:color w:val="auto"/>
              </w:rPr>
            </w:pP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07/07/2021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11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L+1,050</w:t>
            </w:r>
          </w:p>
        </w:tc>
        <w:tc>
          <w:tcPr>
            <w:tcW w:w="10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41,250,000</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40,850,421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8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10/02/2020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L+775</w:t>
            </w:r>
          </w:p>
        </w:tc>
        <w:tc>
          <w:tcPr>
            <w:tcW w:w="10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21,000,000</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20,728,983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20,973,750</w:t>
            </w:r>
          </w:p>
        </w:tc>
        <w:tc>
          <w:tcPr>
            <w:tcW w:w="0" w:type="dxa"/>
            <w:vAlign w:val="bottom"/>
          </w:tcPr>
          <w:p>
            <w:pPr>
              <w:spacing w:after="0"/>
              <w:rPr>
                <w:sz w:val="1"/>
                <w:szCs w:val="1"/>
                <w:color w:val="auto"/>
              </w:rPr>
            </w:pPr>
          </w:p>
        </w:tc>
      </w:tr>
      <w:tr>
        <w:trPr>
          <w:trHeight w:val="121"/>
        </w:trPr>
        <w:tc>
          <w:tcPr>
            <w:tcW w:w="326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840" w:type="dxa"/>
            <w:vAlign w:val="bottom"/>
          </w:tcPr>
          <w:p>
            <w:pPr>
              <w:ind w:left="140"/>
              <w:spacing w:after="0" w:line="121" w:lineRule="exact"/>
              <w:rPr>
                <w:sz w:val="20"/>
                <w:szCs w:val="20"/>
                <w:color w:val="auto"/>
              </w:rPr>
            </w:pPr>
            <w:r>
              <w:rPr>
                <w:rFonts w:ascii="Arial" w:cs="Arial" w:eastAsia="Arial" w:hAnsi="Arial"/>
                <w:sz w:val="13"/>
                <w:szCs w:val="13"/>
                <w:color w:val="auto"/>
              </w:rPr>
              <w:t>07/01/2020</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9.75%</w:t>
            </w:r>
          </w:p>
        </w:tc>
        <w:tc>
          <w:tcPr>
            <w:tcW w:w="11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L+850</w:t>
            </w:r>
          </w:p>
        </w:tc>
        <w:tc>
          <w:tcPr>
            <w:tcW w:w="104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56,750,000</w:t>
            </w:r>
          </w:p>
        </w:tc>
        <w:tc>
          <w:tcPr>
            <w:tcW w:w="9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56,012,103</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57,317,500</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8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480,641,935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484,232,576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Maturity /</w:t>
            </w:r>
          </w:p>
        </w:tc>
        <w:tc>
          <w:tcPr>
            <w:tcW w:w="1640" w:type="dxa"/>
            <w:vAlign w:val="bottom"/>
          </w:tcPr>
          <w:p>
            <w:pPr>
              <w:ind w:left="580"/>
              <w:spacing w:after="0" w:line="135" w:lineRule="exact"/>
              <w:rPr>
                <w:sz w:val="20"/>
                <w:szCs w:val="20"/>
                <w:color w:val="auto"/>
              </w:rPr>
            </w:pPr>
            <w:r>
              <w:rPr>
                <w:rFonts w:ascii="Arial" w:cs="Arial" w:eastAsia="Arial" w:hAnsi="Arial"/>
                <w:sz w:val="13"/>
                <w:szCs w:val="13"/>
                <w:b w:val="1"/>
                <w:bCs w:val="1"/>
                <w:color w:val="auto"/>
              </w:rPr>
              <w:t>Industry</w:t>
            </w:r>
          </w:p>
        </w:tc>
        <w:tc>
          <w:tcPr>
            <w:tcW w:w="1320" w:type="dxa"/>
            <w:vAlign w:val="bottom"/>
          </w:tcPr>
          <w:p>
            <w:pPr>
              <w:jc w:val="right"/>
              <w:ind w:right="537"/>
              <w:spacing w:after="0" w:line="135"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1080" w:type="dxa"/>
            <w:vAlign w:val="bottom"/>
          </w:tcPr>
          <w:p>
            <w:pPr>
              <w:jc w:val="right"/>
              <w:ind w:right="357"/>
              <w:spacing w:after="0" w:line="135" w:lineRule="exact"/>
              <w:rPr>
                <w:sz w:val="20"/>
                <w:szCs w:val="20"/>
                <w:color w:val="auto"/>
              </w:rPr>
            </w:pPr>
            <w:r>
              <w:rPr>
                <w:rFonts w:ascii="Arial" w:cs="Arial" w:eastAsia="Arial" w:hAnsi="Arial"/>
                <w:sz w:val="13"/>
                <w:szCs w:val="13"/>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vMerge w:val="continue"/>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640" w:type="dxa"/>
            <w:vAlign w:val="bottom"/>
          </w:tcPr>
          <w:p>
            <w:pPr>
              <w:spacing w:after="0"/>
              <w:rPr>
                <w:sz w:val="13"/>
                <w:szCs w:val="13"/>
                <w:color w:val="auto"/>
              </w:rPr>
            </w:pPr>
          </w:p>
        </w:tc>
        <w:tc>
          <w:tcPr>
            <w:tcW w:w="1320" w:type="dxa"/>
            <w:vAlign w:val="bottom"/>
          </w:tcPr>
          <w:p>
            <w:pPr>
              <w:jc w:val="right"/>
              <w:ind w:right="557"/>
              <w:spacing w:after="0"/>
              <w:rPr>
                <w:sz w:val="20"/>
                <w:szCs w:val="20"/>
                <w:color w:val="auto"/>
              </w:rPr>
            </w:pPr>
            <w:r>
              <w:rPr>
                <w:rFonts w:ascii="Arial" w:cs="Arial" w:eastAsia="Arial" w:hAnsi="Arial"/>
                <w:sz w:val="13"/>
                <w:szCs w:val="13"/>
                <w:b w:val="1"/>
                <w:bCs w:val="1"/>
                <w:color w:val="auto"/>
              </w:rPr>
              <w:t>Coupon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1080" w:type="dxa"/>
            <w:vAlign w:val="bottom"/>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27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Notes—24.8%</w:t>
            </w:r>
          </w:p>
        </w:tc>
        <w:tc>
          <w:tcPr>
            <w:tcW w:w="92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color w:val="auto"/>
              </w:rPr>
              <w:t>Acentia, LLC</w:t>
            </w:r>
          </w:p>
        </w:tc>
        <w:tc>
          <w:tcPr>
            <w:tcW w:w="9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10/02/2017</w:t>
            </w:r>
          </w:p>
        </w:tc>
        <w:tc>
          <w:tcPr>
            <w:tcW w:w="164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132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14.00%</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19,000,000</w:t>
            </w:r>
          </w:p>
        </w:tc>
        <w:tc>
          <w:tcPr>
            <w:tcW w:w="136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$ 18,697,637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19,145,804</w:t>
            </w: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92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9"/>
              </w:rPr>
              <w:t>09/14/2018</w:t>
            </w:r>
          </w:p>
        </w:tc>
        <w:tc>
          <w:tcPr>
            <w:tcW w:w="1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32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14.50%</w:t>
            </w: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35,983,184</w:t>
            </w:r>
          </w:p>
        </w:tc>
        <w:tc>
          <w:tcPr>
            <w:tcW w:w="1360" w:type="dxa"/>
            <w:vAlign w:val="bottom"/>
            <w:gridSpan w:val="3"/>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31,471,438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30,585,706</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(PIK 14.50%)</w:t>
            </w: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9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08/15/2018</w:t>
            </w:r>
          </w:p>
        </w:tc>
        <w:tc>
          <w:tcPr>
            <w:tcW w:w="164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32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13.50%</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15,096,000</w:t>
            </w:r>
          </w:p>
        </w:tc>
        <w:tc>
          <w:tcPr>
            <w:tcW w:w="136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15,096,000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14,039,280</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9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9"/>
              </w:rPr>
              <w:t>02/15/2019</w:t>
            </w: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132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12.00%</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8,930,000</w:t>
            </w:r>
          </w:p>
        </w:tc>
        <w:tc>
          <w:tcPr>
            <w:tcW w:w="136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8,795,450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8,805,334</w:t>
            </w: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Convergint Technologies LLC</w:t>
            </w:r>
          </w:p>
        </w:tc>
        <w:tc>
          <w:tcPr>
            <w:tcW w:w="92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9"/>
              </w:rPr>
              <w:t>03/26/2018</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91"/>
              </w:rPr>
              <w:t>Electronics</w:t>
            </w:r>
          </w:p>
        </w:tc>
        <w:tc>
          <w:tcPr>
            <w:tcW w:w="132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12.00%</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23,753,813</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23,422,959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23,991,351</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3"/>
                <w:szCs w:val="13"/>
                <w:color w:val="auto"/>
              </w:rPr>
              <w:t>(PIK 1.00%)</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920" w:type="dxa"/>
            <w:vAlign w:val="bottom"/>
            <w:shd w:val="clear" w:color="auto" w:fill="CCEEFF"/>
          </w:tcPr>
          <w:p>
            <w:pPr>
              <w:jc w:val="center"/>
              <w:ind w:right="77"/>
              <w:spacing w:after="0" w:line="122" w:lineRule="exact"/>
              <w:rPr>
                <w:sz w:val="20"/>
                <w:szCs w:val="20"/>
                <w:color w:val="auto"/>
              </w:rPr>
            </w:pPr>
            <w:r>
              <w:rPr>
                <w:rFonts w:ascii="Arial" w:cs="Arial" w:eastAsia="Arial" w:hAnsi="Arial"/>
                <w:sz w:val="13"/>
                <w:szCs w:val="13"/>
                <w:color w:val="auto"/>
                <w:w w:val="89"/>
              </w:rPr>
              <w:t>10/26/2018</w:t>
            </w:r>
          </w:p>
        </w:tc>
        <w:tc>
          <w:tcPr>
            <w:tcW w:w="16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Personal, Food and</w:t>
            </w:r>
          </w:p>
        </w:tc>
        <w:tc>
          <w:tcPr>
            <w:tcW w:w="1320" w:type="dxa"/>
            <w:vAlign w:val="bottom"/>
            <w:shd w:val="clear" w:color="auto" w:fill="CCEEFF"/>
          </w:tcPr>
          <w:p>
            <w:pPr>
              <w:jc w:val="right"/>
              <w:ind w:right="317"/>
              <w:spacing w:after="0" w:line="122" w:lineRule="exact"/>
              <w:rPr>
                <w:sz w:val="20"/>
                <w:szCs w:val="20"/>
                <w:color w:val="auto"/>
              </w:rPr>
            </w:pPr>
            <w:r>
              <w:rPr>
                <w:rFonts w:ascii="Arial" w:cs="Arial" w:eastAsia="Arial" w:hAnsi="Arial"/>
                <w:sz w:val="13"/>
                <w:szCs w:val="13"/>
                <w:color w:val="auto"/>
              </w:rPr>
              <w:t>12.50%</w:t>
            </w:r>
          </w:p>
        </w:tc>
        <w:tc>
          <w:tcPr>
            <w:tcW w:w="11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2" w:lineRule="exact"/>
              <w:rPr>
                <w:sz w:val="20"/>
                <w:szCs w:val="20"/>
                <w:color w:val="auto"/>
              </w:rPr>
            </w:pPr>
            <w:r>
              <w:rPr>
                <w:rFonts w:ascii="Arial" w:cs="Arial" w:eastAsia="Arial" w:hAnsi="Arial"/>
                <w:sz w:val="13"/>
                <w:szCs w:val="13"/>
                <w:color w:val="auto"/>
              </w:rPr>
              <w:t>10,633,397</w:t>
            </w:r>
          </w:p>
        </w:tc>
        <w:tc>
          <w:tcPr>
            <w:tcW w:w="1360" w:type="dxa"/>
            <w:vAlign w:val="bottom"/>
            <w:gridSpan w:val="3"/>
            <w:shd w:val="clear" w:color="auto" w:fill="CCEEFF"/>
          </w:tcPr>
          <w:p>
            <w:pPr>
              <w:jc w:val="right"/>
              <w:ind w:right="420"/>
              <w:spacing w:after="0" w:line="122" w:lineRule="exact"/>
              <w:rPr>
                <w:sz w:val="20"/>
                <w:szCs w:val="20"/>
                <w:color w:val="auto"/>
              </w:rPr>
            </w:pPr>
            <w:r>
              <w:rPr>
                <w:rFonts w:ascii="Arial" w:cs="Arial" w:eastAsia="Arial" w:hAnsi="Arial"/>
                <w:sz w:val="13"/>
                <w:szCs w:val="13"/>
                <w:color w:val="auto"/>
              </w:rPr>
              <w:t>10,462,892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10,261,422</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Miscellaneous</w:t>
            </w:r>
          </w:p>
        </w:tc>
        <w:tc>
          <w:tcPr>
            <w:tcW w:w="13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(PIK 1.25%)</w:t>
            </w:r>
          </w:p>
        </w:tc>
        <w:tc>
          <w:tcPr>
            <w:tcW w:w="1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1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color w:val="auto"/>
              </w:rPr>
              <w:t>Energy &amp; Exploration Partners, Inc.</w:t>
            </w:r>
          </w:p>
        </w:tc>
        <w:tc>
          <w:tcPr>
            <w:tcW w:w="9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07/01/2019</w:t>
            </w:r>
          </w:p>
        </w:tc>
        <w:tc>
          <w:tcPr>
            <w:tcW w:w="1640" w:type="dxa"/>
            <w:vAlign w:val="bottom"/>
          </w:tcPr>
          <w:p>
            <w:pPr>
              <w:jc w:val="center"/>
              <w:spacing w:after="0" w:line="135" w:lineRule="exact"/>
              <w:rPr>
                <w:sz w:val="20"/>
                <w:szCs w:val="20"/>
                <w:color w:val="auto"/>
              </w:rPr>
            </w:pPr>
            <w:r>
              <w:rPr>
                <w:rFonts w:ascii="Arial" w:cs="Arial" w:eastAsia="Arial" w:hAnsi="Arial"/>
                <w:sz w:val="13"/>
                <w:szCs w:val="13"/>
                <w:color w:val="auto"/>
                <w:w w:val="90"/>
              </w:rPr>
              <w:t>Oil and Gas</w:t>
            </w:r>
          </w:p>
        </w:tc>
        <w:tc>
          <w:tcPr>
            <w:tcW w:w="132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8.00%</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9,500,000</w:t>
            </w:r>
          </w:p>
        </w:tc>
        <w:tc>
          <w:tcPr>
            <w:tcW w:w="136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9,500,000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9,310,000</w:t>
            </w: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JF Acquisition, LLC</w:t>
            </w:r>
          </w:p>
        </w:tc>
        <w:tc>
          <w:tcPr>
            <w:tcW w:w="92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9"/>
              </w:rPr>
              <w:t>06/30/2017</w:t>
            </w:r>
          </w:p>
        </w:tc>
        <w:tc>
          <w:tcPr>
            <w:tcW w:w="1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5"/>
              </w:rPr>
              <w:t>Distribution</w:t>
            </w:r>
          </w:p>
        </w:tc>
        <w:tc>
          <w:tcPr>
            <w:tcW w:w="132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14.00%</w:t>
            </w: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19,874,148</w:t>
            </w:r>
          </w:p>
        </w:tc>
        <w:tc>
          <w:tcPr>
            <w:tcW w:w="1360" w:type="dxa"/>
            <w:vAlign w:val="bottom"/>
            <w:gridSpan w:val="3"/>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19,543,873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17,886,733</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(PIK 2.00%)</w:t>
            </w: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MSPark, Inc.</w:t>
            </w:r>
          </w:p>
        </w:tc>
        <w:tc>
          <w:tcPr>
            <w:tcW w:w="920" w:type="dxa"/>
            <w:vAlign w:val="bottom"/>
          </w:tcPr>
          <w:p>
            <w:pPr>
              <w:jc w:val="center"/>
              <w:ind w:right="77"/>
              <w:spacing w:after="0" w:line="121" w:lineRule="exact"/>
              <w:rPr>
                <w:sz w:val="20"/>
                <w:szCs w:val="20"/>
                <w:color w:val="auto"/>
              </w:rPr>
            </w:pPr>
            <w:r>
              <w:rPr>
                <w:rFonts w:ascii="Arial" w:cs="Arial" w:eastAsia="Arial" w:hAnsi="Arial"/>
                <w:sz w:val="13"/>
                <w:szCs w:val="13"/>
                <w:color w:val="auto"/>
                <w:w w:val="89"/>
              </w:rPr>
              <w:t>06/15/2017</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9"/>
              </w:rPr>
              <w:t>Printing and</w:t>
            </w:r>
          </w:p>
        </w:tc>
        <w:tc>
          <w:tcPr>
            <w:tcW w:w="132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15,000,000</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14,758,098</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92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9"/>
              </w:rPr>
              <w:t>11/15/2019</w:t>
            </w:r>
          </w:p>
        </w:tc>
        <w:tc>
          <w:tcPr>
            <w:tcW w:w="1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Oil and Gas</w:t>
            </w:r>
          </w:p>
        </w:tc>
        <w:tc>
          <w:tcPr>
            <w:tcW w:w="132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12.00%</w:t>
            </w: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13,500,000</w:t>
            </w:r>
          </w:p>
        </w:tc>
        <w:tc>
          <w:tcPr>
            <w:tcW w:w="1360" w:type="dxa"/>
            <w:vAlign w:val="bottom"/>
            <w:gridSpan w:val="3"/>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13,040,004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10,665,000</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(PIK 12.00%)</w:t>
            </w: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color w:val="auto"/>
              </w:rPr>
              <w:t>Power Products, LLC</w:t>
            </w:r>
          </w:p>
        </w:tc>
        <w:tc>
          <w:tcPr>
            <w:tcW w:w="9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12/11/2020</w:t>
            </w:r>
          </w:p>
        </w:tc>
        <w:tc>
          <w:tcPr>
            <w:tcW w:w="164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12.75%</w:t>
            </w:r>
            <w:r>
              <w:rPr>
                <w:rFonts w:ascii="Arial" w:cs="Arial" w:eastAsia="Arial" w:hAnsi="Arial"/>
                <w:sz w:val="10"/>
                <w:szCs w:val="10"/>
                <w:color w:val="auto"/>
              </w:rPr>
              <w:t>(7)</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15,000,000</w:t>
            </w:r>
          </w:p>
        </w:tc>
        <w:tc>
          <w:tcPr>
            <w:tcW w:w="136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14,793,246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15,225,000</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Publishing Company, LLC</w:t>
            </w:r>
          </w:p>
        </w:tc>
        <w:tc>
          <w:tcPr>
            <w:tcW w:w="92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9"/>
              </w:rPr>
              <w:t>04/15/2019</w:t>
            </w:r>
          </w:p>
        </w:tc>
        <w:tc>
          <w:tcPr>
            <w:tcW w:w="16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Other Media</w:t>
            </w:r>
          </w:p>
        </w:tc>
        <w:tc>
          <w:tcPr>
            <w:tcW w:w="132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30,400,000</w:t>
            </w:r>
          </w:p>
        </w:tc>
        <w:tc>
          <w:tcPr>
            <w:tcW w:w="136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29,860,100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30,704,000</w:t>
            </w:r>
          </w:p>
        </w:tc>
        <w:tc>
          <w:tcPr>
            <w:tcW w:w="0" w:type="dxa"/>
            <w:vAlign w:val="bottom"/>
          </w:tcPr>
          <w:p>
            <w:pPr>
              <w:spacing w:after="0"/>
              <w:rPr>
                <w:sz w:val="1"/>
                <w:szCs w:val="1"/>
                <w:color w:val="auto"/>
              </w:rPr>
            </w:pPr>
          </w:p>
        </w:tc>
      </w:tr>
      <w:tr>
        <w:trPr>
          <w:trHeight w:val="129"/>
        </w:trPr>
        <w:tc>
          <w:tcPr>
            <w:tcW w:w="2740" w:type="dxa"/>
            <w:vAlign w:val="bottom"/>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209,441,697</w:t>
            </w:r>
          </w:p>
        </w:tc>
        <w:tc>
          <w:tcPr>
            <w:tcW w:w="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205,619,630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 xml:space="preserve">Preferred Equity/Partnership Interests—1.6% </w:t>
            </w:r>
            <w:r>
              <w:rPr>
                <w:rFonts w:ascii="Arial" w:cs="Arial" w:eastAsia="Arial" w:hAnsi="Arial"/>
                <w:sz w:val="10"/>
                <w:szCs w:val="10"/>
                <w:b w:val="1"/>
                <w:bCs w:val="1"/>
                <w:color w:val="auto"/>
                <w:w w:val="92"/>
              </w:rPr>
              <w:t>(6)</w:t>
            </w:r>
          </w:p>
        </w:tc>
        <w:tc>
          <w:tcPr>
            <w:tcW w:w="9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92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5"/>
              </w:rPr>
              <w:t>Healthcare, Education</w:t>
            </w:r>
          </w:p>
        </w:tc>
        <w:tc>
          <w:tcPr>
            <w:tcW w:w="132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6.00%</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211</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AHC Mezzanine, LLC</w:t>
            </w:r>
          </w:p>
        </w:tc>
        <w:tc>
          <w:tcPr>
            <w:tcW w:w="92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1"/>
              </w:rPr>
              <w:t>—</w:t>
            </w:r>
          </w:p>
        </w:tc>
        <w:tc>
          <w:tcPr>
            <w:tcW w:w="16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Other Media</w:t>
            </w:r>
          </w:p>
        </w:tc>
        <w:tc>
          <w:tcPr>
            <w:tcW w:w="1320" w:type="dxa"/>
            <w:vAlign w:val="bottom"/>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7,505</w:t>
            </w:r>
          </w:p>
        </w:tc>
        <w:tc>
          <w:tcPr>
            <w:tcW w:w="136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318,896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w w:val="99"/>
              </w:rPr>
              <w:t>Alegeus Technologies Holdings Corp. (Alegeus</w:t>
            </w:r>
          </w:p>
        </w:tc>
        <w:tc>
          <w:tcPr>
            <w:tcW w:w="92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9"/>
              </w:rPr>
              <w:t>Financial Services</w:t>
            </w:r>
          </w:p>
        </w:tc>
        <w:tc>
          <w:tcPr>
            <w:tcW w:w="1320" w:type="dxa"/>
            <w:vAlign w:val="bottom"/>
          </w:tcPr>
          <w:p>
            <w:pPr>
              <w:jc w:val="right"/>
              <w:ind w:right="417"/>
              <w:spacing w:after="0" w:line="121" w:lineRule="exact"/>
              <w:rPr>
                <w:sz w:val="20"/>
                <w:szCs w:val="20"/>
                <w:color w:val="auto"/>
              </w:rPr>
            </w:pPr>
            <w:r>
              <w:rPr>
                <w:rFonts w:ascii="Arial" w:cs="Arial" w:eastAsia="Arial" w:hAnsi="Arial"/>
                <w:sz w:val="13"/>
                <w:szCs w:val="13"/>
                <w:color w:val="auto"/>
              </w:rPr>
              <w:t>—</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949</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949,050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427,965</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rPr>
                <w:sz w:val="20"/>
                <w:szCs w:val="20"/>
                <w:color w:val="auto"/>
              </w:rPr>
            </w:pPr>
            <w:r>
              <w:rPr>
                <w:rFonts w:ascii="Arial" w:cs="Arial" w:eastAsia="Arial" w:hAnsi="Arial"/>
                <w:sz w:val="13"/>
                <w:szCs w:val="13"/>
                <w:color w:val="auto"/>
              </w:rPr>
              <w:t>Technologies, LLC)</w:t>
            </w: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920" w:type="dxa"/>
            <w:vAlign w:val="bottom"/>
            <w:shd w:val="clear" w:color="auto" w:fill="CCEEFF"/>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Healthcare, Education</w:t>
            </w:r>
          </w:p>
        </w:tc>
        <w:tc>
          <w:tcPr>
            <w:tcW w:w="132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8.00%</w:t>
            </w: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76,357</w:t>
            </w:r>
          </w:p>
        </w:tc>
        <w:tc>
          <w:tcPr>
            <w:tcW w:w="1360" w:type="dxa"/>
            <w:vAlign w:val="bottom"/>
            <w:gridSpan w:val="3"/>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765,307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2,216,474</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1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92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5"/>
              </w:rPr>
              <w:t>Healthcare, Education</w:t>
            </w:r>
          </w:p>
        </w:tc>
        <w:tc>
          <w:tcPr>
            <w:tcW w:w="1320" w:type="dxa"/>
            <w:vAlign w:val="bottom"/>
          </w:tcPr>
          <w:p>
            <w:pPr>
              <w:jc w:val="right"/>
              <w:ind w:right="417"/>
              <w:spacing w:after="0" w:line="121" w:lineRule="exact"/>
              <w:rPr>
                <w:sz w:val="20"/>
                <w:szCs w:val="20"/>
                <w:color w:val="auto"/>
              </w:rPr>
            </w:pPr>
            <w:r>
              <w:rPr>
                <w:rFonts w:ascii="Arial" w:cs="Arial" w:eastAsia="Arial" w:hAnsi="Arial"/>
                <w:sz w:val="13"/>
                <w:szCs w:val="13"/>
                <w:color w:val="auto"/>
              </w:rPr>
              <w:t>—</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38,179</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382,654</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1,108,237</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920" w:type="dxa"/>
            <w:vAlign w:val="bottom"/>
            <w:shd w:val="clear" w:color="auto" w:fill="CCEEFF"/>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Electronics</w:t>
            </w:r>
          </w:p>
        </w:tc>
        <w:tc>
          <w:tcPr>
            <w:tcW w:w="132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8.00%</w:t>
            </w:r>
          </w:p>
        </w:tc>
        <w:tc>
          <w:tcPr>
            <w:tcW w:w="11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2,375</w:t>
            </w:r>
          </w:p>
        </w:tc>
        <w:tc>
          <w:tcPr>
            <w:tcW w:w="1360" w:type="dxa"/>
            <w:vAlign w:val="bottom"/>
            <w:gridSpan w:val="3"/>
            <w:shd w:val="clear" w:color="auto" w:fill="CCEEFF"/>
          </w:tcPr>
          <w:p>
            <w:pPr>
              <w:jc w:val="right"/>
              <w:ind w:right="420"/>
              <w:spacing w:after="0" w:line="121" w:lineRule="exact"/>
              <w:rPr>
                <w:sz w:val="20"/>
                <w:szCs w:val="20"/>
                <w:color w:val="auto"/>
              </w:rPr>
            </w:pPr>
            <w:r>
              <w:rPr>
                <w:rFonts w:ascii="Arial" w:cs="Arial" w:eastAsia="Arial" w:hAnsi="Arial"/>
                <w:sz w:val="13"/>
                <w:szCs w:val="13"/>
                <w:color w:val="auto"/>
              </w:rPr>
              <w:t>2,375,000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2,790,511</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9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J.A. Cosmetics US, Inc.</w:t>
            </w:r>
          </w:p>
        </w:tc>
        <w:tc>
          <w:tcPr>
            <w:tcW w:w="92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132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8.00%</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3,397</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3,397,484</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3,580,328</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rPr>
                <w:sz w:val="20"/>
                <w:szCs w:val="20"/>
                <w:color w:val="auto"/>
              </w:rPr>
            </w:pPr>
            <w:r>
              <w:rPr>
                <w:rFonts w:ascii="Arial" w:cs="Arial" w:eastAsia="Arial" w:hAnsi="Arial"/>
                <w:sz w:val="13"/>
                <w:szCs w:val="13"/>
                <w:color w:val="auto"/>
              </w:rPr>
              <w:t>(J.A. Cosmetics Holdings, Inc.)</w:t>
            </w: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 Point, LLC</w:t>
            </w:r>
          </w:p>
        </w:tc>
        <w:tc>
          <w:tcPr>
            <w:tcW w:w="92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1"/>
              </w:rPr>
              <w:t>—</w:t>
            </w:r>
          </w:p>
        </w:tc>
        <w:tc>
          <w:tcPr>
            <w:tcW w:w="164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Other Media</w:t>
            </w:r>
          </w:p>
        </w:tc>
        <w:tc>
          <w:tcPr>
            <w:tcW w:w="132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8.00%</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3,591</w:t>
            </w:r>
          </w:p>
        </w:tc>
        <w:tc>
          <w:tcPr>
            <w:tcW w:w="136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21,727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31,851</w:t>
            </w:r>
          </w:p>
        </w:tc>
        <w:tc>
          <w:tcPr>
            <w:tcW w:w="0" w:type="dxa"/>
            <w:vAlign w:val="bottom"/>
          </w:tcPr>
          <w:p>
            <w:pPr>
              <w:spacing w:after="0"/>
              <w:rPr>
                <w:sz w:val="1"/>
                <w:szCs w:val="1"/>
                <w:color w:val="auto"/>
              </w:rPr>
            </w:pPr>
          </w:p>
        </w:tc>
      </w:tr>
      <w:tr>
        <w:trPr>
          <w:trHeight w:val="121"/>
        </w:trPr>
        <w:tc>
          <w:tcPr>
            <w:tcW w:w="2740" w:type="dxa"/>
            <w:vAlign w:val="bottom"/>
          </w:tcPr>
          <w:p>
            <w:pPr>
              <w:spacing w:after="0" w:line="121" w:lineRule="exact"/>
              <w:rPr>
                <w:sz w:val="20"/>
                <w:szCs w:val="20"/>
                <w:color w:val="auto"/>
              </w:rPr>
            </w:pPr>
            <w:r>
              <w:rPr>
                <w:rFonts w:ascii="Arial" w:cs="Arial" w:eastAsia="Arial" w:hAnsi="Arial"/>
                <w:sz w:val="13"/>
                <w:szCs w:val="13"/>
                <w:color w:val="auto"/>
              </w:rPr>
              <w:t>Ride Holdings, Inc.</w:t>
            </w:r>
          </w:p>
        </w:tc>
        <w:tc>
          <w:tcPr>
            <w:tcW w:w="92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21" w:lineRule="exact"/>
              <w:rPr>
                <w:sz w:val="20"/>
                <w:szCs w:val="20"/>
                <w:color w:val="auto"/>
              </w:rPr>
            </w:pPr>
            <w:r>
              <w:rPr>
                <w:rFonts w:ascii="Arial" w:cs="Arial" w:eastAsia="Arial" w:hAnsi="Arial"/>
                <w:sz w:val="13"/>
                <w:szCs w:val="13"/>
                <w:color w:val="auto"/>
                <w:w w:val="81"/>
              </w:rPr>
              <w:t>Personal</w:t>
            </w:r>
          </w:p>
        </w:tc>
        <w:tc>
          <w:tcPr>
            <w:tcW w:w="132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8.00%</w:t>
            </w:r>
          </w:p>
        </w:tc>
        <w:tc>
          <w:tcPr>
            <w:tcW w:w="112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1,966,667</w:t>
            </w:r>
          </w:p>
        </w:tc>
        <w:tc>
          <w:tcPr>
            <w:tcW w:w="1360" w:type="dxa"/>
            <w:vAlign w:val="bottom"/>
            <w:gridSpan w:val="3"/>
          </w:tcPr>
          <w:p>
            <w:pPr>
              <w:jc w:val="right"/>
              <w:ind w:right="420"/>
              <w:spacing w:after="0" w:line="121" w:lineRule="exact"/>
              <w:rPr>
                <w:sz w:val="20"/>
                <w:szCs w:val="20"/>
                <w:color w:val="auto"/>
              </w:rPr>
            </w:pPr>
            <w:r>
              <w:rPr>
                <w:rFonts w:ascii="Arial" w:cs="Arial" w:eastAsia="Arial" w:hAnsi="Arial"/>
                <w:sz w:val="13"/>
                <w:szCs w:val="13"/>
                <w:color w:val="auto"/>
              </w:rPr>
              <w:t>2,251,667</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712,145</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auto"/>
                <w:w w:val="88"/>
              </w:rPr>
              <w:t>Transportation</w:t>
            </w: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TZ Holdings, L.P., Series A</w:t>
            </w:r>
          </w:p>
        </w:tc>
        <w:tc>
          <w:tcPr>
            <w:tcW w:w="92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1"/>
              </w:rPr>
              <w:t>—</w:t>
            </w:r>
          </w:p>
        </w:tc>
        <w:tc>
          <w:tcPr>
            <w:tcW w:w="16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1320" w:type="dxa"/>
            <w:vAlign w:val="bottom"/>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686</w:t>
            </w:r>
          </w:p>
        </w:tc>
        <w:tc>
          <w:tcPr>
            <w:tcW w:w="136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685,820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685,820</w:t>
            </w: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color w:val="auto"/>
              </w:rPr>
              <w:t>TZ Holdings, L.P., Series B</w:t>
            </w:r>
          </w:p>
        </w:tc>
        <w:tc>
          <w:tcPr>
            <w:tcW w:w="92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1"/>
              </w:rPr>
              <w:t>—</w:t>
            </w:r>
          </w:p>
        </w:tc>
        <w:tc>
          <w:tcPr>
            <w:tcW w:w="1640" w:type="dxa"/>
            <w:vAlign w:val="bottom"/>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132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6.50%</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1,312</w:t>
            </w:r>
          </w:p>
        </w:tc>
        <w:tc>
          <w:tcPr>
            <w:tcW w:w="240" w:type="dxa"/>
            <w:vAlign w:val="bottom"/>
          </w:tcPr>
          <w:p>
            <w:pPr>
              <w:spacing w:after="0"/>
              <w:rPr>
                <w:sz w:val="11"/>
                <w:szCs w:val="11"/>
                <w:color w:val="auto"/>
              </w:rPr>
            </w:pPr>
          </w:p>
        </w:tc>
        <w:tc>
          <w:tcPr>
            <w:tcW w:w="112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1,312,006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1,799,366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Preferred Equity/Partnership Interests</w:t>
            </w:r>
          </w:p>
        </w:tc>
        <w:tc>
          <w:tcPr>
            <w:tcW w:w="9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3"/>
                <w:szCs w:val="13"/>
                <w:color w:val="auto"/>
              </w:rPr>
              <w:t>12,959,611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13,352,697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Spread</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Maturity /</w:t>
            </w:r>
          </w:p>
        </w:tc>
        <w:tc>
          <w:tcPr>
            <w:tcW w:w="2060" w:type="dxa"/>
            <w:vAlign w:val="bottom"/>
          </w:tcPr>
          <w:p>
            <w:pPr>
              <w:spacing w:after="0"/>
              <w:rPr>
                <w:sz w:val="11"/>
                <w:szCs w:val="11"/>
                <w:color w:val="auto"/>
              </w:rPr>
            </w:pPr>
          </w:p>
        </w:tc>
        <w:tc>
          <w:tcPr>
            <w:tcW w:w="98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Current</w:t>
            </w:r>
          </w:p>
        </w:tc>
        <w:tc>
          <w:tcPr>
            <w:tcW w:w="11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Above</w:t>
            </w:r>
          </w:p>
        </w:tc>
        <w:tc>
          <w:tcPr>
            <w:tcW w:w="92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Par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8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Expiration</w:t>
            </w:r>
          </w:p>
        </w:tc>
        <w:tc>
          <w:tcPr>
            <w:tcW w:w="2060" w:type="dxa"/>
            <w:vAlign w:val="bottom"/>
          </w:tcPr>
          <w:p>
            <w:pPr>
              <w:ind w:left="760"/>
              <w:spacing w:after="0"/>
              <w:rPr>
                <w:sz w:val="20"/>
                <w:szCs w:val="20"/>
                <w:color w:val="auto"/>
              </w:rPr>
            </w:pPr>
            <w:r>
              <w:rPr>
                <w:rFonts w:ascii="Arial" w:cs="Arial" w:eastAsia="Arial" w:hAnsi="Arial"/>
                <w:sz w:val="13"/>
                <w:szCs w:val="13"/>
                <w:b w:val="1"/>
                <w:bCs w:val="1"/>
                <w:color w:val="auto"/>
              </w:rPr>
              <w:t>Industry</w:t>
            </w:r>
          </w:p>
        </w:tc>
        <w:tc>
          <w:tcPr>
            <w:tcW w:w="980" w:type="dxa"/>
            <w:vAlign w:val="bottom"/>
          </w:tcPr>
          <w:p>
            <w:pPr>
              <w:ind w:left="200"/>
              <w:spacing w:after="0"/>
              <w:rPr>
                <w:sz w:val="20"/>
                <w:szCs w:val="20"/>
                <w:color w:val="auto"/>
              </w:rPr>
            </w:pPr>
            <w:r>
              <w:rPr>
                <w:rFonts w:ascii="Arial" w:cs="Arial" w:eastAsia="Arial" w:hAnsi="Arial"/>
                <w:sz w:val="13"/>
                <w:szCs w:val="13"/>
                <w:b w:val="1"/>
                <w:bCs w:val="1"/>
                <w:color w:val="auto"/>
              </w:rPr>
              <w:t>Coupon</w:t>
            </w:r>
          </w:p>
        </w:tc>
        <w:tc>
          <w:tcPr>
            <w:tcW w:w="118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92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37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Interests/Warrants—9.1% </w:t>
            </w:r>
            <w:r>
              <w:rPr>
                <w:rFonts w:ascii="Arial" w:cs="Arial" w:eastAsia="Arial" w:hAnsi="Arial"/>
                <w:sz w:val="10"/>
                <w:szCs w:val="10"/>
                <w:b w:val="1"/>
                <w:bCs w:val="1"/>
                <w:color w:val="auto"/>
              </w:rPr>
              <w:t>(6)</w:t>
            </w:r>
          </w:p>
        </w:tc>
        <w:tc>
          <w:tcPr>
            <w:tcW w:w="20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10"/>
                <w:szCs w:val="10"/>
                <w:color w:val="auto"/>
              </w:rPr>
              <w:t>(11)</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1,998</w:t>
            </w:r>
          </w:p>
        </w:tc>
        <w:tc>
          <w:tcPr>
            <w:tcW w:w="2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825,006</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6"/>
              </w:rPr>
              <w:t>12/12/2023</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4,798,624</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10,265,972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8,997,421</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86"/>
              </w:rPr>
              <w:t>12/12/2023</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9,822,196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49"/>
        </w:trPr>
        <w:tc>
          <w:tcPr>
            <w:tcW w:w="2980" w:type="dxa"/>
            <w:vAlign w:val="bottom"/>
          </w:tcPr>
          <w:p>
            <w:pPr>
              <w:ind w:left="140"/>
              <w:spacing w:after="0"/>
              <w:rPr>
                <w:sz w:val="20"/>
                <w:szCs w:val="20"/>
                <w:color w:val="auto"/>
              </w:rPr>
            </w:pPr>
            <w:r>
              <w:rPr>
                <w:rFonts w:ascii="Arial" w:cs="Arial" w:eastAsia="Arial" w:hAnsi="Arial"/>
                <w:sz w:val="13"/>
                <w:szCs w:val="13"/>
                <w:color w:val="auto"/>
              </w:rPr>
              <w:t>(Warrants)</w:t>
            </w:r>
          </w:p>
        </w:tc>
        <w:tc>
          <w:tcPr>
            <w:tcW w:w="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 (Warrants)</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6"/>
              </w:rPr>
              <w:t>03/23/2021</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753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Alegeus Technologies Holding Corp.</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Financial Services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950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49"/>
        </w:trPr>
        <w:tc>
          <w:tcPr>
            <w:tcW w:w="2980" w:type="dxa"/>
            <w:vAlign w:val="bottom"/>
          </w:tcPr>
          <w:p>
            <w:pPr>
              <w:ind w:left="140"/>
              <w:spacing w:after="0"/>
              <w:rPr>
                <w:sz w:val="20"/>
                <w:szCs w:val="20"/>
                <w:color w:val="auto"/>
              </w:rPr>
            </w:pPr>
            <w:r>
              <w:rPr>
                <w:rFonts w:ascii="Arial" w:cs="Arial" w:eastAsia="Arial" w:hAnsi="Arial"/>
                <w:sz w:val="13"/>
                <w:szCs w:val="13"/>
                <w:color w:val="auto"/>
              </w:rPr>
              <w:t>(Alegeus Technologies, LLC)</w:t>
            </w:r>
          </w:p>
        </w:tc>
        <w:tc>
          <w:tcPr>
            <w:tcW w:w="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05/05/2026</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Education</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933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586,975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540,370</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Autumn Games, LLC</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1,333,333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137,923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2,111,588</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(f/k/a Transportation 100 Holdco, L.L.C.)</w:t>
            </w:r>
          </w:p>
        </w:tc>
        <w:tc>
          <w:tcPr>
            <w:tcW w:w="7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(Intermediate Transportation 100, L.L.C.)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207,242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2,377,491</w:t>
            </w:r>
          </w:p>
        </w:tc>
        <w:tc>
          <w:tcPr>
            <w:tcW w:w="0" w:type="dxa"/>
            <w:vAlign w:val="bottom"/>
          </w:tcPr>
          <w:p>
            <w:pPr>
              <w:spacing w:after="0"/>
              <w:rPr>
                <w:sz w:val="1"/>
                <w:szCs w:val="1"/>
                <w:color w:val="auto"/>
              </w:rPr>
            </w:pPr>
          </w:p>
        </w:tc>
      </w:tr>
      <w:tr>
        <w:trPr>
          <w:trHeight w:val="149"/>
        </w:trPr>
        <w:tc>
          <w:tcPr>
            <w:tcW w:w="298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Building Materials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103,621</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1,125,000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1,188,746</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1,505,000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1,505,000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1,847,186</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CI (IHS) Investment Holdings, LLC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23,416</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234,693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679,750</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11,708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117,346</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339,875</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Convergint Technologies Holdings, LLC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2,375</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760,634</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(Convergint Technologies LLC)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CT Technologies Holdings, LLC</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5,556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545,887</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3,725,224</w:t>
            </w:r>
          </w:p>
        </w:tc>
        <w:tc>
          <w:tcPr>
            <w:tcW w:w="0" w:type="dxa"/>
            <w:vAlign w:val="bottom"/>
          </w:tcPr>
          <w:p>
            <w:pPr>
              <w:spacing w:after="0"/>
              <w:rPr>
                <w:sz w:val="1"/>
                <w:szCs w:val="1"/>
                <w:color w:val="auto"/>
              </w:rPr>
            </w:pPr>
          </w:p>
        </w:tc>
      </w:tr>
      <w:tr>
        <w:trPr>
          <w:trHeight w:val="149"/>
        </w:trPr>
        <w:tc>
          <w:tcPr>
            <w:tcW w:w="2980" w:type="dxa"/>
            <w:vAlign w:val="bottom"/>
          </w:tcPr>
          <w:p>
            <w:pPr>
              <w:ind w:left="140"/>
              <w:spacing w:after="0"/>
              <w:rPr>
                <w:sz w:val="20"/>
                <w:szCs w:val="20"/>
                <w:color w:val="auto"/>
              </w:rPr>
            </w:pPr>
            <w:r>
              <w:rPr>
                <w:rFonts w:ascii="Arial" w:cs="Arial" w:eastAsia="Arial" w:hAnsi="Arial"/>
                <w:sz w:val="13"/>
                <w:szCs w:val="13"/>
                <w:color w:val="auto"/>
              </w:rPr>
              <w:t>(CT Technologies Intermediate Holdings, Inc.)</w:t>
            </w:r>
          </w:p>
        </w:tc>
        <w:tc>
          <w:tcPr>
            <w:tcW w:w="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252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2,516</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493,464</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Kadmon Holdings, LLC, Class A</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1,079,920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1,236,832</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9,906,155</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D</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1,079,920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1,028,807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9"/>
              </w:rPr>
              <w:t>Environmental</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1,000,000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856,105</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Services</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Magnum Hunter Resources Corporation (Warrants)</w:t>
            </w:r>
          </w:p>
        </w:tc>
        <w:tc>
          <w:tcPr>
            <w:tcW w:w="760" w:type="dxa"/>
            <w:vAlign w:val="bottom"/>
            <w:shd w:val="clear" w:color="auto" w:fill="CCEEFF"/>
          </w:tcPr>
          <w:p>
            <w:pPr>
              <w:jc w:val="center"/>
              <w:ind w:right="57"/>
              <w:spacing w:after="0" w:line="136" w:lineRule="exact"/>
              <w:rPr>
                <w:sz w:val="20"/>
                <w:szCs w:val="20"/>
                <w:color w:val="auto"/>
              </w:rPr>
            </w:pPr>
            <w:r>
              <w:rPr>
                <w:rFonts w:ascii="Arial" w:cs="Arial" w:eastAsia="Arial" w:hAnsi="Arial"/>
                <w:sz w:val="13"/>
                <w:szCs w:val="13"/>
                <w:color w:val="auto"/>
                <w:w w:val="86"/>
              </w:rPr>
              <w:t>04/16/2016</w:t>
            </w:r>
          </w:p>
        </w:tc>
        <w:tc>
          <w:tcPr>
            <w:tcW w:w="20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Oil and Gas</w:t>
            </w:r>
          </w:p>
        </w:tc>
        <w:tc>
          <w:tcPr>
            <w:tcW w:w="980" w:type="dxa"/>
            <w:vAlign w:val="bottom"/>
            <w:shd w:val="clear" w:color="auto" w:fill="CCEEFF"/>
          </w:tcPr>
          <w:p>
            <w:pPr>
              <w:ind w:left="620"/>
              <w:spacing w:after="0" w:line="136"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122,192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182,498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91,644</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w w:val="99"/>
              </w:rPr>
              <w:t>MidOcean JF Holdings Corp. (JF Acquisitions, LLC)</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1,850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1,850,294</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49,057</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Personal, Food and Miscellaneous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3,000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5,993,832</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(11)</w:t>
            </w:r>
            <w:r>
              <w:rPr>
                <w:rFonts w:ascii="Arial" w:cs="Arial" w:eastAsia="Arial" w:hAnsi="Arial"/>
                <w:sz w:val="13"/>
                <w:szCs w:val="13"/>
                <w:color w:val="auto"/>
              </w:rPr>
              <w:t xml:space="preserve"> (Warrants)</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6"/>
              </w:rPr>
              <w:t>05/09/2024</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13,500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495,000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2,970,000</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86"/>
              </w:rPr>
              <w:t>11/27/2023</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Insurance</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62,932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1,290,904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3,398,932</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(f/k/a Old Guard Risk Services, Inc.)</w:t>
            </w:r>
          </w:p>
        </w:tc>
        <w:tc>
          <w:tcPr>
            <w:tcW w:w="76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Paradigm Acquisition Corp.</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20,000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1,171,851</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2,800,714</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1,350,000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1,657,516</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(Power Products, LLC)</w:t>
            </w:r>
          </w:p>
        </w:tc>
        <w:tc>
          <w:tcPr>
            <w:tcW w:w="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150,000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150,000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184,168</w:t>
            </w:r>
          </w:p>
        </w:tc>
        <w:tc>
          <w:tcPr>
            <w:tcW w:w="0" w:type="dxa"/>
            <w:vAlign w:val="bottom"/>
          </w:tcPr>
          <w:p>
            <w:pPr>
              <w:spacing w:after="0"/>
              <w:rPr>
                <w:sz w:val="1"/>
                <w:szCs w:val="1"/>
                <w:color w:val="auto"/>
              </w:rPr>
            </w:pPr>
          </w:p>
        </w:tc>
      </w:tr>
      <w:tr>
        <w:trPr>
          <w:trHeight w:val="149"/>
        </w:trPr>
        <w:tc>
          <w:tcPr>
            <w:tcW w:w="2980" w:type="dxa"/>
            <w:vAlign w:val="bottom"/>
          </w:tcPr>
          <w:p>
            <w:pPr>
              <w:ind w:left="140"/>
              <w:spacing w:after="0"/>
              <w:rPr>
                <w:sz w:val="20"/>
                <w:szCs w:val="20"/>
                <w:color w:val="auto"/>
              </w:rPr>
            </w:pPr>
            <w:r>
              <w:rPr>
                <w:rFonts w:ascii="Arial" w:cs="Arial" w:eastAsia="Arial" w:hAnsi="Arial"/>
                <w:sz w:val="13"/>
                <w:szCs w:val="13"/>
                <w:color w:val="auto"/>
              </w:rPr>
              <w:t>(Power Products, LLC)</w:t>
            </w:r>
          </w:p>
        </w:tc>
        <w:tc>
          <w:tcPr>
            <w:tcW w:w="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RAM Energy LLC </w:t>
            </w:r>
            <w:r>
              <w:rPr>
                <w:rFonts w:ascii="Arial" w:cs="Arial" w:eastAsia="Arial" w:hAnsi="Arial"/>
                <w:sz w:val="10"/>
                <w:szCs w:val="10"/>
                <w:color w:val="auto"/>
              </w:rPr>
              <w:t>(11)</w:t>
            </w:r>
          </w:p>
        </w:tc>
        <w:tc>
          <w:tcPr>
            <w:tcW w:w="7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Energy and Utilities</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828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827,922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827,922</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Red Point, LLC</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388,378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1,629,791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3,444,803</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Ride Holdings, Inc.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Personal</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9,882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11,314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Transportation</w:t>
            </w:r>
          </w:p>
        </w:tc>
        <w:tc>
          <w:tcPr>
            <w:tcW w:w="9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line="121" w:lineRule="exact"/>
              <w:rPr>
                <w:sz w:val="20"/>
                <w:szCs w:val="20"/>
                <w:color w:val="auto"/>
              </w:rPr>
            </w:pPr>
            <w:r>
              <w:rPr>
                <w:rFonts w:ascii="Arial" w:cs="Arial" w:eastAsia="Arial" w:hAnsi="Arial"/>
                <w:sz w:val="13"/>
                <w:szCs w:val="13"/>
                <w:color w:val="auto"/>
              </w:rPr>
              <w:t>SPG Boyd Holdings Corp.</w:t>
            </w:r>
          </w:p>
        </w:tc>
        <w:tc>
          <w:tcPr>
            <w:tcW w:w="76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6"/>
              </w:rPr>
              <w:t>Chemicals, Plastics</w:t>
            </w:r>
          </w:p>
        </w:tc>
        <w:tc>
          <w:tcPr>
            <w:tcW w:w="98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3,000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2,419,203</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9,457,220</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5"/>
              </w:rPr>
              <w:t>and Rubber</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(Warrants)</w:t>
            </w:r>
          </w:p>
        </w:tc>
        <w:tc>
          <w:tcPr>
            <w:tcW w:w="7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12/29/2019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3,500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29,400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542,155</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TZ Holdings, L.P.</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7"/>
              </w:rPr>
              <w:t>Insurance</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9,567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1,819,448</w:t>
            </w:r>
          </w:p>
        </w:tc>
        <w:tc>
          <w:tcPr>
            <w:tcW w:w="0" w:type="dxa"/>
            <w:vAlign w:val="bottom"/>
          </w:tcPr>
          <w:p>
            <w:pPr>
              <w:spacing w:after="0"/>
              <w:rPr>
                <w:sz w:val="1"/>
                <w:szCs w:val="1"/>
                <w:color w:val="auto"/>
              </w:rPr>
            </w:pPr>
          </w:p>
        </w:tc>
      </w:tr>
      <w:tr>
        <w:trPr>
          <w:trHeight w:val="121"/>
        </w:trPr>
        <w:tc>
          <w:tcPr>
            <w:tcW w:w="2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60" w:type="dxa"/>
            <w:vAlign w:val="bottom"/>
            <w:shd w:val="clear" w:color="auto" w:fill="CCEEFF"/>
          </w:tcPr>
          <w:p>
            <w:pPr>
              <w:jc w:val="center"/>
              <w:ind w:right="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Printing and</w:t>
            </w:r>
          </w:p>
        </w:tc>
        <w:tc>
          <w:tcPr>
            <w:tcW w:w="98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21"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211,797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793,873</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3,413,412</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9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Arial" w:cs="Arial" w:eastAsia="Arial" w:hAnsi="Arial"/>
                <w:sz w:val="13"/>
                <w:szCs w:val="13"/>
                <w:color w:val="auto"/>
              </w:rPr>
              <w:t>VText Holdings, Inc.</w:t>
            </w:r>
          </w:p>
        </w:tc>
        <w:tc>
          <w:tcPr>
            <w:tcW w:w="76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35,526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4,050,000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4,135,148</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Z Wireless Holdings, Inc. (Warrants)</w:t>
            </w:r>
          </w:p>
        </w:tc>
        <w:tc>
          <w:tcPr>
            <w:tcW w:w="76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color w:val="auto"/>
                <w:w w:val="86"/>
              </w:rPr>
              <w:t>10/21/2021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1,736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168,799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457,020</w:t>
            </w:r>
          </w:p>
        </w:tc>
        <w:tc>
          <w:tcPr>
            <w:tcW w:w="0" w:type="dxa"/>
            <w:vAlign w:val="bottom"/>
          </w:tcPr>
          <w:p>
            <w:pPr>
              <w:spacing w:after="0"/>
              <w:rPr>
                <w:sz w:val="1"/>
                <w:szCs w:val="1"/>
                <w:color w:val="auto"/>
              </w:rPr>
            </w:pPr>
          </w:p>
        </w:tc>
      </w:tr>
      <w:tr>
        <w:trPr>
          <w:trHeight w:val="129"/>
        </w:trPr>
        <w:tc>
          <w:tcPr>
            <w:tcW w:w="2980" w:type="dxa"/>
            <w:vAlign w:val="bottom"/>
          </w:tcPr>
          <w:p>
            <w:pPr>
              <w:spacing w:after="0" w:line="129" w:lineRule="exact"/>
              <w:rPr>
                <w:sz w:val="20"/>
                <w:szCs w:val="20"/>
                <w:color w:val="auto"/>
              </w:rPr>
            </w:pPr>
            <w:r>
              <w:rPr>
                <w:rFonts w:ascii="Arial" w:cs="Arial" w:eastAsia="Arial" w:hAnsi="Arial"/>
                <w:sz w:val="13"/>
                <w:szCs w:val="13"/>
                <w:b w:val="1"/>
                <w:bCs w:val="1"/>
                <w:color w:val="auto"/>
                <w:w w:val="90"/>
              </w:rPr>
              <w:t>Total Common Equity/Partnership Interests/Warrants</w:t>
            </w:r>
          </w:p>
        </w:tc>
        <w:tc>
          <w:tcPr>
            <w:tcW w:w="7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46,441,982</w:t>
            </w:r>
          </w:p>
        </w:tc>
        <w:tc>
          <w:tcPr>
            <w:tcW w:w="3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75,006,097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color w:val="auto"/>
                <w:w w:val="84"/>
              </w:rPr>
              <w:t>1,171,573,359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98"/>
              </w:rPr>
              <w:t>1,212,515,400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Basis Point</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Spread</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Maturity /</w:t>
            </w:r>
          </w:p>
        </w:tc>
        <w:tc>
          <w:tcPr>
            <w:tcW w:w="192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Above</w:t>
            </w:r>
          </w:p>
        </w:tc>
        <w:tc>
          <w:tcPr>
            <w:tcW w:w="8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60" w:type="dxa"/>
            <w:vAlign w:val="bottom"/>
            <w:vMerge w:val="continue"/>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w w:val="97"/>
              </w:rPr>
              <w:t>Expiration</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102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80" w:type="dxa"/>
            <w:vAlign w:val="bottom"/>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4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 xml:space="preserve">Investments in Non-Controlled, Affiliated Portfolio Companies—8.2% </w:t>
            </w:r>
            <w:r>
              <w:rPr>
                <w:rFonts w:ascii="Arial" w:cs="Arial" w:eastAsia="Arial" w:hAnsi="Arial"/>
                <w:sz w:val="10"/>
                <w:szCs w:val="10"/>
                <w:b w:val="1"/>
                <w:bCs w:val="1"/>
                <w:color w:val="auto"/>
                <w:w w:val="96"/>
              </w:rPr>
              <w:t>(1), (2)</w:t>
            </w:r>
          </w:p>
        </w:tc>
        <w:tc>
          <w:tcPr>
            <w:tcW w:w="19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Second Lien Secured Debt—1.1%</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9,409,740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9,171,387</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Subordinated Debt/Corporate Notes—4.8%</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11/05/2019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w w:val="98"/>
              </w:rPr>
              <w:t>11,632,136</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11,632,137</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11,283,172</w:t>
            </w: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12.00%)</w:t>
            </w: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12.50%</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w w:val="98"/>
              </w:rPr>
              <w:t>28,000,000</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27,581,798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28,257,554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39,213,935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39,540,726</w:t>
            </w:r>
          </w:p>
        </w:tc>
        <w:tc>
          <w:tcPr>
            <w:tcW w:w="0" w:type="dxa"/>
            <w:vAlign w:val="bottom"/>
          </w:tcPr>
          <w:p>
            <w:pPr>
              <w:spacing w:after="0"/>
              <w:rPr>
                <w:sz w:val="1"/>
                <w:szCs w:val="1"/>
                <w:color w:val="auto"/>
              </w:rPr>
            </w:pPr>
          </w:p>
        </w:tc>
      </w:tr>
      <w:tr>
        <w:trPr>
          <w:trHeight w:val="129"/>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 xml:space="preserve">Preferred Equity –0.2% </w:t>
            </w:r>
            <w:r>
              <w:rPr>
                <w:rFonts w:ascii="Arial" w:cs="Arial" w:eastAsia="Arial" w:hAnsi="Arial"/>
                <w:sz w:val="10"/>
                <w:szCs w:val="10"/>
                <w:b w:val="1"/>
                <w:bCs w:val="1"/>
                <w:color w:val="auto"/>
              </w:rPr>
              <w:t>(6)</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Aerospace and</w:t>
            </w:r>
          </w:p>
        </w:tc>
        <w:tc>
          <w:tcPr>
            <w:tcW w:w="102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53,071</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20,059,340</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1,650,729</w:t>
            </w:r>
          </w:p>
        </w:tc>
        <w:tc>
          <w:tcPr>
            <w:tcW w:w="0" w:type="dxa"/>
            <w:vAlign w:val="bottom"/>
          </w:tcPr>
          <w:p>
            <w:pPr>
              <w:spacing w:after="0"/>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Defense</w:t>
            </w: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Interests/Warrants—2.1% </w:t>
            </w:r>
            <w:r>
              <w:rPr>
                <w:rFonts w:ascii="Arial" w:cs="Arial" w:eastAsia="Arial" w:hAnsi="Arial"/>
                <w:sz w:val="10"/>
                <w:szCs w:val="10"/>
                <w:b w:val="1"/>
                <w:bCs w:val="1"/>
                <w:color w:val="auto"/>
              </w:rPr>
              <w:t>(6)</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104,719</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21,492,822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15,486</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143,668</w:t>
            </w: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11,960,702</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12,140,931</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7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6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102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375,000</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8"/>
              </w:rPr>
              <w:t>Motion Pictures and Entertainment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 (Service Champ,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Auto Sector</w:t>
            </w:r>
          </w:p>
        </w:tc>
        <w:tc>
          <w:tcPr>
            <w:tcW w:w="102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16,800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5,387,687</w:t>
            </w: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53,071</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202,620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40,127,744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17,528,618</w:t>
            </w: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w w:val="89"/>
              </w:rPr>
              <w:t>Total Investments in Non-Controlled, Affiliated Portfolio Companies</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108,572,406</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67,847,521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Controlled, Affiliated Portfolio Companies—4.6% </w:t>
            </w:r>
            <w:r>
              <w:rPr>
                <w:rFonts w:ascii="Arial" w:cs="Arial" w:eastAsia="Arial" w:hAnsi="Arial"/>
                <w:sz w:val="10"/>
                <w:szCs w:val="10"/>
                <w:b w:val="1"/>
                <w:bCs w:val="1"/>
                <w:color w:val="auto"/>
              </w:rPr>
              <w:t>(1), (2)</w:t>
            </w: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13.50%</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L+1,250</w:t>
            </w:r>
          </w:p>
        </w:tc>
        <w:tc>
          <w:tcPr>
            <w:tcW w:w="8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98"/>
              </w:rPr>
              <w:t>22,150,000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19,924,736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19,282,328</w:t>
            </w: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2,850,000</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2,572,719</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2,481,022</w:t>
            </w: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06/30/2020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9,250,000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9,250,000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9,526,144</w:t>
            </w: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31,747,455</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31,289,494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Notes—0.3%</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6"/>
              </w:rPr>
              <w:t>6/30/2020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2,250,000</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1,986,611</w:t>
            </w:r>
          </w:p>
        </w:tc>
        <w:tc>
          <w:tcPr>
            <w:tcW w:w="0" w:type="dxa"/>
            <w:vAlign w:val="bottom"/>
          </w:tcPr>
          <w:p>
            <w:pPr>
              <w:spacing w:after="0"/>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(6)</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14.00%</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2,500</w:t>
            </w: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2,487,245</w:t>
            </w: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Equity—0.2% </w:t>
            </w:r>
            <w:r>
              <w:rPr>
                <w:rFonts w:ascii="Arial" w:cs="Arial" w:eastAsia="Arial" w:hAnsi="Arial"/>
                <w:sz w:val="10"/>
                <w:szCs w:val="10"/>
                <w:b w:val="1"/>
                <w:bCs w:val="1"/>
                <w:color w:val="auto"/>
              </w:rPr>
              <w:t>(6)</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60" w:type="dxa"/>
            <w:vAlign w:val="bottom"/>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102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4,750</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2,211,000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1,928,495</w:t>
            </w:r>
          </w:p>
        </w:tc>
        <w:tc>
          <w:tcPr>
            <w:tcW w:w="0" w:type="dxa"/>
            <w:vAlign w:val="bottom"/>
          </w:tcPr>
          <w:p>
            <w:pPr>
              <w:spacing w:after="0"/>
              <w:rPr>
                <w:sz w:val="1"/>
                <w:szCs w:val="1"/>
                <w:color w:val="auto"/>
              </w:rPr>
            </w:pPr>
          </w:p>
        </w:tc>
      </w:tr>
      <w:tr>
        <w:trPr>
          <w:trHeight w:val="149"/>
        </w:trPr>
        <w:tc>
          <w:tcPr>
            <w:tcW w:w="3760" w:type="dxa"/>
            <w:vAlign w:val="bottom"/>
          </w:tcPr>
          <w:p>
            <w:pPr>
              <w:ind w:left="140"/>
              <w:spacing w:after="0"/>
              <w:rPr>
                <w:sz w:val="20"/>
                <w:szCs w:val="20"/>
                <w:color w:val="auto"/>
              </w:rPr>
            </w:pPr>
            <w:r>
              <w:rPr>
                <w:rFonts w:ascii="Arial" w:cs="Arial" w:eastAsia="Arial" w:hAnsi="Arial"/>
                <w:sz w:val="13"/>
                <w:szCs w:val="13"/>
                <w:color w:val="auto"/>
              </w:rPr>
              <w:t>(Superior Digital Displays, LLC)</w:t>
            </w:r>
          </w:p>
        </w:tc>
        <w:tc>
          <w:tcPr>
            <w:tcW w:w="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2,211,100</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1,928,495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Total Investments in Controlled, Affiliated Portfolio Companies</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38,708,555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37,691,845</w:t>
            </w:r>
          </w:p>
        </w:tc>
        <w:tc>
          <w:tcPr>
            <w:tcW w:w="0" w:type="dxa"/>
            <w:vAlign w:val="bottom"/>
          </w:tcPr>
          <w:p>
            <w:pPr>
              <w:spacing w:after="0"/>
              <w:rPr>
                <w:sz w:val="1"/>
                <w:szCs w:val="1"/>
                <w:color w:val="auto"/>
              </w:rPr>
            </w:pPr>
          </w:p>
        </w:tc>
      </w:tr>
      <w:tr>
        <w:trPr>
          <w:trHeight w:val="129"/>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Total Investments—159.2%</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1,318,854,320</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1,318,054,766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Equivalents—8.0%</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6,805,293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6,805,293</w:t>
            </w: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59,794,902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59,713,389</w:t>
            </w: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Total Cash and Cash Equivalents</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66,600,195</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66,518,682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 and Cash Equivalents—167.2%</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86"/>
              </w:rPr>
              <w:t>1,385,454,515</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98"/>
              </w:rPr>
              <w:t>1,384,573,448</w:t>
            </w:r>
          </w:p>
        </w:tc>
        <w:tc>
          <w:tcPr>
            <w:tcW w:w="0" w:type="dxa"/>
            <w:vAlign w:val="bottom"/>
          </w:tcPr>
          <w:p>
            <w:pPr>
              <w:spacing w:after="0"/>
              <w:rPr>
                <w:sz w:val="1"/>
                <w:szCs w:val="1"/>
                <w:color w:val="auto"/>
              </w:rPr>
            </w:pPr>
          </w:p>
        </w:tc>
      </w:tr>
      <w:tr>
        <w:trPr>
          <w:trHeight w:val="128"/>
        </w:trPr>
        <w:tc>
          <w:tcPr>
            <w:tcW w:w="3760" w:type="dxa"/>
            <w:vAlign w:val="bottom"/>
          </w:tcPr>
          <w:p>
            <w:pPr>
              <w:spacing w:after="0" w:line="129" w:lineRule="exact"/>
              <w:rPr>
                <w:sz w:val="20"/>
                <w:szCs w:val="20"/>
                <w:color w:val="auto"/>
              </w:rPr>
            </w:pPr>
            <w:r>
              <w:rPr>
                <w:rFonts w:ascii="Arial" w:cs="Arial" w:eastAsia="Arial" w:hAnsi="Arial"/>
                <w:sz w:val="13"/>
                <w:szCs w:val="13"/>
                <w:b w:val="1"/>
                <w:bCs w:val="1"/>
                <w:color w:val="auto"/>
              </w:rPr>
              <w:t>Liabilities in Excess of Other Assets—(67.2%)</w:t>
            </w:r>
          </w:p>
        </w:tc>
        <w:tc>
          <w:tcPr>
            <w:tcW w:w="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(556,563,499)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7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828,009,949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3" w:lineRule="exact"/>
        <w:rPr>
          <w:sz w:val="20"/>
          <w:szCs w:val="20"/>
          <w:color w:val="auto"/>
        </w:rPr>
      </w:pPr>
    </w:p>
    <w:p>
      <w:pPr>
        <w:ind w:left="340" w:right="6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8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PennantPark Investment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67"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7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8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4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180" w:firstLine="562"/>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may elect to retain a portion of our calendar year income. We accrued no excise taxes for either of the three or nine month periods ended June 30, 2015 or 2014.</w:t>
      </w:r>
    </w:p>
    <w:p>
      <w:pPr>
        <w:spacing w:after="0" w:line="69"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w:t>
      </w:r>
    </w:p>
    <w:p>
      <w:pPr>
        <w:spacing w:after="0" w:line="75"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96" w:lineRule="exact"/>
        <w:rPr>
          <w:sz w:val="20"/>
          <w:szCs w:val="20"/>
          <w:color w:val="auto"/>
        </w:rPr>
      </w:pPr>
    </w:p>
    <w:p>
      <w:pPr>
        <w:ind w:right="24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 — Imputation of Interest (Subtopic 835-30) — 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Accordingly, the Company is currently evaluating the impact of the adoption of ASU 2015-03 on its consolidated financial statements and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2015, the Investment Adviser earned base management fees of $6.5 million and $20.1 million, respectively, from us. For the three and nine months ended June 30, 2014, the Investment Adviser earned base management fees of $6.1 million and $17.9 million, respectively, from us.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right="20" w:firstLine="562"/>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2.1875% in any calendar quarter. These calculations are pro-rated for any share issuances or repurchases during the relevant quarter, if applicable. For the three and nine months ended June 30, 2015, the Investment Adviser earned an incentive fee on net investment income as calculated under the Investment Management Agreement of $5.2 million and $15.6 million, respectively, from us. For the three and nine months ended June 30, 2014, the Investment Adviser earned an incentive fee on net investment income as calculated under the Investment Management Agreement of $3.7 million and $13.2 million, respectively, from us.</w:t>
      </w:r>
    </w:p>
    <w:p>
      <w:pPr>
        <w:spacing w:after="0" w:line="7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2015 and 2014,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nine months ended June 30, 2015, the Investment Adviser did not accrue an incentive fee on unrealized and realized capital gains as calculated under GAAP. For each of the three and nine months ended June 30, 2014, the Investment Adviser accrued an incentive fee on unrealized and realized capital gains as calculated under GAAP of $1.7 million.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2015.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2015, the Investment Adviser was reimbursed $0.7 million and $3.1 million, respectively, from us, including expenses the Investment Adviser incurred on behalf of the Administrator, for the services described above. For the three and nine months ended June 30, 2014, the Investment Adviser was reimbursed $0.6 million and $2.7 million, respectively, from us, including expenses the Investment Adviser incurred on behalf of the Administrator, for the services described above.</w:t>
      </w:r>
    </w:p>
    <w:p>
      <w:pPr>
        <w:spacing w:after="0" w:line="77"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2015, PennantPark Investment was reimbursed $0.1 million and $0.4 million, respectively, for the services described above. For the three and nine months ended June 30, 2014, PennantPark Investment was reimbursed $0.1 million and $0.4 million, respectively, for the services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2015 totaled $115.7 million and $352.5 million, respectively. For the same periods in the prior year, purchases of investments, including PIK interest, totaled $193.7 million and $568.4 million, respectively. Sales and repayments of investments for the three and nine months ended June 30, 2015 totaled $107.0 million and $289.5 million, respectively. For the same periods in the prior year, sales and repayments of investments totaled $273.6 million and $534.4 million, respectively.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060" w:type="dxa"/>
            <w:vAlign w:val="bottom"/>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5"/>
          </w:tcPr>
          <w:p>
            <w:pPr>
              <w:jc w:val="right"/>
              <w:ind w:right="980"/>
              <w:spacing w:after="0"/>
              <w:rPr>
                <w:sz w:val="20"/>
                <w:szCs w:val="20"/>
                <w:color w:val="auto"/>
              </w:rPr>
            </w:pPr>
            <w:r>
              <w:rPr>
                <w:rFonts w:ascii="Arial" w:cs="Arial" w:eastAsia="Arial" w:hAnsi="Arial"/>
                <w:sz w:val="13"/>
                <w:szCs w:val="13"/>
                <w:b w:val="1"/>
                <w:bCs w:val="1"/>
                <w:color w:val="auto"/>
              </w:rPr>
              <w:t>June 30, 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2014</w:t>
            </w:r>
          </w:p>
        </w:tc>
        <w:tc>
          <w:tcPr>
            <w:tcW w:w="0" w:type="dxa"/>
            <w:vAlign w:val="bottom"/>
          </w:tcPr>
          <w:p>
            <w:pPr>
              <w:spacing w:after="0"/>
              <w:rPr>
                <w:sz w:val="1"/>
                <w:szCs w:val="1"/>
                <w:color w:val="auto"/>
              </w:rPr>
            </w:pPr>
          </w:p>
        </w:tc>
      </w:tr>
      <w:tr>
        <w:trPr>
          <w:trHeight w:val="128"/>
        </w:trPr>
        <w:tc>
          <w:tcPr>
            <w:tcW w:w="4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3"/>
                <w:szCs w:val="13"/>
                <w:b w:val="1"/>
                <w:bCs w:val="1"/>
                <w:color w:val="auto"/>
              </w:rPr>
              <w:t>Cost</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29"/>
              <w:spacing w:after="0" w:line="129" w:lineRule="exact"/>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3"/>
                <w:szCs w:val="13"/>
                <w:b w:val="1"/>
                <w:bCs w:val="1"/>
                <w:color w:val="auto"/>
              </w:rPr>
              <w:t>Cost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391,506,127</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381,419,096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453,835,589</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465,593,894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629,459,688</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611,706,781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489,813,322</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493,360,024</w:t>
            </w: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230,472,223</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191,448,621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250,905,632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247,146,967</w:t>
            </w: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151,550,134</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109,471,645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124,299,777</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111,953,881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w w:val="93"/>
              </w:rPr>
              <w:t>1,402,988,172</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3"/>
              </w:rPr>
              <w:t>1,294,046,143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w w:val="96"/>
              </w:rPr>
              <w:t>1,318,854,320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1,318,054,766</w:t>
            </w:r>
          </w:p>
        </w:tc>
        <w:tc>
          <w:tcPr>
            <w:tcW w:w="0" w:type="dxa"/>
            <w:vAlign w:val="bottom"/>
          </w:tcPr>
          <w:p>
            <w:pPr>
              <w:spacing w:after="0"/>
              <w:rPr>
                <w:sz w:val="1"/>
                <w:szCs w:val="1"/>
                <w:color w:val="auto"/>
              </w:rPr>
            </w:pPr>
          </w:p>
        </w:tc>
      </w:tr>
      <w:tr>
        <w:trPr>
          <w:trHeight w:val="148"/>
        </w:trPr>
        <w:tc>
          <w:tcPr>
            <w:tcW w:w="40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83,378,632</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83,328,972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66,600,195</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w w:val="93"/>
              </w:rPr>
              <w:t>1,486,366,804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3"/>
              </w:rPr>
              <w:t>1,377,375,115</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w w:val="96"/>
              </w:rPr>
              <w:t>1,385,454,515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1,384,573,448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41"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June 30, 2015</w:t>
            </w:r>
          </w:p>
        </w:tc>
        <w:tc>
          <w:tcPr>
            <w:tcW w:w="7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88"/>
              </w:rPr>
              <w:t>September 30, 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Personal, Food and Miscellaneous Services</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12%</w:t>
            </w:r>
          </w:p>
        </w:tc>
        <w:tc>
          <w:tcPr>
            <w:tcW w:w="1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Materials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and Utilities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2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70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2700" w:type="dxa"/>
            <w:vAlign w:val="bottom"/>
            <w:gridSpan w:val="4"/>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100%</w:t>
            </w:r>
          </w:p>
        </w:tc>
        <w:tc>
          <w:tcPr>
            <w:tcW w:w="1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19</w:t>
            </w: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6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68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0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2019 Notes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7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3 and one reclassification from Level 3 to 2 during the nine months ended June 30, 2015 and no reclassification of assets between levels during the nine months ended June 30, 2014.</w:t>
      </w:r>
    </w:p>
    <w:p>
      <w:pPr>
        <w:spacing w:after="0" w:line="77"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jc w:val="both"/>
        <w:ind w:right="6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 at</w:t>
            </w: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Range of Input</w:t>
            </w:r>
          </w:p>
        </w:tc>
        <w:tc>
          <w:tcPr>
            <w:tcW w:w="0" w:type="dxa"/>
            <w:vAlign w:val="bottom"/>
          </w:tcPr>
          <w:p>
            <w:pPr>
              <w:spacing w:after="0"/>
              <w:rPr>
                <w:sz w:val="1"/>
                <w:szCs w:val="1"/>
                <w:color w:val="auto"/>
              </w:rPr>
            </w:pPr>
          </w:p>
        </w:tc>
      </w:tr>
      <w:tr>
        <w:trPr>
          <w:trHeight w:val="153"/>
        </w:trPr>
        <w:tc>
          <w:tcPr>
            <w:tcW w:w="3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2015</w:t>
            </w:r>
          </w:p>
        </w:tc>
        <w:tc>
          <w:tcPr>
            <w:tcW w:w="18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Valuation Technique</w:t>
            </w:r>
          </w:p>
        </w:tc>
        <w:tc>
          <w:tcPr>
            <w:tcW w:w="18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Unobservable Input</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313,534,495</w:t>
            </w: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864,397,763</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3.0% – 40.0% (13.8%)</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2,475,791</w:t>
            </w:r>
          </w:p>
        </w:tc>
        <w:tc>
          <w:tcPr>
            <w:tcW w:w="18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Broker/Dealer bid quotes</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105,353,322</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16.3x (8.7x)</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Level 3 investments</w:t>
            </w:r>
          </w:p>
        </w:tc>
        <w:tc>
          <w:tcPr>
            <w:tcW w:w="5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520"/>
              <w:spacing w:after="0" w:line="142" w:lineRule="exact"/>
              <w:rPr>
                <w:sz w:val="20"/>
                <w:szCs w:val="20"/>
                <w:color w:val="auto"/>
              </w:rPr>
            </w:pPr>
            <w:r>
              <w:rPr>
                <w:rFonts w:ascii="Arial" w:cs="Arial" w:eastAsia="Arial" w:hAnsi="Arial"/>
                <w:sz w:val="14"/>
                <w:szCs w:val="14"/>
                <w:color w:val="auto"/>
              </w:rPr>
              <w:t>1,285,761,371</w:t>
            </w:r>
          </w:p>
        </w:tc>
        <w:tc>
          <w:tcPr>
            <w:tcW w:w="1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line="142" w:lineRule="exact"/>
              <w:rPr>
                <w:sz w:val="20"/>
                <w:szCs w:val="20"/>
                <w:color w:val="auto"/>
              </w:rPr>
            </w:pPr>
            <w:r>
              <w:rPr>
                <w:rFonts w:ascii="Arial" w:cs="Arial" w:eastAsia="Arial" w:hAnsi="Arial"/>
                <w:sz w:val="14"/>
                <w:szCs w:val="14"/>
                <w:color w:val="auto"/>
              </w:rPr>
              <w:t>Long-Term Credit Facility</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98,565,960</w:t>
            </w:r>
          </w:p>
        </w:tc>
        <w:tc>
          <w:tcPr>
            <w:tcW w:w="520" w:type="dxa"/>
            <w:vAlign w:val="bottom"/>
          </w:tcPr>
          <w:p>
            <w:pPr>
              <w:spacing w:after="0"/>
              <w:rPr>
                <w:sz w:val="12"/>
                <w:szCs w:val="12"/>
                <w:color w:val="auto"/>
              </w:rPr>
            </w:pPr>
          </w:p>
        </w:tc>
        <w:tc>
          <w:tcPr>
            <w:tcW w:w="1840" w:type="dxa"/>
            <w:vAlign w:val="bottom"/>
            <w:gridSpan w:val="2"/>
          </w:tcPr>
          <w:p>
            <w:pPr>
              <w:jc w:val="center"/>
              <w:ind w:right="440"/>
              <w:spacing w:after="0" w:line="142"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440"/>
              <w:spacing w:after="0" w:line="142"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42" w:lineRule="exact"/>
              <w:rPr>
                <w:sz w:val="20"/>
                <w:szCs w:val="20"/>
                <w:color w:val="auto"/>
              </w:rPr>
            </w:pPr>
            <w:r>
              <w:rPr>
                <w:rFonts w:ascii="Arial" w:cs="Arial" w:eastAsia="Arial" w:hAnsi="Arial"/>
                <w:sz w:val="14"/>
                <w:szCs w:val="14"/>
                <w:color w:val="auto"/>
                <w:w w:val="93"/>
              </w:rPr>
              <w:t>4.0%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2019 Notes</w:t>
            </w:r>
          </w:p>
        </w:tc>
        <w:tc>
          <w:tcPr>
            <w:tcW w:w="56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520"/>
              <w:spacing w:after="0" w:line="129" w:lineRule="exact"/>
              <w:rPr>
                <w:sz w:val="20"/>
                <w:szCs w:val="20"/>
                <w:color w:val="auto"/>
              </w:rPr>
            </w:pPr>
            <w:r>
              <w:rPr>
                <w:rFonts w:ascii="Arial" w:cs="Arial" w:eastAsia="Arial" w:hAnsi="Arial"/>
                <w:sz w:val="14"/>
                <w:szCs w:val="14"/>
                <w:color w:val="auto"/>
              </w:rPr>
              <w:t>250,160,000</w:t>
            </w:r>
          </w:p>
        </w:tc>
        <w:tc>
          <w:tcPr>
            <w:tcW w:w="1840" w:type="dxa"/>
            <w:vAlign w:val="bottom"/>
            <w:gridSpan w:val="2"/>
            <w:shd w:val="clear" w:color="auto" w:fill="CCEEFF"/>
          </w:tcPr>
          <w:p>
            <w:pPr>
              <w:jc w:val="center"/>
              <w:ind w:right="440"/>
              <w:spacing w:after="0" w:line="12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EFF"/>
          </w:tcPr>
          <w:p>
            <w:pPr>
              <w:jc w:val="center"/>
              <w:ind w:right="420"/>
              <w:spacing w:after="0" w:line="129" w:lineRule="exact"/>
              <w:rPr>
                <w:sz w:val="20"/>
                <w:szCs w:val="20"/>
                <w:color w:val="auto"/>
              </w:rPr>
            </w:pPr>
            <w:r>
              <w:rPr>
                <w:rFonts w:ascii="Arial" w:cs="Arial" w:eastAsia="Arial" w:hAnsi="Arial"/>
                <w:sz w:val="14"/>
                <w:szCs w:val="14"/>
                <w:color w:val="auto"/>
                <w:w w:val="94"/>
              </w:rPr>
              <w:t>Broker/Dealer bid quotes</w:t>
            </w: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 at</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Range of Input</w:t>
            </w:r>
          </w:p>
        </w:tc>
        <w:tc>
          <w:tcPr>
            <w:tcW w:w="0" w:type="dxa"/>
            <w:vAlign w:val="bottom"/>
          </w:tcPr>
          <w:p>
            <w:pPr>
              <w:spacing w:after="0"/>
              <w:rPr>
                <w:sz w:val="1"/>
                <w:szCs w:val="1"/>
                <w:color w:val="auto"/>
              </w:rPr>
            </w:pPr>
          </w:p>
        </w:tc>
      </w:tr>
      <w:tr>
        <w:trPr>
          <w:trHeight w:val="153"/>
        </w:trPr>
        <w:tc>
          <w:tcPr>
            <w:tcW w:w="3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September 30, 2014</w:t>
            </w:r>
          </w:p>
        </w:tc>
        <w:tc>
          <w:tcPr>
            <w:tcW w:w="18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Valuation Technique</w:t>
            </w:r>
          </w:p>
        </w:tc>
        <w:tc>
          <w:tcPr>
            <w:tcW w:w="18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Unobservable Input</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4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681,131,020</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9.7% – 21.3% (13.2%)</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12,163,865</w:t>
            </w:r>
          </w:p>
        </w:tc>
        <w:tc>
          <w:tcPr>
            <w:tcW w:w="18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Broker/Dealer bid quotes</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99,698,372</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EBITDA multiple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3.3x – 14.0x (8.8x)</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Level 3 investments</w:t>
            </w:r>
          </w:p>
        </w:tc>
        <w:tc>
          <w:tcPr>
            <w:tcW w:w="5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520"/>
              <w:spacing w:after="0" w:line="142" w:lineRule="exact"/>
              <w:rPr>
                <w:sz w:val="20"/>
                <w:szCs w:val="20"/>
                <w:color w:val="auto"/>
              </w:rPr>
            </w:pPr>
            <w:r>
              <w:rPr>
                <w:rFonts w:ascii="Arial" w:cs="Arial" w:eastAsia="Arial" w:hAnsi="Arial"/>
                <w:sz w:val="14"/>
                <w:szCs w:val="14"/>
                <w:color w:val="auto"/>
              </w:rPr>
              <w:t>1,273,338,136</w:t>
            </w:r>
          </w:p>
        </w:tc>
        <w:tc>
          <w:tcPr>
            <w:tcW w:w="1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84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4"/>
              </w:rPr>
              <w:t>Market Comparable</w:t>
            </w:r>
          </w:p>
        </w:tc>
        <w:tc>
          <w:tcPr>
            <w:tcW w:w="18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7"/>
              </w:rPr>
              <w:t>Market Yield</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53,497,620</w:t>
            </w:r>
          </w:p>
        </w:tc>
        <w:tc>
          <w:tcPr>
            <w:tcW w:w="520" w:type="dxa"/>
            <w:vAlign w:val="bottom"/>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2019 Notes</w:t>
            </w:r>
          </w:p>
        </w:tc>
        <w:tc>
          <w:tcPr>
            <w:tcW w:w="56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520"/>
              <w:spacing w:after="0" w:line="129" w:lineRule="exact"/>
              <w:rPr>
                <w:sz w:val="20"/>
                <w:szCs w:val="20"/>
                <w:color w:val="auto"/>
              </w:rPr>
            </w:pPr>
            <w:r>
              <w:rPr>
                <w:rFonts w:ascii="Arial" w:cs="Arial" w:eastAsia="Arial" w:hAnsi="Arial"/>
                <w:sz w:val="14"/>
                <w:szCs w:val="14"/>
                <w:color w:val="auto"/>
              </w:rPr>
              <w:t>251,350,250</w:t>
            </w:r>
          </w:p>
        </w:tc>
        <w:tc>
          <w:tcPr>
            <w:tcW w:w="1840" w:type="dxa"/>
            <w:vAlign w:val="bottom"/>
            <w:gridSpan w:val="2"/>
            <w:shd w:val="clear" w:color="auto" w:fill="CCEEFF"/>
          </w:tcPr>
          <w:p>
            <w:pPr>
              <w:jc w:val="center"/>
              <w:ind w:right="440"/>
              <w:spacing w:after="0" w:line="129" w:lineRule="exact"/>
              <w:rPr>
                <w:sz w:val="20"/>
                <w:szCs w:val="20"/>
                <w:color w:val="auto"/>
              </w:rPr>
            </w:pPr>
            <w:r>
              <w:rPr>
                <w:rFonts w:ascii="Arial" w:cs="Arial" w:eastAsia="Arial" w:hAnsi="Arial"/>
                <w:sz w:val="14"/>
                <w:szCs w:val="14"/>
                <w:color w:val="auto"/>
                <w:w w:val="94"/>
              </w:rPr>
              <w:t>Market Comparable</w:t>
            </w:r>
          </w:p>
        </w:tc>
        <w:tc>
          <w:tcPr>
            <w:tcW w:w="1880" w:type="dxa"/>
            <w:vAlign w:val="bottom"/>
            <w:gridSpan w:val="2"/>
            <w:shd w:val="clear" w:color="auto" w:fill="CCEEFF"/>
          </w:tcPr>
          <w:p>
            <w:pPr>
              <w:jc w:val="center"/>
              <w:ind w:right="420"/>
              <w:spacing w:after="0" w:line="129" w:lineRule="exact"/>
              <w:rPr>
                <w:sz w:val="20"/>
                <w:szCs w:val="20"/>
                <w:color w:val="auto"/>
              </w:rPr>
            </w:pPr>
            <w:r>
              <w:rPr>
                <w:rFonts w:ascii="Arial" w:cs="Arial" w:eastAsia="Arial" w:hAnsi="Arial"/>
                <w:sz w:val="14"/>
                <w:szCs w:val="14"/>
                <w:color w:val="auto"/>
                <w:w w:val="94"/>
              </w:rPr>
              <w:t>Broker/Dealer bid quotes</w:t>
            </w: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3"/>
                <w:szCs w:val="13"/>
                <w:b w:val="1"/>
                <w:bCs w:val="1"/>
                <w:color w:val="auto"/>
              </w:rPr>
              <w:t>Fair Value at June 30, 2015</w:t>
            </w: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Fair Value</w:t>
            </w:r>
          </w:p>
        </w:tc>
        <w:tc>
          <w:tcPr>
            <w:tcW w:w="8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0"/>
              <w:spacing w:after="0" w:line="129" w:lineRule="exact"/>
              <w:rPr>
                <w:sz w:val="20"/>
                <w:szCs w:val="20"/>
                <w:color w:val="auto"/>
              </w:rPr>
            </w:pPr>
            <w:r>
              <w:rPr>
                <w:rFonts w:ascii="Arial" w:cs="Arial" w:eastAsia="Arial" w:hAnsi="Arial"/>
                <w:sz w:val="13"/>
                <w:szCs w:val="13"/>
                <w:b w:val="1"/>
                <w:bCs w:val="1"/>
                <w:color w:val="auto"/>
              </w:rPr>
              <w:t>Level 1</w:t>
            </w:r>
          </w:p>
        </w:tc>
        <w:tc>
          <w:tcPr>
            <w:tcW w:w="7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9"/>
              <w:spacing w:after="0" w:line="129" w:lineRule="exact"/>
              <w:rPr>
                <w:sz w:val="20"/>
                <w:szCs w:val="20"/>
                <w:color w:val="auto"/>
              </w:rPr>
            </w:pPr>
            <w:r>
              <w:rPr>
                <w:rFonts w:ascii="Arial" w:cs="Arial" w:eastAsia="Arial" w:hAnsi="Arial"/>
                <w:sz w:val="13"/>
                <w:szCs w:val="13"/>
                <w:b w:val="1"/>
                <w:bCs w:val="1"/>
                <w:color w:val="auto"/>
              </w:rPr>
              <w:t>Level 2</w:t>
            </w:r>
          </w:p>
        </w:tc>
        <w:tc>
          <w:tcPr>
            <w:tcW w:w="8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1,184,574,498</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6,642,240</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1,177,932,258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109,471,645</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1,642,532</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107,829,113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investments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1,294,046,143</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8,284,772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1,285,761,371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83,328,972</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83,328,972</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1,377,375,115</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83,328,972</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8,284,772</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1,285,761,371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7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98,565,960</w:t>
            </w:r>
          </w:p>
        </w:tc>
        <w:tc>
          <w:tcPr>
            <w:tcW w:w="80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98,565,960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250,160,000</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250,160,000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71,934,000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71,934,000</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debt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420,659,960</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71,934,000</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348,725,960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3"/>
                <w:szCs w:val="13"/>
                <w:b w:val="1"/>
                <w:bCs w:val="1"/>
                <w:color w:val="auto"/>
                <w:w w:val="94"/>
              </w:rPr>
              <w:t>Fair Value at September 30, 2014</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Fair Value</w:t>
            </w:r>
          </w:p>
        </w:tc>
        <w:tc>
          <w:tcPr>
            <w:tcW w:w="8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0"/>
              <w:spacing w:after="0" w:line="129" w:lineRule="exact"/>
              <w:rPr>
                <w:sz w:val="20"/>
                <w:szCs w:val="20"/>
                <w:color w:val="auto"/>
              </w:rPr>
            </w:pPr>
            <w:r>
              <w:rPr>
                <w:rFonts w:ascii="Arial" w:cs="Arial" w:eastAsia="Arial" w:hAnsi="Arial"/>
                <w:sz w:val="13"/>
                <w:szCs w:val="13"/>
                <w:b w:val="1"/>
                <w:bCs w:val="1"/>
                <w:color w:val="auto"/>
              </w:rPr>
              <w:t>Level 1</w:t>
            </w:r>
          </w:p>
        </w:tc>
        <w:tc>
          <w:tcPr>
            <w:tcW w:w="7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9"/>
              <w:spacing w:after="0" w:line="129" w:lineRule="exact"/>
              <w:rPr>
                <w:sz w:val="20"/>
                <w:szCs w:val="20"/>
                <w:color w:val="auto"/>
              </w:rPr>
            </w:pPr>
            <w:r>
              <w:rPr>
                <w:rFonts w:ascii="Arial" w:cs="Arial" w:eastAsia="Arial" w:hAnsi="Arial"/>
                <w:sz w:val="13"/>
                <w:szCs w:val="13"/>
                <w:b w:val="1"/>
                <w:bCs w:val="1"/>
                <w:color w:val="auto"/>
              </w:rPr>
              <w:t>Level 2</w:t>
            </w:r>
          </w:p>
        </w:tc>
        <w:tc>
          <w:tcPr>
            <w:tcW w:w="8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1,206,100,885</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44,624,986</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1,161,475,899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111,953,881</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91,644</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111,862,237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investments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1,318,054,766</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44,716,630</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66,518,682</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66,518,682</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1,384,573,448</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66,518,682</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44,716,630</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7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53,497,620</w:t>
            </w:r>
          </w:p>
        </w:tc>
        <w:tc>
          <w:tcPr>
            <w:tcW w:w="80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53,497,620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71,820,000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71,820,000</w:t>
            </w: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debt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376,667,870</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71,820,000</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4"/>
                <w:szCs w:val="14"/>
                <w:color w:val="auto"/>
              </w:rPr>
              <w:t>21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Nine Months Ended June 30, 2015</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97"/>
              </w:rPr>
              <w:t>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investments</w:t>
            </w:r>
          </w:p>
        </w:tc>
        <w:tc>
          <w:tcPr>
            <w:tcW w:w="80" w:type="dxa"/>
            <w:vAlign w:val="bottom"/>
          </w:tcPr>
          <w:p>
            <w:pPr>
              <w:spacing w:after="0"/>
              <w:rPr>
                <w:sz w:val="13"/>
                <w:szCs w:val="13"/>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Equity investments</w:t>
            </w:r>
          </w:p>
        </w:tc>
        <w:tc>
          <w:tcPr>
            <w:tcW w:w="20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1,161,475,899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2,962,343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28,883,600</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31,845,943</w:t>
            </w:r>
          </w:p>
        </w:tc>
        <w:tc>
          <w:tcPr>
            <w:tcW w:w="0" w:type="dxa"/>
            <w:vAlign w:val="bottom"/>
          </w:tcPr>
          <w:p>
            <w:pPr>
              <w:spacing w:after="0"/>
              <w:rPr>
                <w:sz w:val="1"/>
                <w:szCs w:val="1"/>
                <w:color w:val="auto"/>
              </w:rPr>
            </w:pPr>
          </w:p>
        </w:tc>
      </w:tr>
      <w:tr>
        <w:trPr>
          <w:trHeight w:val="148"/>
        </w:trPr>
        <w:tc>
          <w:tcPr>
            <w:tcW w:w="7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(69,360,865)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(30,048,498)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(99,409,363)</w:t>
            </w:r>
          </w:p>
        </w:tc>
        <w:tc>
          <w:tcPr>
            <w:tcW w:w="0" w:type="dxa"/>
            <w:vAlign w:val="bottom"/>
          </w:tcPr>
          <w:p>
            <w:pPr>
              <w:spacing w:after="0"/>
              <w:rPr>
                <w:sz w:val="1"/>
                <w:szCs w:val="1"/>
                <w:color w:val="auto"/>
              </w:rPr>
            </w:pPr>
          </w:p>
        </w:tc>
      </w:tr>
      <w:tr>
        <w:trPr>
          <w:trHeight w:val="148"/>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302,313,341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39,307,424</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341,620,765</w:t>
            </w:r>
          </w:p>
        </w:tc>
        <w:tc>
          <w:tcPr>
            <w:tcW w:w="0" w:type="dxa"/>
            <w:vAlign w:val="bottom"/>
          </w:tcPr>
          <w:p>
            <w:pPr>
              <w:spacing w:after="0"/>
              <w:rPr>
                <w:sz w:val="1"/>
                <w:szCs w:val="1"/>
                <w:color w:val="auto"/>
              </w:rPr>
            </w:pPr>
          </w:p>
        </w:tc>
      </w:tr>
      <w:tr>
        <w:trPr>
          <w:trHeight w:val="148"/>
        </w:trPr>
        <w:tc>
          <w:tcPr>
            <w:tcW w:w="7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(248,604,839)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(40,940,666)</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(289,545,505)</w:t>
            </w:r>
          </w:p>
        </w:tc>
        <w:tc>
          <w:tcPr>
            <w:tcW w:w="0" w:type="dxa"/>
            <w:vAlign w:val="bottom"/>
          </w:tcPr>
          <w:p>
            <w:pPr>
              <w:spacing w:after="0"/>
              <w:rPr>
                <w:sz w:val="1"/>
                <w:szCs w:val="1"/>
                <w:color w:val="auto"/>
              </w:rPr>
            </w:pPr>
          </w:p>
        </w:tc>
      </w:tr>
      <w:tr>
        <w:trPr>
          <w:trHeight w:val="148"/>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29,146,379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(1,234,984)</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27,911,395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3"/>
              </w:rPr>
              <w:t>1,177,932,258</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5"/>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107,829,113</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1,285,761,371</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Net change in unrealized depreciation reported within the net change in unrealized depreciation on investments in our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6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640" w:type="dxa"/>
            <w:vAlign w:val="bottom"/>
            <w:gridSpan w:val="2"/>
          </w:tcPr>
          <w:p>
            <w:pPr>
              <w:ind w:left="16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(66,210,579)</w:t>
            </w:r>
          </w:p>
        </w:tc>
        <w:tc>
          <w:tcPr>
            <w:tcW w:w="100" w:type="dxa"/>
            <w:vAlign w:val="bottom"/>
          </w:tcPr>
          <w:p>
            <w:pPr>
              <w:spacing w:after="0"/>
              <w:rPr>
                <w:sz w:val="14"/>
                <w:szCs w:val="14"/>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(16,287,835)</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(82,498,414)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Nine Months Ended June 30, 2014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97"/>
              </w:rPr>
              <w:t>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8"/>
              </w:rPr>
              <w:t>Equity</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investments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20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18,101,010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3,875,493</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21,976,503</w:t>
            </w:r>
          </w:p>
        </w:tc>
        <w:tc>
          <w:tcPr>
            <w:tcW w:w="0" w:type="dxa"/>
            <w:vAlign w:val="bottom"/>
          </w:tcPr>
          <w:p>
            <w:pPr>
              <w:spacing w:after="0"/>
              <w:rPr>
                <w:sz w:val="1"/>
                <w:szCs w:val="1"/>
                <w:color w:val="auto"/>
              </w:rPr>
            </w:pPr>
          </w:p>
        </w:tc>
      </w:tr>
      <w:tr>
        <w:trPr>
          <w:trHeight w:val="148"/>
        </w:trPr>
        <w:tc>
          <w:tcPr>
            <w:tcW w:w="7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470,447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23,854,264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24,324,711</w:t>
            </w:r>
          </w:p>
        </w:tc>
        <w:tc>
          <w:tcPr>
            <w:tcW w:w="0" w:type="dxa"/>
            <w:vAlign w:val="bottom"/>
          </w:tcPr>
          <w:p>
            <w:pPr>
              <w:spacing w:after="0"/>
              <w:rPr>
                <w:sz w:val="1"/>
                <w:szCs w:val="1"/>
                <w:color w:val="auto"/>
              </w:rPr>
            </w:pPr>
          </w:p>
        </w:tc>
      </w:tr>
      <w:tr>
        <w:trPr>
          <w:trHeight w:val="148"/>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554,355,726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23,424,660</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577,780,386</w:t>
            </w:r>
          </w:p>
        </w:tc>
        <w:tc>
          <w:tcPr>
            <w:tcW w:w="0" w:type="dxa"/>
            <w:vAlign w:val="bottom"/>
          </w:tcPr>
          <w:p>
            <w:pPr>
              <w:spacing w:after="0"/>
              <w:rPr>
                <w:sz w:val="1"/>
                <w:szCs w:val="1"/>
                <w:color w:val="auto"/>
              </w:rPr>
            </w:pPr>
          </w:p>
        </w:tc>
      </w:tr>
      <w:tr>
        <w:trPr>
          <w:trHeight w:val="148"/>
        </w:trPr>
        <w:tc>
          <w:tcPr>
            <w:tcW w:w="7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(457,401,305)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(42,682,440)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(500,083,745)</w:t>
            </w:r>
          </w:p>
        </w:tc>
        <w:tc>
          <w:tcPr>
            <w:tcW w:w="0" w:type="dxa"/>
            <w:vAlign w:val="bottom"/>
          </w:tcPr>
          <w:p>
            <w:pPr>
              <w:spacing w:after="0"/>
              <w:rPr>
                <w:sz w:val="1"/>
                <w:szCs w:val="1"/>
                <w:color w:val="auto"/>
              </w:rPr>
            </w:pPr>
          </w:p>
        </w:tc>
      </w:tr>
      <w:tr>
        <w:trPr>
          <w:trHeight w:val="149"/>
        </w:trPr>
        <w:tc>
          <w:tcPr>
            <w:tcW w:w="7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3"/>
              </w:rPr>
              <w:t>1,030,940,293</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5"/>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119,395,728</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1,150,336,021</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w w:val="96"/>
              </w:rPr>
              <w:t>Net change in unrealized appreciation reported within the net change in unrealized appreciation (depreciation) on investments in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6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640" w:type="dxa"/>
            <w:vAlign w:val="bottom"/>
            <w:gridSpan w:val="2"/>
          </w:tcPr>
          <w:p>
            <w:pPr>
              <w:ind w:left="160"/>
              <w:spacing w:after="0"/>
              <w:rPr>
                <w:sz w:val="20"/>
                <w:szCs w:val="20"/>
                <w:color w:val="auto"/>
              </w:rPr>
            </w:pPr>
            <w:r>
              <w:rPr>
                <w:rFonts w:ascii="Arial" w:cs="Arial" w:eastAsia="Arial" w:hAnsi="Arial"/>
                <w:sz w:val="14"/>
                <w:szCs w:val="14"/>
                <w:color w:val="auto"/>
              </w:rPr>
              <w:t>our Consolidated Statement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12,355,525</w:t>
            </w:r>
          </w:p>
        </w:tc>
        <w:tc>
          <w:tcPr>
            <w:tcW w:w="100" w:type="dxa"/>
            <w:vAlign w:val="bottom"/>
          </w:tcPr>
          <w:p>
            <w:pPr>
              <w:spacing w:after="0"/>
              <w:rPr>
                <w:sz w:val="14"/>
                <w:szCs w:val="14"/>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(9,463,794)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2,891,731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28"/>
        </w:trPr>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Long-Term Credit Facility and 2019 Notes</w:t>
            </w:r>
          </w:p>
        </w:tc>
        <w:tc>
          <w:tcPr>
            <w:tcW w:w="53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Borders>
              <w:top w:val="single" w:sz="8" w:color="auto"/>
              <w:bottom w:val="single" w:sz="8" w:color="auto"/>
            </w:tcBorders>
            <w:gridSpan w:val="5"/>
          </w:tcPr>
          <w:p>
            <w:pPr>
              <w:jc w:val="right"/>
              <w:ind w:right="109"/>
              <w:spacing w:after="0" w:line="129" w:lineRule="exact"/>
              <w:rPr>
                <w:sz w:val="20"/>
                <w:szCs w:val="20"/>
                <w:color w:val="auto"/>
              </w:rPr>
            </w:pPr>
            <w:r>
              <w:rPr>
                <w:rFonts w:ascii="Arial" w:cs="Arial" w:eastAsia="Arial" w:hAnsi="Arial"/>
                <w:sz w:val="13"/>
                <w:szCs w:val="13"/>
                <w:b w:val="1"/>
                <w:bCs w:val="1"/>
                <w:color w:val="auto"/>
                <w:w w:val="94"/>
              </w:rPr>
              <w:t>Nine Months Ended 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auto"/>
            </w:tcBorders>
            <w:vMerge w:val="continue"/>
          </w:tcPr>
          <w:p>
            <w:pPr>
              <w:spacing w:after="0"/>
              <w:rPr>
                <w:sz w:val="11"/>
                <w:szCs w:val="11"/>
                <w:color w:val="auto"/>
              </w:rPr>
            </w:pPr>
          </w:p>
        </w:tc>
        <w:tc>
          <w:tcPr>
            <w:tcW w:w="532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$305,226,300 and $117,500,000, respectively)</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$ 304,847,870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117,500,000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included in earnings</w:t>
            </w:r>
          </w:p>
        </w:tc>
        <w:tc>
          <w:tcPr>
            <w:tcW w:w="10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(2,432,310)</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1,288,592</w:t>
            </w:r>
          </w:p>
        </w:tc>
        <w:tc>
          <w:tcPr>
            <w:tcW w:w="0" w:type="dxa"/>
            <w:vAlign w:val="bottom"/>
          </w:tcPr>
          <w:p>
            <w:pPr>
              <w:spacing w:after="0"/>
              <w:rPr>
                <w:sz w:val="1"/>
                <w:szCs w:val="1"/>
                <w:color w:val="auto"/>
              </w:rPr>
            </w:pPr>
          </w:p>
        </w:tc>
      </w:tr>
      <w:tr>
        <w:trPr>
          <w:trHeight w:val="148"/>
        </w:trPr>
        <w:tc>
          <w:tcPr>
            <w:tcW w:w="92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249,000,000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591,053,100</w:t>
            </w:r>
          </w:p>
        </w:tc>
        <w:tc>
          <w:tcPr>
            <w:tcW w:w="0" w:type="dxa"/>
            <w:vAlign w:val="bottom"/>
          </w:tcPr>
          <w:p>
            <w:pPr>
              <w:spacing w:after="0"/>
              <w:rPr>
                <w:sz w:val="1"/>
                <w:szCs w:val="1"/>
                <w:color w:val="auto"/>
              </w:rPr>
            </w:pPr>
          </w:p>
        </w:tc>
      </w:tr>
      <w:tr>
        <w:trPr>
          <w:trHeight w:val="149"/>
        </w:trPr>
        <w:tc>
          <w:tcPr>
            <w:tcW w:w="92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0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(228,689,600)</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(452,654,400)</w:t>
            </w:r>
          </w:p>
        </w:tc>
        <w:tc>
          <w:tcPr>
            <w:tcW w:w="0" w:type="dxa"/>
            <w:vAlign w:val="bottom"/>
          </w:tcPr>
          <w:p>
            <w:pPr>
              <w:spacing w:after="0"/>
              <w:rPr>
                <w:sz w:val="1"/>
                <w:szCs w:val="1"/>
                <w:color w:val="auto"/>
              </w:rPr>
            </w:pPr>
          </w:p>
        </w:tc>
      </w:tr>
      <w:tr>
        <w:trPr>
          <w:trHeight w:val="148"/>
        </w:trPr>
        <w:tc>
          <w:tcPr>
            <w:tcW w:w="92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9260" w:type="dxa"/>
            <w:vAlign w:val="bottom"/>
            <w:gridSpan w:val="2"/>
          </w:tcPr>
          <w:p>
            <w:pPr>
              <w:spacing w:after="0" w:line="142" w:lineRule="exact"/>
              <w:rPr>
                <w:sz w:val="20"/>
                <w:szCs w:val="20"/>
                <w:color w:val="auto"/>
              </w:rPr>
            </w:pPr>
            <w:r>
              <w:rPr>
                <w:rFonts w:ascii="Arial" w:cs="Arial" w:eastAsia="Arial" w:hAnsi="Arial"/>
                <w:sz w:val="14"/>
                <w:szCs w:val="14"/>
                <w:color w:val="auto"/>
              </w:rPr>
              <w:t>Ending Balance (cost – $325,536,700 and $255,898,700, respectively)</w:t>
            </w:r>
          </w:p>
        </w:tc>
        <w:tc>
          <w:tcPr>
            <w:tcW w:w="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$ 322,725,960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257,187,292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9260" w:type="dxa"/>
            <w:vAlign w:val="bottom"/>
            <w:gridSpan w:val="2"/>
          </w:tcPr>
          <w:p>
            <w:pPr>
              <w:spacing w:after="0" w:line="142" w:lineRule="exact"/>
              <w:rPr>
                <w:sz w:val="20"/>
                <w:szCs w:val="20"/>
                <w:color w:val="auto"/>
              </w:rPr>
            </w:pPr>
            <w:r>
              <w:rPr>
                <w:rFonts w:ascii="Arial" w:cs="Arial" w:eastAsia="Arial" w:hAnsi="Arial"/>
                <w:sz w:val="14"/>
                <w:szCs w:val="14"/>
                <w:color w:val="auto"/>
              </w:rPr>
              <w:t>Ending Balance (cost – $351,536,700 and $255,898,700, respectively)</w:t>
            </w:r>
          </w:p>
        </w:tc>
        <w:tc>
          <w:tcPr>
            <w:tcW w:w="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$ 348,725,960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257,187,292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jc w:val="both"/>
        <w:ind w:right="40" w:firstLine="562"/>
        <w:spacing w:after="0" w:line="253" w:lineRule="auto"/>
        <w:rPr>
          <w:sz w:val="20"/>
          <w:szCs w:val="20"/>
          <w:color w:val="auto"/>
        </w:rPr>
      </w:pPr>
      <w:r>
        <w:rPr>
          <w:rFonts w:ascii="Arial" w:cs="Arial" w:eastAsia="Arial" w:hAnsi="Arial"/>
          <w:sz w:val="14"/>
          <w:szCs w:val="14"/>
          <w:color w:val="auto"/>
        </w:rPr>
        <w:t>As of June 30, 2015, we had outstanding non-U.S. dollar borrowings on our Credit Facility denominated in British Pounds. Net unrealized depreciation on these outstanding borrowings is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Arial" w:cs="Arial" w:eastAsia="Arial" w:hAnsi="Arial"/>
                <w:sz w:val="13"/>
                <w:szCs w:val="13"/>
                <w:b w:val="1"/>
                <w:bCs w:val="1"/>
                <w:color w:val="auto"/>
                <w:w w:val="88"/>
              </w:rPr>
              <w:t>Foreign Currency</w:t>
            </w:r>
          </w:p>
        </w:tc>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Original</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Net Unrealized</w:t>
            </w: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vMerge w:val="continue"/>
          </w:tcPr>
          <w:p>
            <w:pPr>
              <w:spacing w:after="0"/>
              <w:rPr>
                <w:sz w:val="13"/>
                <w:szCs w:val="13"/>
                <w:color w:val="auto"/>
              </w:rPr>
            </w:pPr>
          </w:p>
        </w:tc>
        <w:tc>
          <w:tcPr>
            <w:tcW w:w="3040" w:type="dxa"/>
            <w:vAlign w:val="bottom"/>
          </w:tcPr>
          <w:p>
            <w:pPr>
              <w:spacing w:after="0"/>
              <w:rPr>
                <w:sz w:val="13"/>
                <w:szCs w:val="13"/>
                <w:color w:val="auto"/>
              </w:rPr>
            </w:pPr>
          </w:p>
        </w:tc>
        <w:tc>
          <w:tcPr>
            <w:tcW w:w="1100" w:type="dxa"/>
            <w:vAlign w:val="bottom"/>
            <w:gridSpan w:val="2"/>
          </w:tcPr>
          <w:p>
            <w:pPr>
              <w:jc w:val="right"/>
              <w:ind w:right="48"/>
              <w:spacing w:after="0" w:line="140" w:lineRule="exact"/>
              <w:rPr>
                <w:sz w:val="20"/>
                <w:szCs w:val="20"/>
                <w:color w:val="auto"/>
              </w:rPr>
            </w:pPr>
            <w:r>
              <w:rPr>
                <w:rFonts w:ascii="Arial" w:cs="Arial" w:eastAsia="Arial" w:hAnsi="Arial"/>
                <w:sz w:val="13"/>
                <w:szCs w:val="13"/>
                <w:b w:val="1"/>
                <w:bCs w:val="1"/>
                <w:color w:val="auto"/>
              </w:rPr>
              <w:t>Local Currency</w:t>
            </w:r>
          </w:p>
        </w:tc>
        <w:tc>
          <w:tcPr>
            <w:tcW w:w="440" w:type="dxa"/>
            <w:vAlign w:val="bottom"/>
          </w:tcPr>
          <w:p>
            <w:pPr>
              <w:spacing w:after="0"/>
              <w:rPr>
                <w:sz w:val="13"/>
                <w:szCs w:val="13"/>
                <w:color w:val="auto"/>
              </w:rPr>
            </w:pPr>
          </w:p>
        </w:tc>
        <w:tc>
          <w:tcPr>
            <w:tcW w:w="1440" w:type="dxa"/>
            <w:vAlign w:val="bottom"/>
            <w:gridSpan w:val="2"/>
          </w:tcPr>
          <w:p>
            <w:pPr>
              <w:jc w:val="center"/>
              <w:ind w:right="420"/>
              <w:spacing w:after="0" w:line="140" w:lineRule="exact"/>
              <w:rPr>
                <w:sz w:val="20"/>
                <w:szCs w:val="20"/>
                <w:color w:val="auto"/>
              </w:rPr>
            </w:pPr>
            <w:r>
              <w:rPr>
                <w:rFonts w:ascii="Arial" w:cs="Arial" w:eastAsia="Arial" w:hAnsi="Arial"/>
                <w:sz w:val="13"/>
                <w:szCs w:val="13"/>
                <w:b w:val="1"/>
                <w:bCs w:val="1"/>
                <w:color w:val="auto"/>
                <w:w w:val="88"/>
              </w:rPr>
              <w:t>Borrowing Cost</w:t>
            </w:r>
          </w:p>
        </w:tc>
        <w:tc>
          <w:tcPr>
            <w:tcW w:w="1480" w:type="dxa"/>
            <w:vAlign w:val="bottom"/>
            <w:gridSpan w:val="3"/>
          </w:tcPr>
          <w:p>
            <w:pPr>
              <w:ind w:left="120"/>
              <w:spacing w:after="0" w:line="140" w:lineRule="exact"/>
              <w:rPr>
                <w:sz w:val="20"/>
                <w:szCs w:val="20"/>
                <w:color w:val="auto"/>
              </w:rPr>
            </w:pPr>
            <w:r>
              <w:rPr>
                <w:rFonts w:ascii="Arial" w:cs="Arial" w:eastAsia="Arial" w:hAnsi="Arial"/>
                <w:sz w:val="13"/>
                <w:szCs w:val="13"/>
                <w:b w:val="1"/>
                <w:bCs w:val="1"/>
                <w:color w:val="auto"/>
              </w:rPr>
              <w:t>Current Value</w:t>
            </w:r>
          </w:p>
        </w:tc>
        <w:tc>
          <w:tcPr>
            <w:tcW w:w="1460" w:type="dxa"/>
            <w:vAlign w:val="bottom"/>
            <w:gridSpan w:val="2"/>
          </w:tcPr>
          <w:p>
            <w:pPr>
              <w:jc w:val="center"/>
              <w:ind w:right="380"/>
              <w:spacing w:after="0" w:line="140" w:lineRule="exact"/>
              <w:rPr>
                <w:sz w:val="20"/>
                <w:szCs w:val="20"/>
                <w:color w:val="auto"/>
              </w:rPr>
            </w:pPr>
            <w:r>
              <w:rPr>
                <w:rFonts w:ascii="Arial" w:cs="Arial" w:eastAsia="Arial" w:hAnsi="Arial"/>
                <w:sz w:val="13"/>
                <w:szCs w:val="13"/>
                <w:b w:val="1"/>
                <w:bCs w:val="1"/>
                <w:color w:val="auto"/>
                <w:w w:val="83"/>
              </w:rPr>
              <w:t>Reset Date</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6"/>
              </w:rPr>
              <w:t>Depreciation</w:t>
            </w:r>
          </w:p>
        </w:tc>
        <w:tc>
          <w:tcPr>
            <w:tcW w:w="0" w:type="dxa"/>
            <w:vAlign w:val="bottom"/>
          </w:tcPr>
          <w:p>
            <w:pPr>
              <w:spacing w:after="0"/>
              <w:rPr>
                <w:sz w:val="1"/>
                <w:szCs w:val="1"/>
                <w:color w:val="auto"/>
              </w:rPr>
            </w:pPr>
          </w:p>
        </w:tc>
      </w:tr>
      <w:tr>
        <w:trPr>
          <w:trHeight w:val="135"/>
        </w:trPr>
        <w:tc>
          <w:tcPr>
            <w:tcW w:w="98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30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29,000,000</w:t>
            </w:r>
          </w:p>
        </w:tc>
        <w:tc>
          <w:tcPr>
            <w:tcW w:w="4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rPr>
              <w:t>$  48,536,700</w:t>
            </w:r>
          </w:p>
        </w:tc>
        <w:tc>
          <w:tcPr>
            <w:tcW w:w="4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45,565,960</w:t>
            </w:r>
          </w:p>
        </w:tc>
        <w:tc>
          <w:tcPr>
            <w:tcW w:w="4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July 1, 2015</w:t>
            </w:r>
          </w:p>
        </w:tc>
        <w:tc>
          <w:tcPr>
            <w:tcW w:w="3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4"/>
              <w:spacing w:after="0" w:line="135" w:lineRule="exact"/>
              <w:rPr>
                <w:sz w:val="20"/>
                <w:szCs w:val="20"/>
                <w:color w:val="auto"/>
              </w:rPr>
            </w:pPr>
            <w:r>
              <w:rPr>
                <w:rFonts w:ascii="Arial" w:cs="Arial" w:eastAsia="Arial" w:hAnsi="Arial"/>
                <w:sz w:val="14"/>
                <w:szCs w:val="14"/>
                <w:color w:val="auto"/>
              </w:rPr>
              <w:t>(2,970,740)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right"/>
              <w:ind w:right="794"/>
              <w:spacing w:after="0"/>
              <w:rPr>
                <w:sz w:val="20"/>
                <w:szCs w:val="20"/>
                <w:color w:val="auto"/>
              </w:rPr>
            </w:pPr>
            <w:r>
              <w:rPr>
                <w:rFonts w:ascii="Arial" w:cs="Arial" w:eastAsia="Arial" w:hAnsi="Arial"/>
                <w:sz w:val="14"/>
                <w:szCs w:val="14"/>
                <w:color w:val="auto"/>
              </w:rPr>
              <w:t>22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to our Credit Facility and our Notes. We elected to use the fair value option for the Credit Facility and our Notes to align the measurement attributes of both our assets and liabilities while</w:t>
      </w:r>
    </w:p>
    <w:p>
      <w:pPr>
        <w:spacing w:after="0"/>
        <w:rPr>
          <w:sz w:val="20"/>
          <w:szCs w:val="20"/>
          <w:color w:val="auto"/>
        </w:rPr>
      </w:pPr>
      <w:r>
        <w:rPr>
          <w:rFonts w:ascii="Arial" w:cs="Arial" w:eastAsia="Arial" w:hAnsi="Arial"/>
          <w:sz w:val="13"/>
          <w:szCs w:val="13"/>
          <w:color w:val="auto"/>
        </w:rPr>
        <w:t>mitigating volatility in earnings from using different measurement attributes. ASC 825-10 establishes presentation and disclosure requirements designed to facilitate comparisons between</w:t>
      </w:r>
    </w:p>
    <w:p>
      <w:pPr>
        <w:spacing w:after="0"/>
        <w:rPr>
          <w:sz w:val="20"/>
          <w:szCs w:val="20"/>
          <w:color w:val="auto"/>
        </w:rPr>
      </w:pPr>
      <w:r>
        <w:rPr>
          <w:rFonts w:ascii="Arial" w:cs="Arial" w:eastAsia="Arial" w:hAnsi="Arial"/>
          <w:sz w:val="13"/>
          <w:szCs w:val="13"/>
          <w:color w:val="auto"/>
        </w:rPr>
        <w:t>companies that choose different measurement attributes for similar types of assets and liabilities and to more easily understand the effect on earnings of a company’s choice to use fair value. ASC</w:t>
      </w:r>
    </w:p>
    <w:p>
      <w:pPr>
        <w:spacing w:after="0"/>
        <w:rPr>
          <w:sz w:val="20"/>
          <w:szCs w:val="20"/>
          <w:color w:val="auto"/>
        </w:rPr>
      </w:pPr>
      <w:r>
        <w:rPr>
          <w:rFonts w:ascii="Arial" w:cs="Arial" w:eastAsia="Arial" w:hAnsi="Arial"/>
          <w:sz w:val="13"/>
          <w:szCs w:val="13"/>
          <w:color w:val="auto"/>
        </w:rPr>
        <w:t>825-10 also requires entities to display the fair value of the selected assets and liabilities on the face of the Consolidated Statement of Assets and Liabilities and changes in fair value of the Credit</w:t>
      </w:r>
    </w:p>
    <w:p>
      <w:pPr>
        <w:spacing w:after="0" w:line="221" w:lineRule="auto"/>
        <w:rPr>
          <w:sz w:val="20"/>
          <w:szCs w:val="20"/>
          <w:color w:val="auto"/>
        </w:rPr>
      </w:pPr>
      <w:r>
        <w:rPr>
          <w:rFonts w:ascii="Arial" w:cs="Arial" w:eastAsia="Arial" w:hAnsi="Arial"/>
          <w:sz w:val="14"/>
          <w:szCs w:val="14"/>
          <w:color w:val="auto"/>
        </w:rPr>
        <w:t>Facility and our Notes are reported in our Consolidated Statement of Operations. We elected not to apply ASC 825-10 to any other financial assets or liabilities, including the SBA</w:t>
      </w:r>
    </w:p>
    <w:p>
      <w:pPr>
        <w:spacing w:after="0"/>
        <w:rPr>
          <w:sz w:val="20"/>
          <w:szCs w:val="20"/>
          <w:color w:val="auto"/>
        </w:rPr>
      </w:pPr>
      <w:r>
        <w:rPr>
          <w:rFonts w:ascii="Arial" w:cs="Arial" w:eastAsia="Arial" w:hAnsi="Arial"/>
          <w:sz w:val="13"/>
          <w:szCs w:val="13"/>
          <w:color w:val="auto"/>
        </w:rPr>
        <w:t>debentures. For the three and nine months ended June 30, 2015, our Credit Facility and our Notes had a net change in unrealized depreciation of $0.6 million and $2.3 million, respectively. For</w:t>
      </w:r>
    </w:p>
    <w:p>
      <w:pPr>
        <w:spacing w:after="0"/>
        <w:rPr>
          <w:sz w:val="20"/>
          <w:szCs w:val="20"/>
          <w:color w:val="auto"/>
        </w:rPr>
      </w:pPr>
      <w:r>
        <w:rPr>
          <w:rFonts w:ascii="Arial" w:cs="Arial" w:eastAsia="Arial" w:hAnsi="Arial"/>
          <w:sz w:val="13"/>
          <w:szCs w:val="13"/>
          <w:color w:val="auto"/>
        </w:rPr>
        <w:t>the three and nine months ended June 30, 2014, our Credit Facility and our Notes had a net change in unrealized appreciation of $3.4 million and $5.4 million, respectively. As of June 30, 2015</w:t>
      </w:r>
    </w:p>
    <w:p>
      <w:pPr>
        <w:spacing w:after="0"/>
        <w:rPr>
          <w:sz w:val="20"/>
          <w:szCs w:val="20"/>
          <w:color w:val="auto"/>
        </w:rPr>
      </w:pPr>
      <w:r>
        <w:rPr>
          <w:rFonts w:ascii="Arial" w:cs="Arial" w:eastAsia="Arial" w:hAnsi="Arial"/>
          <w:sz w:val="13"/>
          <w:szCs w:val="13"/>
          <w:color w:val="auto"/>
        </w:rPr>
        <w:t>and September 30, 2014, net unrealized depreciation (appreciation) on our Credit Facility and our Notes totaled $2.1 million and $(0.2) million, respectively. We use a nationally recognized</w:t>
      </w:r>
    </w:p>
    <w:p>
      <w:pPr>
        <w:spacing w:after="0"/>
        <w:rPr>
          <w:sz w:val="20"/>
          <w:szCs w:val="20"/>
          <w:color w:val="auto"/>
        </w:rPr>
      </w:pPr>
      <w:r>
        <w:rPr>
          <w:rFonts w:ascii="Arial" w:cs="Arial" w:eastAsia="Arial" w:hAnsi="Arial"/>
          <w:sz w:val="13"/>
          <w:szCs w:val="13"/>
          <w:color w:val="auto"/>
        </w:rPr>
        <w:t>independent valuation service to fair value of our Credit Facility in a manner consistent with the valuation process that the board of directors uses to value investments. Our 2025 Notes trade on</w:t>
      </w:r>
    </w:p>
    <w:p>
      <w:pPr>
        <w:spacing w:after="0"/>
        <w:rPr>
          <w:sz w:val="20"/>
          <w:szCs w:val="20"/>
          <w:color w:val="auto"/>
        </w:rPr>
      </w:pPr>
      <w:r>
        <w:rPr>
          <w:rFonts w:ascii="Arial" w:cs="Arial" w:eastAsia="Arial" w:hAnsi="Arial"/>
          <w:sz w:val="14"/>
          <w:szCs w:val="14"/>
          <w:color w:val="auto"/>
        </w:rPr>
        <w:t>the NYSE, under the ticker “PNTA” and we use the closing price on the exchange to determine their fair value.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Purchases of /</w:t>
            </w:r>
          </w:p>
        </w:tc>
        <w:tc>
          <w:tcPr>
            <w:tcW w:w="1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Sale of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2"/>
              </w:rPr>
              <w:t>Advances to</w:t>
            </w:r>
          </w:p>
        </w:tc>
        <w:tc>
          <w:tcPr>
            <w:tcW w:w="12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2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Net Realized Gains</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 xml:space="preserve">September 30, 2014 </w:t>
            </w:r>
            <w:r>
              <w:rPr>
                <w:rFonts w:ascii="Arial" w:cs="Arial" w:eastAsia="Arial" w:hAnsi="Arial"/>
                <w:sz w:val="10"/>
                <w:szCs w:val="10"/>
                <w:b w:val="1"/>
                <w:bCs w:val="1"/>
                <w:color w:val="auto"/>
                <w:w w:val="88"/>
              </w:rPr>
              <w:t>(1)</w:t>
            </w:r>
          </w:p>
        </w:tc>
        <w:tc>
          <w:tcPr>
            <w:tcW w:w="12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 xml:space="preserve">Affiliates </w:t>
            </w:r>
            <w:r>
              <w:rPr>
                <w:rFonts w:ascii="Arial" w:cs="Arial" w:eastAsia="Arial" w:hAnsi="Arial"/>
                <w:sz w:val="10"/>
                <w:szCs w:val="10"/>
                <w:b w:val="1"/>
                <w:bCs w:val="1"/>
                <w:color w:val="auto"/>
                <w:w w:val="94"/>
              </w:rPr>
              <w:t>(1), (2)</w:t>
            </w: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 xml:space="preserve">from Affiliates </w:t>
            </w:r>
            <w:r>
              <w:rPr>
                <w:rFonts w:ascii="Arial" w:cs="Arial" w:eastAsia="Arial" w:hAnsi="Arial"/>
                <w:sz w:val="10"/>
                <w:szCs w:val="10"/>
                <w:b w:val="1"/>
                <w:bCs w:val="1"/>
                <w:color w:val="auto"/>
                <w:w w:val="91"/>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Accrued</w:t>
            </w:r>
          </w:p>
        </w:tc>
        <w:tc>
          <w:tcPr>
            <w:tcW w:w="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 xml:space="preserve">June 30, 2015 </w:t>
            </w:r>
            <w:r>
              <w:rPr>
                <w:rFonts w:ascii="Arial" w:cs="Arial" w:eastAsia="Arial" w:hAnsi="Arial"/>
                <w:sz w:val="10"/>
                <w:szCs w:val="10"/>
                <w:b w:val="1"/>
                <w:bCs w:val="1"/>
                <w:color w:val="auto"/>
                <w:w w:val="89"/>
              </w:rPr>
              <w:t>(1)</w:t>
            </w:r>
          </w:p>
        </w:tc>
        <w:tc>
          <w:tcPr>
            <w:tcW w:w="22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160"/>
              <w:spacing w:after="0"/>
              <w:rPr>
                <w:sz w:val="20"/>
                <w:szCs w:val="20"/>
                <w:color w:val="auto"/>
              </w:rPr>
            </w:pPr>
            <w:r>
              <w:rPr>
                <w:rFonts w:ascii="Arial" w:cs="Arial" w:eastAsia="Arial" w:hAnsi="Arial"/>
                <w:sz w:val="14"/>
                <w:szCs w:val="14"/>
                <w:color w:val="auto"/>
              </w:rPr>
              <w:t xml:space="preserve">(JF Acquisition, LLC) </w:t>
            </w:r>
            <w:r>
              <w:rPr>
                <w:rFonts w:ascii="Arial" w:cs="Arial" w:eastAsia="Arial" w:hAnsi="Arial"/>
                <w:sz w:val="12"/>
                <w:szCs w:val="12"/>
                <w:color w:val="auto"/>
              </w:rPr>
              <w:t>(3)</w:t>
            </w:r>
          </w:p>
        </w:tc>
        <w:tc>
          <w:tcPr>
            <w:tcW w:w="380" w:type="dxa"/>
            <w:vAlign w:val="bottom"/>
            <w:gridSpan w:val="2"/>
          </w:tcPr>
          <w:p>
            <w:pPr>
              <w:jc w:val="right"/>
              <w:ind w:right="53"/>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(223,148)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6,487,297</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21,210,823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9,109,043</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2,734,220</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22,114,335</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14,000,000</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9,500,000</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1,264,667</w:t>
            </w:r>
          </w:p>
        </w:tc>
        <w:tc>
          <w:tcPr>
            <w:tcW w:w="8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23,499,999</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11,283,172</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1,078,612</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475,754</w:t>
            </w:r>
          </w:p>
        </w:tc>
        <w:tc>
          <w:tcPr>
            <w:tcW w:w="8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7,372,234</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21,268,379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688,131</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19,458,722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NCP-Performance, L.P.</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1,650,729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12,630,183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 xml:space="preserve">RAM Energy LLC </w:t>
            </w:r>
            <w:r>
              <w:rPr>
                <w:rFonts w:ascii="Arial" w:cs="Arial" w:eastAsia="Arial" w:hAnsi="Arial"/>
                <w:sz w:val="12"/>
                <w:szCs w:val="12"/>
                <w:color w:val="auto"/>
              </w:rPr>
              <w:t>(4)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3,292,216</w:t>
            </w:r>
          </w:p>
        </w:tc>
        <w:tc>
          <w:tcPr>
            <w:tcW w:w="8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83,600,000</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33,645,241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2,704,232</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33,243,979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 xml:space="preserve">TRAK Acquisition Corp. </w:t>
            </w:r>
            <w:r>
              <w:rPr>
                <w:rFonts w:ascii="Arial" w:cs="Arial" w:eastAsia="Arial" w:hAnsi="Arial"/>
                <w:sz w:val="12"/>
                <w:szCs w:val="12"/>
                <w:color w:val="auto"/>
              </w:rPr>
              <w:t>(5)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21,163,420</w:t>
            </w:r>
          </w:p>
        </w:tc>
        <w:tc>
          <w:tcPr>
            <w:tcW w:w="220" w:type="dxa"/>
            <w:vAlign w:val="bottom"/>
          </w:tcPr>
          <w:p>
            <w:pPr>
              <w:spacing w:after="0"/>
              <w:rPr>
                <w:sz w:val="12"/>
                <w:szCs w:val="12"/>
                <w:color w:val="auto"/>
              </w:rPr>
            </w:pPr>
          </w:p>
        </w:tc>
        <w:tc>
          <w:tcPr>
            <w:tcW w:w="102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Controlled and Non-Controlled Affiliates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103,058,344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19,687,655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(4,223,148)</w:t>
            </w:r>
          </w:p>
        </w:tc>
        <w:tc>
          <w:tcPr>
            <w:tcW w:w="3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11,159,220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229,570,170</w:t>
            </w:r>
          </w:p>
        </w:tc>
        <w:tc>
          <w:tcPr>
            <w:tcW w:w="220" w:type="dxa"/>
            <w:vAlign w:val="bottom"/>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8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Excluding delayed draws investments.</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2015.</w:t>
      </w:r>
    </w:p>
    <w:p>
      <w:pPr>
        <w:ind w:left="340" w:hanging="332"/>
        <w:spacing w:after="0" w:line="221"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2015.</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June 30, 2015.</w:t>
      </w:r>
    </w:p>
    <w:p>
      <w:pPr>
        <w:spacing w:after="0" w:line="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w w:val="91"/>
              </w:rPr>
              <w:t>Three Months Ended June 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6"/>
          </w:tcPr>
          <w:p>
            <w:pPr>
              <w:ind w:left="120"/>
              <w:spacing w:after="0"/>
              <w:rPr>
                <w:sz w:val="20"/>
                <w:szCs w:val="20"/>
                <w:color w:val="auto"/>
              </w:rPr>
            </w:pPr>
            <w:r>
              <w:rPr>
                <w:rFonts w:ascii="Arial" w:cs="Arial" w:eastAsia="Arial" w:hAnsi="Arial"/>
                <w:sz w:val="13"/>
                <w:szCs w:val="13"/>
                <w:b w:val="1"/>
                <w:bCs w:val="1"/>
                <w:color w:val="auto"/>
              </w:rPr>
              <w:t>Nine Months Ended June 30,</w:t>
            </w:r>
          </w:p>
        </w:tc>
      </w:tr>
      <w:tr>
        <w:trPr>
          <w:trHeight w:val="135"/>
        </w:trPr>
        <w:tc>
          <w:tcPr>
            <w:tcW w:w="6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52"/>
              <w:spacing w:after="0" w:line="115"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0"/>
              <w:spacing w:after="0" w:line="115"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52"/>
              <w:spacing w:after="0" w:line="115"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50"/>
              <w:spacing w:after="0" w:line="115"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r>
      <w:tr>
        <w:trPr>
          <w:trHeight w:val="136"/>
        </w:trPr>
        <w:tc>
          <w:tcPr>
            <w:tcW w:w="6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4,935,950</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31,949,311</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(11,631,043)</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112,085,415</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64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74,779,503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66,569,036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74,988,442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66,561,520</w:t>
            </w: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 per share</w:t>
            </w:r>
          </w:p>
        </w:tc>
        <w:tc>
          <w:tcPr>
            <w:tcW w:w="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0.07</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0.48</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2015 and September 30, 2014, our cash and cash equivalents consisted of $83.3 million and $66.5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Below are the financial highlights:</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153"/>
        </w:trPr>
        <w:tc>
          <w:tcPr>
            <w:tcW w:w="4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28"/>
        </w:trPr>
        <w:tc>
          <w:tcPr>
            <w:tcW w:w="498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2015</w:t>
            </w:r>
          </w:p>
        </w:tc>
        <w:tc>
          <w:tcPr>
            <w:tcW w:w="3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11.03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48"/>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980" w:type="dxa"/>
            <w:vAlign w:val="bottom"/>
          </w:tcPr>
          <w:p>
            <w:pPr>
              <w:spacing w:after="0" w:line="142" w:lineRule="exact"/>
              <w:rPr>
                <w:sz w:val="20"/>
                <w:szCs w:val="20"/>
                <w:color w:val="auto"/>
              </w:rPr>
            </w:pPr>
            <w:r>
              <w:rPr>
                <w:rFonts w:ascii="Arial" w:cs="Arial" w:eastAsia="Arial" w:hAnsi="Arial"/>
                <w:sz w:val="14"/>
                <w:szCs w:val="14"/>
                <w:color w:val="auto"/>
              </w:rPr>
              <w:t>Net asset value, end of period</w:t>
            </w: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Per share market value, end of period</w:t>
            </w: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8.78</w:t>
            </w:r>
          </w:p>
        </w:tc>
        <w:tc>
          <w:tcPr>
            <w:tcW w:w="3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8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rPr>
              <w:t>(17.07)%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74,259,698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66,569,036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8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Ratio of total expenses to average net assets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10.15%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2"/>
              </w:rPr>
              <w:t>745,543,177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754,472,793</w:t>
            </w:r>
          </w:p>
        </w:tc>
        <w:tc>
          <w:tcPr>
            <w:tcW w:w="0" w:type="dxa"/>
            <w:vAlign w:val="bottom"/>
          </w:tcPr>
          <w:p>
            <w:pPr>
              <w:spacing w:after="0"/>
              <w:rPr>
                <w:sz w:val="1"/>
                <w:szCs w:val="1"/>
                <w:color w:val="auto"/>
              </w:rPr>
            </w:pPr>
          </w:p>
        </w:tc>
      </w:tr>
      <w:tr>
        <w:trPr>
          <w:trHeight w:val="142"/>
        </w:trPr>
        <w:tc>
          <w:tcPr>
            <w:tcW w:w="4980" w:type="dxa"/>
            <w:vAlign w:val="bottom"/>
          </w:tcPr>
          <w:p>
            <w:pPr>
              <w:spacing w:after="0" w:line="142"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577,509,319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498,062,949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(5)</w:t>
            </w:r>
          </w:p>
        </w:tc>
        <w:tc>
          <w:tcPr>
            <w:tcW w:w="1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7.70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2,772</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60" w:hanging="452"/>
        <w:spacing w:after="0" w:line="251"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jc w:val="both"/>
        <w:ind w:left="460" w:right="340" w:hanging="452"/>
        <w:spacing w:after="0" w:line="264" w:lineRule="auto"/>
        <w:tabs>
          <w:tab w:leader="none" w:pos="460" w:val="left"/>
        </w:tabs>
        <w:numPr>
          <w:ilvl w:val="0"/>
          <w:numId w:val="1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jc w:val="both"/>
        <w:ind w:right="100" w:firstLine="562"/>
        <w:spacing w:after="0" w:line="264" w:lineRule="auto"/>
        <w:rPr>
          <w:sz w:val="20"/>
          <w:szCs w:val="20"/>
          <w:color w:val="auto"/>
        </w:rPr>
      </w:pPr>
      <w:r>
        <w:rPr>
          <w:rFonts w:ascii="Arial" w:cs="Arial" w:eastAsia="Arial" w:hAnsi="Arial"/>
          <w:sz w:val="13"/>
          <w:szCs w:val="13"/>
          <w:color w:val="auto"/>
        </w:rPr>
        <w:t>Our annualized weighted average cost of debt for the nine months ended June 30, 2015 and 2014, inclusive of the fee on the undrawn commitment on the Credit Facility and amortized upfront fees on SBA debentures but excluding debt issuance costs, was 4.55% and 3.94%,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a $545 million multi-currency Credit Facility with certain lenders and SunTrust Bank, acting as administrative agent, and JPMorgan Chase Bank, N.A., acting as syndication agent for the lenders. As of June 30, 2015 and September 30, 2014, there was $101.5 million and $55.2 million, respectively, in outstanding borrowings under the Credit Facility, with a weighted average interest rate at the time of 3.17% and 2.80%,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77"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As of June 30, 2015 and September 30, 2014, our SBIC Funds had $225.0 million in debt commitments and $150.0 million was drawn for each period. Both SBA debentures’ upfront fees of 3.43% consist of a commitment fee of 1.00% and an issuance discount of 2.43%, which are being amortized.</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June 30, 2015 and September 30, 2014 were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Issuance Dates</w:t>
            </w:r>
          </w:p>
        </w:tc>
        <w:tc>
          <w:tcPr>
            <w:tcW w:w="36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5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4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0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48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174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29, 2011</w:t>
            </w:r>
          </w:p>
        </w:tc>
        <w:tc>
          <w:tcPr>
            <w:tcW w:w="80" w:type="dxa"/>
            <w:vAlign w:val="bottom"/>
          </w:tcPr>
          <w:p>
            <w:pPr>
              <w:spacing w:after="0"/>
              <w:rPr>
                <w:sz w:val="12"/>
                <w:szCs w:val="12"/>
                <w:color w:val="auto"/>
              </w:rPr>
            </w:pPr>
          </w:p>
        </w:tc>
        <w:tc>
          <w:tcPr>
            <w:tcW w:w="18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1, 2021</w:t>
            </w:r>
          </w:p>
        </w:tc>
        <w:tc>
          <w:tcPr>
            <w:tcW w:w="2500" w:type="dxa"/>
            <w:vAlign w:val="bottom"/>
            <w:gridSpan w:val="2"/>
          </w:tcPr>
          <w:p>
            <w:pPr>
              <w:ind w:left="174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September 21, 2011</w:t>
            </w:r>
          </w:p>
        </w:tc>
        <w:tc>
          <w:tcPr>
            <w:tcW w:w="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1, 2021</w:t>
            </w:r>
          </w:p>
        </w:tc>
        <w:tc>
          <w:tcPr>
            <w:tcW w:w="2000" w:type="dxa"/>
            <w:vAlign w:val="bottom"/>
            <w:tcBorders>
              <w:bottom w:val="single" w:sz="8" w:color="auto"/>
            </w:tcBorders>
            <w:shd w:val="clear" w:color="auto" w:fill="CCEEFF"/>
          </w:tcPr>
          <w:p>
            <w:pPr>
              <w:ind w:left="1740"/>
              <w:spacing w:after="0" w:line="149" w:lineRule="exact"/>
              <w:rPr>
                <w:sz w:val="20"/>
                <w:szCs w:val="20"/>
                <w:color w:val="auto"/>
              </w:rPr>
            </w:pPr>
            <w:r>
              <w:rPr>
                <w:rFonts w:ascii="Arial" w:cs="Arial" w:eastAsia="Arial" w:hAnsi="Arial"/>
                <w:sz w:val="14"/>
                <w:szCs w:val="14"/>
                <w:color w:val="auto"/>
                <w:w w:val="87"/>
              </w:rPr>
              <w:t>3.38</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Weighted Average Rate / Total</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00" w:type="dxa"/>
            <w:vAlign w:val="bottom"/>
            <w:gridSpan w:val="2"/>
          </w:tcPr>
          <w:p>
            <w:pPr>
              <w:ind w:left="1740"/>
              <w:spacing w:after="0" w:line="142"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81"/>
              </w:rPr>
              <w:t>(1)</w:t>
            </w:r>
          </w:p>
        </w:tc>
        <w:tc>
          <w:tcPr>
            <w:tcW w:w="25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Excluding 3.43% of upfront fees.</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2015,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As of June 30, 2015 and September 30, 2014, we had $250.0 million in aggregate principal amount of 2019 Notes.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June 30, 2015 and September 30, 2014, we had $71.3 million in aggregate principal amount of 2025 Notes. Interest on the 2025 Notes is paid quarterly on</w:t>
      </w:r>
    </w:p>
    <w:p>
      <w:pPr>
        <w:ind w:right="2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 of Investments. As of June 30, 2015 and September 30, 2014, we had $41.7 million and $15.3 million, respectively, in commitments to fund various revolving and delayed draw investments.</w:t>
      </w:r>
    </w:p>
    <w:p>
      <w:pPr>
        <w:spacing w:after="0" w:line="67"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June 30, 2015, our maximum guaranty was $9.5 million. Based on SPH’s and industry historical loss rates we believe the risk of loss is remote, thus, we have not recorded a liability associated with the guaranties. The current guaranties will decline over time.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REPURCHASE PROGRAM</w:t>
      </w:r>
    </w:p>
    <w:p>
      <w:pPr>
        <w:spacing w:after="0" w:line="100" w:lineRule="exact"/>
        <w:rPr>
          <w:sz w:val="20"/>
          <w:szCs w:val="20"/>
          <w:color w:val="auto"/>
        </w:rPr>
      </w:pPr>
    </w:p>
    <w:p>
      <w:pPr>
        <w:ind w:right="200"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June 30, 2015, we repurchased 833,213 shares of common stock in open market transactions for an aggregate cost (including transaction costs) of $8.0 million. During the three and nine months ended June 30, 2014, we did not make any repurchases of our common stock.</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20" w:firstLine="562"/>
        <w:spacing w:after="0" w:line="296" w:lineRule="auto"/>
        <w:rPr>
          <w:sz w:val="20"/>
          <w:szCs w:val="20"/>
          <w:color w:val="auto"/>
        </w:rPr>
      </w:pPr>
      <w:r>
        <w:rPr>
          <w:rFonts w:ascii="Arial" w:cs="Arial" w:eastAsia="Arial" w:hAnsi="Arial"/>
          <w:sz w:val="12"/>
          <w:szCs w:val="12"/>
          <w:color w:val="auto"/>
        </w:rPr>
        <w:t>We have reviewed the accompanying consolidated statement of assets and liabilities of PennantPark Investment Corporation and its Subsidiaries (the “Company”), including the consolidated schedule of investments, as of June 30, 2015, the consolidated statements of operations for the three and nine months ended June 30, 2015 and 2014, and the consolidated statements of changes in net assets and cash flows for the nine months ended June 30, 2015 and 2014. These consolidated financial statements are the responsibility of the Company’s management.</w:t>
      </w:r>
    </w:p>
    <w:p>
      <w:pPr>
        <w:spacing w:after="0" w:line="43"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12, 2014,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5,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81"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“Risk Factors” in our annual report on Form 10-K for the fiscal year-ended September 30, 2014 and elsewhere in this Report.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60" w:firstLine="562"/>
        <w:spacing w:after="0" w:line="251" w:lineRule="auto"/>
        <w:rPr>
          <w:sz w:val="20"/>
          <w:szCs w:val="20"/>
          <w:color w:val="auto"/>
        </w:rPr>
      </w:pPr>
      <w:r>
        <w:rPr>
          <w:rFonts w:ascii="Arial" w:cs="Arial" w:eastAsia="Arial" w:hAnsi="Arial"/>
          <w:sz w:val="13"/>
          <w:szCs w:val="13"/>
          <w:color w:val="auto"/>
        </w:rPr>
        <w:t>As of June 30, 2015, our portfolio totaled $1,294.0 million and consisted of $381.4 million of senior secured loans, $611.7 million of second lien secured debt, $191.4 million of subordinated debt and $109.5 million of preferred and common equity. Our debt portfolio consisted of 71% variable-rate investments (including 65% with a LIBOR or prime floor) and 29% fixed-rate investments. Overall, the portfolio had net unrealized depreciation of $109.0 million. As of June 30, 2015, we had two non-accrual debt investments, representing 1.2% of our overall portfolio on a cost basis. Our overall portfolio consisted of 64 companies with an average investment size of $20.2 million, had a weighted average yield on debt investments of 12.4% and was invested 30% in senior secured loans, 47% in second lien secured debt, 15% in subordinated debt and 8% in preferred and common equity.</w:t>
      </w:r>
    </w:p>
    <w:p>
      <w:pPr>
        <w:spacing w:after="0" w:line="69"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67% variable-rate investments (including 61% with a LIBOR or prime floor) and 33% fixed-rate investments. Overall, the portfolio had net unrealized depreciation of $0.9 million.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69" w:lineRule="exact"/>
        <w:rPr>
          <w:sz w:val="20"/>
          <w:szCs w:val="20"/>
          <w:color w:val="auto"/>
        </w:rPr>
      </w:pPr>
    </w:p>
    <w:p>
      <w:pPr>
        <w:jc w:val="both"/>
        <w:ind w:right="120" w:firstLine="562"/>
        <w:spacing w:after="0" w:line="296" w:lineRule="auto"/>
        <w:rPr>
          <w:sz w:val="20"/>
          <w:szCs w:val="20"/>
          <w:color w:val="auto"/>
        </w:rPr>
      </w:pPr>
      <w:r>
        <w:rPr>
          <w:rFonts w:ascii="Arial" w:cs="Arial" w:eastAsia="Arial" w:hAnsi="Arial"/>
          <w:sz w:val="12"/>
          <w:szCs w:val="12"/>
          <w:color w:val="auto"/>
        </w:rPr>
        <w:t>For the three months ended June 30, 2015, we invested $113.3 million in three new and nine existing portfolio companies with a weighted average yield on debt investments of 10.8%. Sales and repayments of investments for the three months ended June 30, 2015 totaled $107.0 million. For the nine months ended June 30, 2015, we invested $344.8 million in eight new and 22 existing portfolio companies with a weighted average yield on debt investments of 12.1%. Sales and repayments of investments for the nine months ended June 30, 2015 totaled $289.5 million.</w:t>
      </w:r>
    </w:p>
    <w:p>
      <w:pPr>
        <w:spacing w:after="0" w:line="43"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80"/>
        <w:spacing w:after="0" w:line="238" w:lineRule="auto"/>
        <w:rPr>
          <w:sz w:val="20"/>
          <w:szCs w:val="20"/>
          <w:color w:val="auto"/>
        </w:rPr>
      </w:pPr>
      <w:r>
        <w:rPr>
          <w:rFonts w:ascii="Arial" w:cs="Arial" w:eastAsia="Arial" w:hAnsi="Arial"/>
          <w:sz w:val="14"/>
          <w:szCs w:val="14"/>
          <w:color w:val="auto"/>
        </w:rPr>
        <w:t>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70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2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three and nine months ended June 30, 2015, our Credit Facility and our Notes had a net change in unrealized depreciation of $0.6 million and $2.3 million, respectively. For the three and nine months ended June 30, 2014, our Credit Facility and our Notes had a net change in unrealized appreciation of $3.4 million and $5.4 million, respectively. As of June 30, 2015 and September 30, 2014, net unrealized depreciation (appreciation) on our Credit Facility and our Notes totaled $2.1 million and $(0.2) million, respectively. We use a nationally recognized independent valuation service to fair value of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capital gain net income (i.e. the excess, if any, of our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nine months ended June 30,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Investment income for the three and nine months ended June 30, 2015 was $40.6 million and $122.5 million, respectively, and was attributable to $12.3 million and $42.6 million from senior secured loans, $19.5 million and $54.1 million from second lien secured debt, $7.2 million and $23.5 million from subordinated debt, and $1.6 million and $2.3 million from preferred and common equity, respectively. This compares to investment income for the three and nine months ended June 30, 2014, which was $35.5 million and $107.8 million, respectively, and was attributable to $9.8 million and $30.0 million from senior secured loans, $13.3 million and $39.9 million from second lien secured debt, $11.6 million and $35.7 million from subordinated debt, and $0.8 million and $2.2 million from preferred and common equity, respectively. The increase in investment income compared with the same periods in the prior year was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Expenses for the three and nine months ended June 30, 2015 totaled $20.0 million and $60.3 million, respectively. Base management fee for the same periods totaled $6.5 million and $20.1 million, incentive fee totaled $5.2 million and $15.6 million, debt related interest and expenses totaled $6.6 million and $19.7 million and general and administrative expenses totaled $1.7 million and $4.9 million, respectively. This compares to expenses for the three and nine months ended June 30, 2014, which totaled $22.3 million and $56.6 million, respectively. Base management fee for the same periods totaled $6.1 million and $17.9 million, incentive fee totaled $5.4 million and $14.9 million (including $1.6 million on net realized gains accrued but not payable), debt related interest and expenses totaled $8.9 million and $18.6 million (including $3.9 million of Credit Facility debt issuance costs) and general and administrative expenses totaled $1.9 million and $5.2 million, respectively. The decrease in expenses for the three months ended June 30, 2015 as compared to the same period in the prior year is due to the absence of debt issuance costs in the current period, whereas, the increase in expenses for the nine months ended June 30, 2015 as compared with the same period in the prior year was primarily due to increased borrowing costs and the growth of our portfolio.</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Net investment income totaled $20.7 million and $62.2 million, or $0.28 and $0.83 per share, for the three and nine months ended June 30, 2015, respectively. Net investment income totaled $13.2 million and $51.2 million, or $0.20 and $0.77 per share, for the three and nine months ended June 30, 2014, respectively. The increase in net investment income compared to the same periods in the prior year was primarily due to the growth of our portfolio and lower amendment costs offset by higher financing costs.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Sales and repayments of investments for the three and nine months ended June 30, 2015 totaled $107.0 million and $289.5 million, respectively, and realized gains totaled $13.8 million and $31.9 million, respectively. Sales and repayments of investments for the three and nine months ended June 30, 2014 totaled $273.6 million and $534.4 million, respectively, and realized gains totaled $23.3 million and $29.0 million, respectively. The decrease in realized gains for the three months ended June 30, 2015 as compared to the same period in the prior year was driven by fewer exits of our portfolio companies, whereas the increase in realized gains for the nine months ended June 30, 2015 as compared with the same period in the prior year was primarily due to the improved merger and acquisition environment and a higher volume of sales and repayments.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For the three and nine months ended June 30, 2015, we reported net unrealized depreciation on investments of $30.2 million and $108.1 million, respectively. For the three and nine months ended June 30, 2014, we reported a net unrealized (depreciation) appreciation on investments of $(1.1) million and $37.4 million, respectively. As of June 30, 2015 and September 30, 2014, our net unrealized depreciation on investments totaled $109.0 million and $0.9 million, respectively. The decrease in value compared with the same periods in the prior year was the result of the overall variation in the leveraged finance markets and specifically, for energy related companies.</w:t>
      </w:r>
    </w:p>
    <w:p>
      <w:pPr>
        <w:spacing w:after="0" w:line="7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For the three and nine months ended June 30, 2015, we reported net unrealized depreciation on our Credit Facility and our Notes of $0.6 million and $2.3 million, respectively. For the three and nine months ended June 30, 2014, we reported a net unrealized (appreciation) on our Credit Facility and 2025 Notes of $(3.4) million and $(5.4) million, respectively. The change compared with the same periods in the prior year was primarily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$4.9 million and $(11.6) million, or $0.07 and $(0.16) per share, for the three and nine months ended June 30, 2015, respectively. This compares to a net change in net assets resulting from operations of $31.9 million and $112.1 million, or $0.48 and $1.68 per share, for the three and nine months ended June 30, 2014, respectively. The decrease in the net change in net assets from operations compared with the same periods in the prior year reflects the change in portfolio investment values during the reporting periods.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have a $545 million multi-currency Credit Facility with certain lenders and SunTrust Bank, acting as administrative agent, and JPMorgan Chase Bank, N.A., acting as syndication agent for the lenders. As of June 30, 2015 and September 30, 2014, there was $101.5 million and $55.2 million, respectively, in outstanding borrowings under the Credit Facility, with a weighted average interest rate at the time of 3.17% and 2.80%, respectively, exclusive of the fee on undrawn commitments of 0.375%. The annualized weighted average cost of debt for the nine months ended June 30, 2015 and 2014, inclusive of the fee on the undrawn commitment on the Credit Facility and upfront fees on SBA debentures, was 4.55% and 3.94%, respectively. The Credit Facility is a five-year revolving facility with a stated maturity date of June 25, 2019, a one-year term-out period following its fourth year and pricing is set at 225 basis points over LIBOR. As of June 30, 2015 and September 30, 2014, we had $443.5 million and $489.8 million of unused borrowing capacity, respectively, subject to the regulatory restrictions that the 1940 Act imposes on us as a BDC. The Credit Facility is secured by substantially all of our assets excluding assets held by our SBIC Funds.</w:t>
      </w:r>
    </w:p>
    <w:p>
      <w:pPr>
        <w:spacing w:after="0" w:line="71"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June 30, 2015, we were in compliance with the terms of our Credit Facility.</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 Please see our base indenture agreement filed as Exhibit (d)(8) to our post-effective amendment filed on January 22, 2013, or the Base Indenture, and the supplemental indenture agreement filed as Exhibit (d)(11) to our post-effective amendment filed on September 23, 2014 for more information.</w:t>
      </w:r>
    </w:p>
    <w:p>
      <w:pPr>
        <w:spacing w:after="0" w:line="69"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 Please see our Base Indenture and the supplemental indenture agreement filed as Exhibit (d)(9) to our post-effective amendment filed on January 22, 2013 for more information.</w:t>
      </w:r>
    </w:p>
    <w:p>
      <w:pPr>
        <w:spacing w:after="0" w:line="69"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each of the nine month periods ended June 30, 2015 and 2014, we did not issue shares of common stock in connection with an equity offering. Any decision to sell shares below the then current net asset value per share of our common stock is subject to stockholder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78"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As of June 30, 2015 and September 30, 2014, our SBIC Funds had $225.0 million in debt commitments and $150.0 million was drawn for each period. Both SBA debentures’ upfront fees of 3.43% consist of a commitment fee of 1.00% and an issuance discount of 2.43%, which are being amortized. Our fixed-rate SBA debentures as of June 30, 2015 and September 30, 2014 were as follows: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214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Issuance Dates</w:t>
            </w:r>
          </w:p>
        </w:tc>
        <w:tc>
          <w:tcPr>
            <w:tcW w:w="4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Maturity</w:t>
            </w:r>
          </w:p>
        </w:tc>
        <w:tc>
          <w:tcPr>
            <w:tcW w:w="5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9"/>
              </w:rPr>
              <w:t xml:space="preserve">Fixed All-in Coupon Rate </w:t>
            </w:r>
            <w:r>
              <w:rPr>
                <w:rFonts w:ascii="Arial" w:cs="Arial" w:eastAsia="Arial" w:hAnsi="Arial"/>
                <w:sz w:val="10"/>
                <w:szCs w:val="10"/>
                <w:b w:val="1"/>
                <w:bCs w:val="1"/>
                <w:color w:val="auto"/>
                <w:w w:val="99"/>
              </w:rPr>
              <w:t>(1)</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0"/>
              </w:rPr>
              <w:t>Principal 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4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5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168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March 29, 2011</w:t>
            </w:r>
          </w:p>
        </w:tc>
        <w:tc>
          <w:tcPr>
            <w:tcW w:w="2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1, 2021</w:t>
            </w:r>
          </w:p>
        </w:tc>
        <w:tc>
          <w:tcPr>
            <w:tcW w:w="2500" w:type="dxa"/>
            <w:vAlign w:val="bottom"/>
            <w:gridSpan w:val="2"/>
          </w:tcPr>
          <w:p>
            <w:pPr>
              <w:ind w:left="168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September 21, 2011</w:t>
            </w:r>
          </w:p>
        </w:tc>
        <w:tc>
          <w:tcPr>
            <w:tcW w:w="2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1, 2021</w:t>
            </w:r>
          </w:p>
        </w:tc>
        <w:tc>
          <w:tcPr>
            <w:tcW w:w="2500" w:type="dxa"/>
            <w:vAlign w:val="bottom"/>
            <w:gridSpan w:val="2"/>
            <w:shd w:val="clear" w:color="auto" w:fill="CCEEFF"/>
          </w:tcPr>
          <w:p>
            <w:pPr>
              <w:ind w:left="1680"/>
              <w:spacing w:after="0" w:line="149" w:lineRule="exact"/>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Weighted Average Rate / Total</w:t>
            </w: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00" w:type="dxa"/>
            <w:vAlign w:val="bottom"/>
            <w:gridSpan w:val="2"/>
          </w:tcPr>
          <w:p>
            <w:pPr>
              <w:ind w:left="1680"/>
              <w:spacing w:after="0" w:line="142"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360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72"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Excluding 3.43% of upfront fees.</w:t>
      </w:r>
    </w:p>
    <w:p>
      <w:pPr>
        <w:spacing w:after="0" w:line="9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2015, our SBIC Funds were in compliance with their regulatory requirements.</w:t>
      </w:r>
    </w:p>
    <w:p>
      <w:pPr>
        <w:spacing w:after="0" w:line="76"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June 30, 2015 and September 30, 2014,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67"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At June 30, 2015 and September 30, 2014, we had cash and cash equivalents of $83.3 million and $66.5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Our operating activities provided cash of $41.4 million for the nine months ended June 30, 2015, primarily for net purchases of investments. Our financing activities used cash of $24.8 million for the same period, primarily to repay certain amounts under our Credit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June 30, 2015, including borrowings under our various debt facilities and other contractual obligations,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3"/>
                <w:szCs w:val="13"/>
                <w:b w:val="1"/>
                <w:bCs w:val="1"/>
                <w:color w:val="auto"/>
                <w:w w:val="88"/>
              </w:rPr>
              <w:t>Payments due by period (in millions)</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Total</w:t>
            </w:r>
          </w:p>
        </w:tc>
        <w:tc>
          <w:tcPr>
            <w:tcW w:w="940" w:type="dxa"/>
            <w:vAlign w:val="bottom"/>
            <w:gridSpan w:val="3"/>
          </w:tcPr>
          <w:p>
            <w:pPr>
              <w:jc w:val="right"/>
              <w:ind w:right="60"/>
              <w:spacing w:after="0" w:line="129" w:lineRule="exact"/>
              <w:rPr>
                <w:sz w:val="20"/>
                <w:szCs w:val="20"/>
                <w:color w:val="auto"/>
              </w:rPr>
            </w:pPr>
            <w:r>
              <w:rPr>
                <w:rFonts w:ascii="Arial" w:cs="Arial" w:eastAsia="Arial" w:hAnsi="Arial"/>
                <w:sz w:val="13"/>
                <w:szCs w:val="13"/>
                <w:b w:val="1"/>
                <w:bCs w:val="1"/>
                <w:color w:val="auto"/>
                <w:w w:val="84"/>
              </w:rPr>
              <w:t>Less than 1 year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760"/>
              <w:spacing w:after="0" w:line="129" w:lineRule="exact"/>
              <w:rPr>
                <w:sz w:val="20"/>
                <w:szCs w:val="20"/>
                <w:color w:val="auto"/>
              </w:rPr>
            </w:pPr>
            <w:r>
              <w:rPr>
                <w:rFonts w:ascii="Arial" w:cs="Arial" w:eastAsia="Arial" w:hAnsi="Arial"/>
                <w:sz w:val="13"/>
                <w:szCs w:val="13"/>
                <w:b w:val="1"/>
                <w:bCs w:val="1"/>
                <w:color w:val="auto"/>
                <w:w w:val="92"/>
              </w:rPr>
              <w:t>1-3 years</w:t>
            </w:r>
          </w:p>
        </w:tc>
        <w:tc>
          <w:tcPr>
            <w:tcW w:w="1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3-5 years</w:t>
            </w:r>
          </w:p>
        </w:tc>
        <w:tc>
          <w:tcPr>
            <w:tcW w:w="3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6"/>
              </w:rPr>
              <w:t>More than 5 years</w:t>
            </w:r>
          </w:p>
        </w:tc>
        <w:tc>
          <w:tcPr>
            <w:tcW w:w="80" w:type="dxa"/>
            <w:vAlign w:val="bottom"/>
          </w:tcPr>
          <w:p>
            <w:pPr>
              <w:spacing w:after="0"/>
              <w:rPr>
                <w:sz w:val="11"/>
                <w:szCs w:val="11"/>
                <w:color w:val="auto"/>
              </w:rPr>
            </w:pPr>
          </w:p>
        </w:tc>
      </w:tr>
      <w:tr>
        <w:trPr>
          <w:trHeight w:val="142"/>
        </w:trPr>
        <w:tc>
          <w:tcPr>
            <w:tcW w:w="4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w:t>
            </w:r>
          </w:p>
        </w:tc>
        <w:tc>
          <w:tcPr>
            <w:tcW w:w="6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w:t>
            </w: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444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150.0</w:t>
            </w:r>
          </w:p>
        </w:tc>
        <w:tc>
          <w:tcPr>
            <w:tcW w:w="4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8"/>
        </w:trPr>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250.0</w:t>
            </w: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250.0</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44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0"/>
        </w:trPr>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572.8</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351.5</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221.3</w:t>
            </w:r>
          </w:p>
        </w:tc>
      </w:tr>
      <w:tr>
        <w:trPr>
          <w:trHeight w:val="148"/>
        </w:trPr>
        <w:tc>
          <w:tcPr>
            <w:tcW w:w="44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20"/>
        </w:trPr>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contractual obligations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614.5</w:t>
            </w: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5"/>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36.0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355.6</w:t>
            </w:r>
          </w:p>
        </w:tc>
        <w:tc>
          <w:tcPr>
            <w:tcW w:w="6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222.9</w:t>
            </w: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0" w:lineRule="exact"/>
        <w:rPr>
          <w:sz w:val="20"/>
          <w:szCs w:val="20"/>
          <w:color w:val="auto"/>
        </w:rPr>
      </w:pPr>
    </w:p>
    <w:p>
      <w:pPr>
        <w:ind w:left="560" w:right="140" w:hanging="552"/>
        <w:spacing w:after="0" w:line="230" w:lineRule="auto"/>
        <w:tabs>
          <w:tab w:leader="none" w:pos="5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2015, excluding debt issuance costs, was 4.27% exclusive of the fee on the undrawn commitment of 0.375% on the Credit Facility and 3.43% of upfront fees on SBA debentures.</w:t>
      </w:r>
    </w:p>
    <w:p>
      <w:pPr>
        <w:ind w:left="560" w:hanging="552"/>
        <w:spacing w:after="0"/>
        <w:tabs>
          <w:tab w:leader="none" w:pos="5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2015,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2015,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June 30, 2015, our maximum guaranty was $9.5 million. Based on SPH’s and the industry historical loss rates we believe the risk of loss is remote, thus, we have not recorded a liability associated with the guaranties. The current guaranties will decline over time.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capital gain net income (i.e. the excess, if any, of our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78" w:lineRule="exact"/>
        <w:rPr>
          <w:sz w:val="20"/>
          <w:szCs w:val="20"/>
          <w:color w:val="auto"/>
        </w:rPr>
      </w:pPr>
    </w:p>
    <w:p>
      <w:pPr>
        <w:ind w:right="160" w:firstLine="562"/>
        <w:spacing w:after="0" w:line="251" w:lineRule="auto"/>
        <w:rPr>
          <w:sz w:val="20"/>
          <w:szCs w:val="20"/>
          <w:color w:val="auto"/>
        </w:rPr>
      </w:pPr>
      <w:r>
        <w:rPr>
          <w:rFonts w:ascii="Arial" w:cs="Arial" w:eastAsia="Arial" w:hAnsi="Arial"/>
          <w:sz w:val="13"/>
          <w:szCs w:val="13"/>
          <w:color w:val="auto"/>
        </w:rPr>
        <w:t>During the three and nine months ended June 30, 2015, we declared to stockholders distributions of $0.28 and $0.84 per share, respectively, for total distributions of $20.8 million and $62.8 million, respectively. For the same periods in the prior year, we declared distributions of $0.28 and $0.84 per share, respectively, for total distributions of $18.6 million and $55.9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6"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 — Imputation of Interest (Subtopic 835-30) — 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Accordingly, the Company is currently evaluating the impact of the adoption of ASU 2015-03 on its consolidated financial statements and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June 30, 2015, we repurchased 833,213 shares of common stock in open market transactions for an aggregate cost (including transaction costs) of $8.0 million. During the three and nine months ended June 30, 2014, we did not make any repurchases of our common stock.</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020"/>
          </w:cols>
          <w:pgMar w:left="320" w:top="459" w:right="5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2015, our debt portfolio consisted of 71% variable-rate investments (including 65% with a LIBOR or prime floor) and 29%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76"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rPr>
              <w:t>807</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0.01</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8,913</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17,019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25,125</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r>
    </w:tbl>
    <w:p>
      <w:pPr>
        <w:spacing w:after="0" w:line="16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During the periods covered by this Report, we did not engage in interest rate hedging activities.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2015 that have materially affected, or are reasonably likely to materially affect, our internal control over financial reporting.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Repurchases of our common stock under our share repurchase plan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Maximum Number (or</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2"/>
          </w:tcPr>
          <w:p>
            <w:pPr>
              <w:jc w:val="center"/>
              <w:ind w:right="459"/>
              <w:spacing w:after="0" w:line="135" w:lineRule="exact"/>
              <w:rPr>
                <w:sz w:val="20"/>
                <w:szCs w:val="20"/>
                <w:color w:val="auto"/>
              </w:rPr>
            </w:pPr>
            <w:r>
              <w:rPr>
                <w:rFonts w:ascii="Arial" w:cs="Arial" w:eastAsia="Arial" w:hAnsi="Arial"/>
                <w:sz w:val="13"/>
                <w:szCs w:val="13"/>
                <w:b w:val="1"/>
                <w:bCs w:val="1"/>
                <w:color w:val="auto"/>
                <w:w w:val="87"/>
              </w:rPr>
              <w:t>Total Number of Shares</w:t>
            </w:r>
          </w:p>
        </w:tc>
        <w:tc>
          <w:tcPr>
            <w:tcW w:w="15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Approximate Dollar Value)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2"/>
          </w:tcPr>
          <w:p>
            <w:pPr>
              <w:jc w:val="center"/>
              <w:ind w:right="479"/>
              <w:spacing w:after="0" w:line="135" w:lineRule="exact"/>
              <w:rPr>
                <w:sz w:val="20"/>
                <w:szCs w:val="20"/>
                <w:color w:val="auto"/>
              </w:rPr>
            </w:pPr>
            <w:r>
              <w:rPr>
                <w:rFonts w:ascii="Arial" w:cs="Arial" w:eastAsia="Arial" w:hAnsi="Arial"/>
                <w:sz w:val="13"/>
                <w:szCs w:val="13"/>
                <w:b w:val="1"/>
                <w:bCs w:val="1"/>
                <w:color w:val="auto"/>
                <w:w w:val="86"/>
              </w:rPr>
              <w:t>(or Units) Purchased as</w:t>
            </w:r>
          </w:p>
        </w:tc>
        <w:tc>
          <w:tcPr>
            <w:tcW w:w="8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of Shares (or Units) that</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2"/>
          </w:tcPr>
          <w:p>
            <w:pPr>
              <w:jc w:val="center"/>
              <w:ind w:right="459"/>
              <w:spacing w:after="0" w:line="135" w:lineRule="exact"/>
              <w:rPr>
                <w:sz w:val="20"/>
                <w:szCs w:val="20"/>
                <w:color w:val="auto"/>
              </w:rPr>
            </w:pPr>
            <w:r>
              <w:rPr>
                <w:rFonts w:ascii="Arial" w:cs="Arial" w:eastAsia="Arial" w:hAnsi="Arial"/>
                <w:sz w:val="13"/>
                <w:szCs w:val="13"/>
                <w:b w:val="1"/>
                <w:bCs w:val="1"/>
                <w:color w:val="auto"/>
                <w:w w:val="88"/>
              </w:rPr>
              <w:t>Part of Publicly</w:t>
            </w:r>
          </w:p>
        </w:tc>
        <w:tc>
          <w:tcPr>
            <w:tcW w:w="8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May Yet Be Purchased</w:t>
            </w: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Period</w:t>
            </w:r>
          </w:p>
        </w:tc>
        <w:tc>
          <w:tcPr>
            <w:tcW w:w="13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w w:val="85"/>
              </w:rPr>
              <w:t>Total Number of Shares</w:t>
            </w:r>
          </w:p>
        </w:tc>
        <w:tc>
          <w:tcPr>
            <w:tcW w:w="420" w:type="dxa"/>
            <w:vAlign w:val="bottom"/>
          </w:tcPr>
          <w:p>
            <w:pPr>
              <w:spacing w:after="0"/>
              <w:rPr>
                <w:sz w:val="11"/>
                <w:szCs w:val="11"/>
                <w:color w:val="auto"/>
              </w:rPr>
            </w:pPr>
          </w:p>
        </w:tc>
        <w:tc>
          <w:tcPr>
            <w:tcW w:w="1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Average Price per Share</w:t>
            </w:r>
          </w:p>
        </w:tc>
        <w:tc>
          <w:tcPr>
            <w:tcW w:w="1800" w:type="dxa"/>
            <w:vAlign w:val="bottom"/>
            <w:gridSpan w:val="2"/>
          </w:tcPr>
          <w:p>
            <w:pPr>
              <w:jc w:val="center"/>
              <w:ind w:right="479"/>
              <w:spacing w:after="0" w:line="135" w:lineRule="exact"/>
              <w:rPr>
                <w:sz w:val="20"/>
                <w:szCs w:val="20"/>
                <w:color w:val="auto"/>
              </w:rPr>
            </w:pPr>
            <w:r>
              <w:rPr>
                <w:rFonts w:ascii="Arial" w:cs="Arial" w:eastAsia="Arial" w:hAnsi="Arial"/>
                <w:sz w:val="13"/>
                <w:szCs w:val="13"/>
                <w:b w:val="1"/>
                <w:bCs w:val="1"/>
                <w:color w:val="auto"/>
                <w:w w:val="86"/>
              </w:rPr>
              <w:t>Announced Plans or</w:t>
            </w:r>
          </w:p>
        </w:tc>
        <w:tc>
          <w:tcPr>
            <w:tcW w:w="8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Under the Plans or</w:t>
            </w:r>
          </w:p>
        </w:tc>
        <w:tc>
          <w:tcPr>
            <w:tcW w:w="0" w:type="dxa"/>
            <w:vAlign w:val="bottom"/>
          </w:tcPr>
          <w:p>
            <w:pPr>
              <w:spacing w:after="0"/>
              <w:rPr>
                <w:sz w:val="1"/>
                <w:szCs w:val="1"/>
                <w:color w:val="auto"/>
              </w:rPr>
            </w:pPr>
          </w:p>
        </w:tc>
      </w:tr>
      <w:tr>
        <w:trPr>
          <w:trHeight w:val="153"/>
        </w:trPr>
        <w:tc>
          <w:tcPr>
            <w:tcW w:w="4440" w:type="dxa"/>
            <w:vAlign w:val="bottom"/>
            <w:gridSpan w:val="2"/>
            <w:vMerge w:val="continue"/>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w w:val="93"/>
              </w:rPr>
              <w:t>(or Units) Purchased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(or Unit)</w:t>
            </w:r>
          </w:p>
        </w:tc>
        <w:tc>
          <w:tcPr>
            <w:tcW w:w="1800" w:type="dxa"/>
            <w:vAlign w:val="bottom"/>
            <w:gridSpan w:val="2"/>
          </w:tcPr>
          <w:p>
            <w:pPr>
              <w:jc w:val="center"/>
              <w:ind w:right="479"/>
              <w:spacing w:after="0"/>
              <w:rPr>
                <w:sz w:val="20"/>
                <w:szCs w:val="20"/>
                <w:color w:val="auto"/>
              </w:rPr>
            </w:pPr>
            <w:r>
              <w:rPr>
                <w:rFonts w:ascii="Arial" w:cs="Arial" w:eastAsia="Arial" w:hAnsi="Arial"/>
                <w:sz w:val="13"/>
                <w:szCs w:val="13"/>
                <w:b w:val="1"/>
                <w:bCs w:val="1"/>
                <w:color w:val="auto"/>
                <w:w w:val="88"/>
              </w:rPr>
              <w:t>Programs</w:t>
            </w:r>
          </w:p>
        </w:tc>
        <w:tc>
          <w:tcPr>
            <w:tcW w:w="8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Programs (in millions)</w:t>
            </w: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April 1, 2015 through June 30, 2015</w:t>
            </w: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833,213</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44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833,213</w:t>
            </w:r>
          </w:p>
        </w:tc>
        <w:tc>
          <w:tcPr>
            <w:tcW w:w="520" w:type="dxa"/>
            <w:vAlign w:val="bottom"/>
            <w:tcBorders>
              <w:top w:val="single" w:sz="8" w:color="CCEEFF"/>
            </w:tcBorders>
            <w:shd w:val="clear" w:color="auto" w:fill="CCEEFF"/>
          </w:tcPr>
          <w:p>
            <w:pPr>
              <w:jc w:val="right"/>
              <w:ind w:right="319"/>
              <w:spacing w:after="0"/>
              <w:rPr>
                <w:sz w:val="20"/>
                <w:szCs w:val="20"/>
                <w:color w:val="auto"/>
              </w:rPr>
            </w:pPr>
            <w:r>
              <w:rPr>
                <w:rFonts w:ascii="Arial" w:cs="Arial" w:eastAsia="Arial" w:hAnsi="Arial"/>
                <w:sz w:val="12"/>
                <w:szCs w:val="12"/>
                <w:color w:val="auto"/>
                <w:w w:val="81"/>
              </w:rPr>
              <w:t>(1)</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833,213</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833,213</w:t>
            </w:r>
          </w:p>
        </w:tc>
        <w:tc>
          <w:tcPr>
            <w:tcW w:w="5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right="60" w:hanging="552"/>
        <w:spacing w:after="0" w:line="253"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On May 6, 2015, we announced a share repurchase plan which allows us to repurchase up to $35.0 million of our outstanding common stock. Unless extended by our board of directors, the program will expire on the earlier of May 6, 2016 and the repurchase of $35.0 million of common stock.</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Incorporation (Incorporated by reference to Exhibit 99(a) to the Registrant’s Pre-Effective Amendment No. 3 to the Registration Statement on Form N-2/A (File No. 333-</w:t>
      </w:r>
    </w:p>
    <w:p>
      <w:pPr>
        <w:ind w:left="680"/>
        <w:spacing w:after="0"/>
        <w:rPr>
          <w:sz w:val="20"/>
          <w:szCs w:val="20"/>
          <w:color w:val="auto"/>
        </w:rPr>
      </w:pPr>
      <w:r>
        <w:rPr>
          <w:rFonts w:ascii="Arial" w:cs="Arial" w:eastAsia="Arial" w:hAnsi="Arial"/>
          <w:sz w:val="14"/>
          <w:szCs w:val="14"/>
          <w:color w:val="auto"/>
        </w:rPr>
        <w:t>140092), filed on April 5, 2007).</w:t>
      </w:r>
    </w:p>
    <w:p>
      <w:pPr>
        <w:spacing w:after="0" w:line="151" w:lineRule="exact"/>
        <w:rPr>
          <w:sz w:val="20"/>
          <w:szCs w:val="20"/>
          <w:color w:val="auto"/>
        </w:rPr>
      </w:pPr>
    </w:p>
    <w:p>
      <w:pPr>
        <w:ind w:left="680" w:right="640" w:hanging="602"/>
        <w:spacing w:after="0" w:line="253" w:lineRule="auto"/>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Amended and Restated Bylaws of the Registrant (Incorporated by reference to Exhibit 3.2 to the Registrant’s Annual Report on Form 10-K (File No. 814-00736), filed on November 13, 2013).</w:t>
      </w:r>
    </w:p>
    <w:p>
      <w:pPr>
        <w:spacing w:after="0" w:line="13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16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99.1</w:t>
      </w:r>
      <w:r>
        <w:rPr>
          <w:rFonts w:ascii="Arial" w:cs="Arial" w:eastAsia="Arial" w:hAnsi="Arial"/>
          <w:sz w:val="13"/>
          <w:szCs w:val="13"/>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269875</wp:posOffset>
            </wp:positionV>
            <wp:extent cx="828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Date: August 5, 2015</w:t>
            </w:r>
          </w:p>
        </w:tc>
        <w:tc>
          <w:tcPr>
            <w:tcW w:w="2260" w:type="dxa"/>
            <w:vAlign w:val="bottom"/>
          </w:tcPr>
          <w:p>
            <w:pPr>
              <w:ind w:left="2040"/>
              <w:spacing w:after="0"/>
              <w:rPr>
                <w:sz w:val="20"/>
                <w:szCs w:val="20"/>
                <w:color w:val="auto"/>
              </w:rPr>
            </w:pPr>
            <w:r>
              <w:rPr>
                <w:rFonts w:ascii="Arial" w:cs="Arial" w:eastAsia="Arial" w:hAnsi="Arial"/>
                <w:sz w:val="14"/>
                <w:szCs w:val="14"/>
                <w:color w:val="auto"/>
                <w:w w:val="98"/>
              </w:rPr>
              <w:t>By:</w:t>
            </w:r>
          </w:p>
        </w:tc>
      </w:tr>
      <w:tr>
        <w:trPr>
          <w:trHeight w:val="850"/>
        </w:trPr>
        <w:tc>
          <w:tcPr>
            <w:tcW w:w="3280" w:type="dxa"/>
            <w:vAlign w:val="bottom"/>
          </w:tcPr>
          <w:p>
            <w:pPr>
              <w:spacing w:after="0"/>
              <w:rPr>
                <w:sz w:val="20"/>
                <w:szCs w:val="20"/>
                <w:color w:val="auto"/>
              </w:rPr>
            </w:pPr>
            <w:r>
              <w:rPr>
                <w:rFonts w:ascii="Arial" w:cs="Arial" w:eastAsia="Arial" w:hAnsi="Arial"/>
                <w:sz w:val="14"/>
                <w:szCs w:val="14"/>
                <w:color w:val="auto"/>
              </w:rPr>
              <w:t>Date: August 5, 2015</w:t>
            </w:r>
          </w:p>
        </w:tc>
        <w:tc>
          <w:tcPr>
            <w:tcW w:w="2260" w:type="dxa"/>
            <w:vAlign w:val="bottom"/>
          </w:tcPr>
          <w:p>
            <w:pPr>
              <w:ind w:left="2040"/>
              <w:spacing w:after="0"/>
              <w:rPr>
                <w:sz w:val="20"/>
                <w:szCs w:val="20"/>
                <w:color w:val="auto"/>
              </w:rPr>
            </w:pPr>
            <w:r>
              <w:rPr>
                <w:rFonts w:ascii="Arial" w:cs="Arial" w:eastAsia="Arial" w:hAnsi="Arial"/>
                <w:sz w:val="14"/>
                <w:szCs w:val="14"/>
                <w:color w:val="auto"/>
                <w:w w:val="98"/>
              </w:rPr>
              <w:t>By:</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PENNANTPARK INVESTMENT CORPORATION</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3810</wp:posOffset>
            </wp:positionV>
            <wp:extent cx="3317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b w:val="1"/>
          <w:bCs w:val="1"/>
          <w:color w:val="auto"/>
        </w:rPr>
        <w:t>Arthur H. Penn</w:t>
      </w:r>
    </w:p>
    <w:p>
      <w:pPr>
        <w:jc w:val="center"/>
        <w:ind w:right="4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440"/>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3810</wp:posOffset>
            </wp:positionV>
            <wp:extent cx="3317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Aviv Efrat</w:t>
      </w:r>
    </w:p>
    <w:p>
      <w:pPr>
        <w:spacing w:after="0" w:line="44"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(Principal Financial and Accounting Officer)</w:t>
      </w:r>
    </w:p>
    <w:p>
      <w:pPr>
        <w:sectPr>
          <w:pgSz w:w="11900" w:h="16838" w:orient="portrait"/>
          <w:cols w:equalWidth="0" w:num="2">
            <w:col w:w="5940" w:space="720"/>
            <w:col w:w="4380"/>
          </w:cols>
          <w:pgMar w:left="320" w:top="459" w:right="539" w:bottom="1440" w:gutter="0" w:footer="0" w:header="0"/>
          <w:type w:val="continuous"/>
        </w:sectPr>
      </w:pPr>
    </w:p>
    <w:bookmarkStart w:id="38" w:name="page39"/>
    <w:bookmarkEnd w:id="38"/>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9" w:name="page40"/>
    <w:bookmarkEnd w:id="39"/>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32.1</w:t>
      </w:r>
    </w:p>
    <w:p>
      <w:pPr>
        <w:spacing w:after="0" w:line="219" w:lineRule="exact"/>
        <w:rPr>
          <w:sz w:val="20"/>
          <w:szCs w:val="20"/>
          <w:color w:val="auto"/>
        </w:rPr>
      </w:pPr>
    </w:p>
    <w:p>
      <w:pPr>
        <w:jc w:val="both"/>
        <w:ind w:left="120" w:right="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2015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August 5, 2015</w:t>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316" w:lineRule="exact"/>
        <w:rPr>
          <w:sz w:val="20"/>
          <w:szCs w:val="20"/>
          <w:color w:val="auto"/>
        </w:rPr>
      </w:pPr>
    </w:p>
    <w:p>
      <w:pPr>
        <w:jc w:val="both"/>
        <w:ind w:left="120" w:right="20" w:firstLine="556"/>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2015 (the “Report”) of PennantPark Investment Corporation (the “Registrant”), as filed with the Securities and Exchange Commission on the date hereof, I, Aviv Efrat, Chief Financial Officer of the Registrant, hereby certify, to the best of my knowledge, that:</w:t>
      </w:r>
    </w:p>
    <w:p>
      <w:pPr>
        <w:spacing w:after="0" w:line="66" w:lineRule="exact"/>
        <w:rPr>
          <w:sz w:val="20"/>
          <w:szCs w:val="20"/>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August 5,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2020-05-05T15:09:38Z</dcterms:created>
  <dcterms:modified xsi:type="dcterms:W3CDTF">2020-05-05T15:09:38Z</dcterms:modified>
</cp:coreProperties>
</file>