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127000</wp:posOffset>
            </wp:positionV>
            <wp:extent cx="162941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9,000,000 Shares</w:t>
      </w:r>
    </w:p>
    <w:p>
      <w:pPr>
        <w:spacing w:after="0" w:line="71"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$10.82 Per Share</w:t>
      </w:r>
    </w:p>
    <w:p>
      <w:pPr>
        <w:spacing w:after="0" w:line="66" w:lineRule="exact"/>
        <w:rPr>
          <w:sz w:val="24"/>
          <w:szCs w:val="24"/>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offering for sale 9,000,000 shares of our common stock. Our common stock is traded on the NASDAQ Global Select Market under the symbol “PNNT.” The last reported closing price for our common stock on September 24, 2012 was $11.10 per share. The net asset value of our common stock on June 30, 2012 (the last date prior to the date of this prospectus supplement on which we determined net asset value) was $10.16 per share.</w:t>
      </w:r>
    </w:p>
    <w:p>
      <w:pPr>
        <w:spacing w:after="0" w:line="26"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35"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33" w:lineRule="exact"/>
        <w:rPr>
          <w:sz w:val="24"/>
          <w:szCs w:val="24"/>
          <w:color w:val="auto"/>
        </w:rPr>
      </w:pPr>
    </w:p>
    <w:p>
      <w:pPr>
        <w:ind w:right="140" w:firstLine="456"/>
        <w:spacing w:after="0" w:line="357" w:lineRule="auto"/>
        <w:rPr>
          <w:sz w:val="20"/>
          <w:szCs w:val="20"/>
          <w:color w:val="auto"/>
        </w:rPr>
      </w:pPr>
      <w:r>
        <w:rPr>
          <w:rFonts w:ascii="Arial" w:cs="Arial" w:eastAsia="Arial" w:hAnsi="Arial"/>
          <w:sz w:val="15"/>
          <w:szCs w:val="15"/>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8 of the accompanying prospectus.</w:t>
      </w: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10.8200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97,380,000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3,408,300</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$330,000)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93,971,700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underwriters may also purchase up to an additional 1,350,000 shares from us at the public offering price, less the underwriting discounts,</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within 30 days from the date of this prospectus supplement. If the underwriters exercise this option in full, the total public offering price will be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$111,987,000, the total underwriting discount and commissions (sales load) paid by us will be $3,919,545, and total proceeds, before expenses, will be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$108,067,455.</w:t>
      </w:r>
    </w:p>
    <w:p>
      <w:pPr>
        <w:spacing w:after="0" w:line="7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underwriters expect to deliver the shares on or about September 28, 2012.</w:t>
      </w:r>
    </w:p>
    <w:p>
      <w:pPr>
        <w:sectPr>
          <w:pgSz w:w="11900" w:h="16838" w:orient="portrait"/>
          <w:cols w:equalWidth="0" w:num="1">
            <w:col w:w="11420"/>
          </w:cols>
          <w:pgMar w:left="240" w:top="230" w:right="239" w:bottom="1440" w:gutter="0" w:footer="0" w:header="0"/>
        </w:sectPr>
      </w:pPr>
    </w:p>
    <w:p>
      <w:pPr>
        <w:spacing w:after="0" w:line="90" w:lineRule="exact"/>
        <w:rPr>
          <w:sz w:val="24"/>
          <w:szCs w:val="24"/>
          <w:color w:val="auto"/>
        </w:rPr>
      </w:pPr>
    </w:p>
    <w:p>
      <w:pPr>
        <w:ind w:left="340" w:hanging="339"/>
        <w:spacing w:after="0" w:line="475" w:lineRule="auto"/>
        <w:rPr>
          <w:sz w:val="20"/>
          <w:szCs w:val="20"/>
          <w:color w:val="auto"/>
        </w:rPr>
      </w:pPr>
      <w:r>
        <w:rPr>
          <w:rFonts w:ascii="Arial" w:cs="Arial" w:eastAsia="Arial" w:hAnsi="Arial"/>
          <w:sz w:val="16"/>
          <w:szCs w:val="16"/>
          <w:b w:val="1"/>
          <w:bCs w:val="1"/>
          <w:color w:val="auto"/>
        </w:rPr>
        <w:t>Morgan Stanley Evercore Partners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Goldman, Sachs &amp; Co.</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Credit Suisse</w:t>
      </w:r>
    </w:p>
    <w:p>
      <w:pPr>
        <w:spacing w:after="0" w:line="9"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FBR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J.P. Morgan</w:t>
      </w:r>
    </w:p>
    <w:p>
      <w:pPr>
        <w:spacing w:after="0" w:line="21"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RBC Capital Markets</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480"/>
        <w:spacing w:after="0"/>
        <w:rPr>
          <w:sz w:val="20"/>
          <w:szCs w:val="20"/>
          <w:color w:val="auto"/>
        </w:rPr>
      </w:pPr>
      <w:r>
        <w:rPr>
          <w:rFonts w:ascii="Arial" w:cs="Arial" w:eastAsia="Arial" w:hAnsi="Arial"/>
          <w:sz w:val="15"/>
          <w:szCs w:val="15"/>
          <w:b w:val="1"/>
          <w:bCs w:val="1"/>
          <w:color w:val="auto"/>
        </w:rPr>
        <w:t>SunTrust Robinson Humphrey</w:t>
      </w:r>
    </w:p>
    <w:p>
      <w:pPr>
        <w:spacing w:after="0" w:line="56"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Stifel Nicolaus Weisel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Ladenburg Thalmann &amp; Co. Inc.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ING</w:t>
      </w:r>
    </w:p>
    <w:p>
      <w:pPr>
        <w:spacing w:after="0" w:line="113" w:lineRule="exact"/>
        <w:rPr>
          <w:sz w:val="24"/>
          <w:szCs w:val="24"/>
          <w:color w:val="auto"/>
        </w:rPr>
      </w:pPr>
    </w:p>
    <w:p>
      <w:pPr>
        <w:sectPr>
          <w:pgSz w:w="11900" w:h="16838" w:orient="portrait"/>
          <w:cols w:equalWidth="0" w:num="5">
            <w:col w:w="1720" w:space="0"/>
            <w:col w:w="2440" w:space="700"/>
            <w:col w:w="2180" w:space="720"/>
            <w:col w:w="2800" w:space="360"/>
            <w:col w:w="5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September 25,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3"/>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b w:val="1"/>
                <w:bCs w:val="1"/>
                <w:color w:val="0000EE"/>
                <w:w w:val="96"/>
              </w:rPr>
              <w:t>SUPPLEMENTAL PROSPECTUS SUMMARY</w:t>
            </w:r>
          </w:p>
        </w:tc>
        <w:tc>
          <w:tcPr>
            <w:tcW w:w="73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b w:val="1"/>
                <w:bCs w:val="1"/>
                <w:color w:val="0000EE"/>
                <w:w w:val="94"/>
              </w:rPr>
              <w:t>FEES AND EXPENSES</w:t>
            </w:r>
          </w:p>
        </w:tc>
        <w:tc>
          <w:tcPr>
            <w:tcW w:w="910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FORWARD-LOOKING STATEMENTS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b w:val="1"/>
                <w:bCs w:val="1"/>
                <w:color w:val="0000EE"/>
                <w:w w:val="93"/>
              </w:rPr>
              <w:t>USE OF PROCEEDS</w:t>
            </w:r>
          </w:p>
        </w:tc>
        <w:tc>
          <w:tcPr>
            <w:tcW w:w="1400" w:type="dxa"/>
            <w:vAlign w:val="bottom"/>
            <w:tcBorders>
              <w:top w:val="single" w:sz="8" w:color="0000EE"/>
            </w:tcBorders>
            <w:gridSpan w:val="8"/>
          </w:tcPr>
          <w:p>
            <w:pPr>
              <w:spacing w:after="0"/>
              <w:rPr>
                <w:sz w:val="17"/>
                <w:szCs w:val="17"/>
                <w:color w:val="auto"/>
              </w:rPr>
            </w:pPr>
          </w:p>
        </w:tc>
        <w:tc>
          <w:tcPr>
            <w:tcW w:w="79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b w:val="1"/>
                <w:bCs w:val="1"/>
                <w:color w:val="0000EE"/>
              </w:rPr>
              <w:t>CAPITALIZATION</w:t>
            </w:r>
          </w:p>
        </w:tc>
        <w:tc>
          <w:tcPr>
            <w:tcW w:w="940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b w:val="1"/>
                <w:bCs w:val="1"/>
                <w:color w:val="0000EE"/>
                <w:w w:val="98"/>
              </w:rPr>
              <w:t>PRICE RANGE OF COMMON STOCK</w:t>
            </w:r>
          </w:p>
        </w:tc>
        <w:tc>
          <w:tcPr>
            <w:tcW w:w="78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b w:val="1"/>
                <w:bCs w:val="1"/>
                <w:color w:val="0000EE"/>
                <w:w w:val="98"/>
              </w:rPr>
              <w:t>SELECTED FINANCIAL DATA</w:t>
            </w:r>
          </w:p>
        </w:tc>
        <w:tc>
          <w:tcPr>
            <w:tcW w:w="84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b w:val="1"/>
                <w:bCs w:val="1"/>
                <w:color w:val="0000EE"/>
                <w:w w:val="97"/>
              </w:rPr>
              <w:t>MANAGEMENT’S DISCUSSION AND ANALYSIS OF FINANCIAL CONDITION AND RESULTS OF OPERATIONS</w:t>
            </w:r>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UNDERWRITING</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LEGAL MATTERS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INDEX TO FINANCIAL STATEMENTS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AWARENESS LETTER OF INDEPENDENT REGISTERED PUBLIC ACCOUNTING FIRM</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S-69</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ind w:left="320"/>
              <w:spacing w:after="0"/>
              <w:rPr>
                <w:sz w:val="20"/>
                <w:szCs w:val="20"/>
                <w:color w:val="auto"/>
              </w:rPr>
            </w:pPr>
            <w:r>
              <w:rPr>
                <w:rFonts w:ascii="Arial" w:cs="Arial" w:eastAsia="Arial" w:hAnsi="Arial"/>
                <w:sz w:val="18"/>
                <w:szCs w:val="18"/>
                <w:b w:val="1"/>
                <w:bCs w:val="1"/>
                <w:color w:val="auto"/>
              </w:rPr>
              <w:t>PROSPECTUS</w:t>
            </w:r>
          </w:p>
        </w:tc>
        <w:tc>
          <w:tcPr>
            <w:tcW w:w="3820" w:type="dxa"/>
            <w:vAlign w:val="bottom"/>
            <w:gridSpan w:val="2"/>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2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PROSPECTUS SUMMARY</w:t>
              </w:r>
            </w:hyperlink>
          </w:p>
        </w:tc>
        <w:tc>
          <w:tcPr>
            <w:tcW w:w="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26"/>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FEES AND EXPENSES</w:t>
              </w:r>
            </w:hyperlink>
          </w:p>
        </w:tc>
        <w:tc>
          <w:tcPr>
            <w:tcW w:w="8800" w:type="dxa"/>
            <w:vAlign w:val="bottom"/>
            <w:gridSpan w:val="15"/>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RISK FACTORS</w:t>
              </w:r>
            </w:hyperlink>
          </w:p>
        </w:tc>
        <w:tc>
          <w:tcPr>
            <w:tcW w:w="91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6">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8"/>
          </w:tcPr>
          <w:p>
            <w:pPr>
              <w:spacing w:after="0"/>
              <w:rPr>
                <w:sz w:val="17"/>
                <w:szCs w:val="17"/>
                <w:color w:val="auto"/>
              </w:rPr>
            </w:pPr>
          </w:p>
        </w:tc>
        <w:tc>
          <w:tcPr>
            <w:tcW w:w="79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SELECTED FINANCIAL DATA</w:t>
              </w:r>
            </w:hyperlink>
          </w:p>
        </w:tc>
        <w:tc>
          <w:tcPr>
            <w:tcW w:w="84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b w:val="1"/>
                <w:bCs w:val="1"/>
                <w:color w:val="0000EE"/>
                <w:w w:val="98"/>
              </w:rPr>
              <w:t>PRICE RANGE OF COMMON STOCK</w:t>
            </w:r>
          </w:p>
        </w:tc>
        <w:tc>
          <w:tcPr>
            <w:tcW w:w="78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6"/>
              </w:rPr>
            </w:pPr>
            <w:hyperlink w:anchor="page40">
              <w:r>
                <w:rPr>
                  <w:rFonts w:ascii="Arial" w:cs="Arial" w:eastAsia="Arial" w:hAnsi="Arial"/>
                  <w:sz w:val="18"/>
                  <w:szCs w:val="18"/>
                  <w:b w:val="1"/>
                  <w:bCs w:val="1"/>
                  <w:color w:val="0000EE"/>
                  <w:w w:val="96"/>
                </w:rPr>
                <w:t>SALES OF COMMON STOCK BELOW NET ASSET VALUE</w:t>
              </w:r>
            </w:hyperlink>
          </w:p>
        </w:tc>
        <w:tc>
          <w:tcPr>
            <w:tcW w:w="61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DISTRIBUTIONS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b w:val="1"/>
                <w:bCs w:val="1"/>
                <w:color w:val="0000EE"/>
                <w:w w:val="91"/>
              </w:rPr>
              <w:t>BUSINESS</w:t>
            </w:r>
          </w:p>
        </w:tc>
        <w:tc>
          <w:tcPr>
            <w:tcW w:w="580" w:type="dxa"/>
            <w:vAlign w:val="bottom"/>
            <w:tcBorders>
              <w:top w:val="single" w:sz="8" w:color="0000EE"/>
            </w:tcBorders>
            <w:gridSpan w:val="3"/>
          </w:tcPr>
          <w:p>
            <w:pPr>
              <w:spacing w:after="0"/>
              <w:rPr>
                <w:sz w:val="17"/>
                <w:szCs w:val="17"/>
                <w:color w:val="auto"/>
              </w:rPr>
            </w:pPr>
          </w:p>
        </w:tc>
        <w:tc>
          <w:tcPr>
            <w:tcW w:w="950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b w:val="1"/>
                <w:bCs w:val="1"/>
                <w:color w:val="0000EE"/>
                <w:w w:val="99"/>
              </w:rPr>
              <w:t>INVESTMENT OBJECTIVES AND POLICIES</w:t>
            </w:r>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b w:val="1"/>
                <w:bCs w:val="1"/>
                <w:color w:val="0000EE"/>
                <w:w w:val="97"/>
              </w:rPr>
              <w:t>PORTFOLIO COMPANIES</w:t>
            </w:r>
          </w:p>
        </w:tc>
        <w:tc>
          <w:tcPr>
            <w:tcW w:w="87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rPr>
              <w:t>MANAGEMENT</w:t>
            </w:r>
          </w:p>
        </w:tc>
        <w:tc>
          <w:tcPr>
            <w:tcW w:w="960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b w:val="1"/>
                <w:bCs w:val="1"/>
                <w:color w:val="0000EE"/>
                <w:w w:val="96"/>
              </w:rPr>
              <w:t>CONTROL PERSONS AND PRINCIPAL STOCKHOLDERS</w:t>
            </w:r>
          </w:p>
        </w:tc>
        <w:tc>
          <w:tcPr>
            <w:tcW w:w="62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b w:val="1"/>
                <w:bCs w:val="1"/>
                <w:color w:val="0000EE"/>
                <w:w w:val="97"/>
              </w:rPr>
              <w:t>CERTAIN RELATIONSHIPS AND TRANSACTIONS</w:t>
            </w:r>
          </w:p>
        </w:tc>
        <w:tc>
          <w:tcPr>
            <w:tcW w:w="68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DETERMINATION OF NET ASSET VALUE</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b w:val="1"/>
                <w:bCs w:val="1"/>
                <w:color w:val="0000EE"/>
              </w:rPr>
              <w:t>DIVIDEND REINVESTMENT PLAN</w:t>
            </w:r>
          </w:p>
        </w:tc>
        <w:tc>
          <w:tcPr>
            <w:tcW w:w="748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DESCRIPTION OF OUR CAPITAL STOCK</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420" w:type="dxa"/>
            <w:vAlign w:val="bottom"/>
            <w:gridSpan w:val="17"/>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sz w:val="20"/>
                <w:szCs w:val="20"/>
                <w:color w:val="auto"/>
              </w:rPr>
            </w:pPr>
            <w:r>
              <w:rPr>
                <w:rFonts w:ascii="Arial" w:cs="Arial" w:eastAsia="Arial" w:hAnsi="Arial"/>
                <w:sz w:val="18"/>
                <w:szCs w:val="18"/>
                <w:b w:val="1"/>
                <w:bCs w:val="1"/>
                <w:color w:val="0000EE"/>
              </w:rPr>
              <w:t>DESCRIPTION OF OUR PREFERRED STOCK</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4"/>
            <w:vMerge w:val="restart"/>
          </w:tcPr>
          <w:p>
            <w:pPr>
              <w:spacing w:after="0"/>
              <w:rPr>
                <w:sz w:val="20"/>
                <w:szCs w:val="20"/>
                <w:color w:val="auto"/>
              </w:rPr>
            </w:pPr>
            <w:r>
              <w:rPr>
                <w:rFonts w:ascii="Arial" w:cs="Arial" w:eastAsia="Arial" w:hAnsi="Arial"/>
                <w:sz w:val="18"/>
                <w:szCs w:val="18"/>
                <w:b w:val="1"/>
                <w:bCs w:val="1"/>
                <w:color w:val="0000EE"/>
                <w:w w:val="96"/>
              </w:rPr>
              <w:t>DESCRIPTION OF OUR WARRANTS</w:t>
            </w:r>
          </w:p>
        </w:tc>
        <w:tc>
          <w:tcPr>
            <w:tcW w:w="8000" w:type="dxa"/>
            <w:vAlign w:val="bottom"/>
            <w:gridSpan w:val="8"/>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4"/>
            <w:vMerge w:val="continue"/>
          </w:tcPr>
          <w:p>
            <w:pPr>
              <w:spacing w:after="0"/>
              <w:rPr>
                <w:sz w:val="13"/>
                <w:szCs w:val="13"/>
                <w:color w:val="auto"/>
              </w:rPr>
            </w:pPr>
          </w:p>
        </w:tc>
        <w:tc>
          <w:tcPr>
            <w:tcW w:w="8000" w:type="dxa"/>
            <w:vAlign w:val="bottom"/>
            <w:gridSpan w:val="8"/>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7"/>
              </w:rPr>
              <w:t>DESCRIPTION OF OUR SUBSCRIPTION RIGHTS</w:t>
            </w:r>
          </w:p>
        </w:tc>
        <w:tc>
          <w:tcPr>
            <w:tcW w:w="6960" w:type="dxa"/>
            <w:vAlign w:val="bottom"/>
            <w:gridSpan w:val="5"/>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b w:val="1"/>
                <w:bCs w:val="1"/>
                <w:color w:val="0000EE"/>
                <w:w w:val="97"/>
              </w:rPr>
              <w:t>DESCRIPTION OF OUR DEBT SECURITIES</w:t>
            </w:r>
          </w:p>
        </w:tc>
        <w:tc>
          <w:tcPr>
            <w:tcW w:w="74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b w:val="1"/>
                <w:bCs w:val="1"/>
                <w:color w:val="0000EE"/>
                <w:w w:val="99"/>
              </w:rPr>
              <w:t>REGULATION</w:t>
            </w:r>
          </w:p>
        </w:tc>
        <w:tc>
          <w:tcPr>
            <w:tcW w:w="98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b w:val="1"/>
                <w:bCs w:val="1"/>
                <w:color w:val="0000EE"/>
                <w:w w:val="97"/>
              </w:rPr>
              <w:t>BROKERAGE ALLOCATIONS AND OTHER PRACTICES</w:t>
            </w:r>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b w:val="1"/>
                <w:bCs w:val="1"/>
                <w:color w:val="0000EE"/>
                <w:w w:val="98"/>
              </w:rPr>
              <w:t>MATERIAL U.S. FEDERAL INCOME TAX CONSIDERATIONS</w:t>
            </w:r>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w w:val="99"/>
              </w:rPr>
              <w:t>PLAN OF DISTRIBUTION</w:t>
            </w:r>
          </w:p>
        </w:tc>
        <w:tc>
          <w:tcPr>
            <w:tcW w:w="88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b w:val="1"/>
                <w:bCs w:val="1"/>
                <w:color w:val="0000EE"/>
                <w:w w:val="97"/>
              </w:rPr>
              <w:t>SUB-ADMINISTRATOR, CUSTODIAN, TRANSFER AGENT AND TRUSTEE</w:t>
            </w:r>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12"/>
          </w:tcPr>
          <w:p>
            <w:pPr>
              <w:spacing w:after="0" w:line="196" w:lineRule="exact"/>
              <w:rPr>
                <w:sz w:val="20"/>
                <w:szCs w:val="20"/>
                <w:color w:val="auto"/>
              </w:rPr>
            </w:pPr>
            <w:r>
              <w:rPr>
                <w:rFonts w:ascii="Arial" w:cs="Arial" w:eastAsia="Arial" w:hAnsi="Arial"/>
                <w:sz w:val="18"/>
                <w:szCs w:val="18"/>
                <w:b w:val="1"/>
                <w:bCs w:val="1"/>
                <w:color w:val="0000EE"/>
              </w:rPr>
              <w:t>LEGAL MATTERS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2"/>
          </w:tcPr>
          <w:p>
            <w:pPr>
              <w:spacing w:after="0" w:line="196" w:lineRule="exact"/>
              <w:rPr>
                <w:sz w:val="20"/>
                <w:szCs w:val="20"/>
                <w:color w:val="auto"/>
              </w:rPr>
            </w:pPr>
            <w:r>
              <w:rPr>
                <w:rFonts w:ascii="Arial" w:cs="Arial" w:eastAsia="Arial" w:hAnsi="Arial"/>
                <w:sz w:val="18"/>
                <w:szCs w:val="18"/>
                <w:b w:val="1"/>
                <w:bCs w:val="1"/>
                <w:color w:val="0000EE"/>
              </w:rPr>
              <w:t>INDEPENDENT REGISTERED PUBLIC ACCOUNTING FIRM</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b w:val="1"/>
                <w:bCs w:val="1"/>
                <w:color w:val="0000EE"/>
              </w:rPr>
              <w:t>INDEX TO FINANCIAL STATEMENTS</w:t>
            </w:r>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or SBIC, subsidiary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140"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or the Credit Facility, the Small Business Administration, or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As of June 30, 2012, our portfolio totaled $929.1 million and consisted of $285.8 million of senior secured loans, $150.1 million of second lien secured debt, $401.5 million of subordinated debt and $91.7 million of preferred and common equity investments. Our debt portfolio consisted of 68% fixed-rate and 32% variable-rate</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98" w:lineRule="auto"/>
        <w:rPr>
          <w:sz w:val="20"/>
          <w:szCs w:val="20"/>
          <w:color w:val="auto"/>
        </w:rPr>
      </w:pPr>
      <w:r>
        <w:rPr>
          <w:rFonts w:ascii="Arial" w:cs="Arial" w:eastAsia="Arial" w:hAnsi="Arial"/>
          <w:sz w:val="16"/>
          <w:szCs w:val="16"/>
          <w:color w:val="auto"/>
        </w:rPr>
        <w:t>investments (including 27% with a London Interbank Offered Rate, or LIBOR, or prime floor). As of June 30, 2012, we had two non-accrual debt investments, representing 2% and 7% of our overall portfolio on a market value and cost basis, respectively. Our overall portfolio consisted of 51 companies with an average investment size of $18.2 million, had a weighted average yield on debt investments of 13.3%, and was invested 31% in senior secured loans, 16% in second lien secured debt, 43% in subordinated debt and 10% in preferred and common equity investments.</w:t>
      </w:r>
    </w:p>
    <w:p>
      <w:pPr>
        <w:spacing w:after="0" w:line="113"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investments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For the three months ended June 30, 2012, we invested $89.9 million in three new and two existing portfolio companies with a weighted average yield on debt investments of 13.0%. Sales and repayments of long-term investments for the three months ended June 30, 2012 totaled $55.3 million. For the nine months ended June 30, 2012, we invested approximately $243.8 million in nine new and 13 existing portfolio companies with a weighted average yield of 13.7% on debt investments. Sales and repayments of long-term investments totaled $173.8 million for the same period.</w:t>
      </w:r>
    </w:p>
    <w:p>
      <w:pPr>
        <w:spacing w:after="0" w:line="113"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For the three months ended June 30, 2011, we invested $145.5 million in three new and four existing portfolio companies with a weighted average yield on debt investments of 13.5%. Sales and repayments of long-term investments for the three months ended June 30, 2011 totaled $119.3 million. For the nine months ended June 30, 2011, we invested approximately $342.0 million in 13 new and seven existing portfolio companies with a weighted average yield of 13.9% on debt investments. Sales and repayments of long-term investments totaled $256.4 million for the same period.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jc w:val="both"/>
        <w:ind w:left="200" w:right="260" w:firstLine="443"/>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or RIC, under the Internal Revenue Code of 1986, as amended, or the Code.</w:t>
      </w:r>
    </w:p>
    <w:p>
      <w:pPr>
        <w:spacing w:after="0" w:line="107"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Our wholly-owned subsidiary, PennantPark SBIC LP, was organized as a Delaware limited partnership in May 2010 and received a license from the SBA to operate as an SBIC under Section 301(c) of the Small Business Investment Act of 1958, as amended, or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$1.4 billion in debt and equity capital and has invested $2.0 billion in almost 200 companies with over 95 different financial sponsors through its managed funds.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1060" w:right="200" w:hanging="431"/>
        <w:spacing w:after="0" w:line="301"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14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1060" w:right="520" w:hanging="431"/>
        <w:spacing w:after="0" w:line="338" w:lineRule="auto"/>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on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60" w:hanging="431"/>
        <w:spacing w:after="0" w:line="296"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jc w:val="both"/>
        <w:ind w:left="1060" w:right="16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2004 and 2007, which will mature in the next few years. This supply of opportunities coupled with a lack of demand offers attractive risk-adjusted returns to investors.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43"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640" w:hanging="222"/>
        <w:spacing w:after="0"/>
        <w:tabs>
          <w:tab w:leader="none" w:pos="64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rFonts w:ascii="Arial" w:cs="Arial" w:eastAsia="Arial" w:hAnsi="Arial"/>
          <w:sz w:val="16"/>
          <w:szCs w:val="16"/>
          <w:b w:val="1"/>
          <w:bCs w:val="1"/>
          <w:i w:val="1"/>
          <w:iCs w:val="1"/>
          <w:color w:val="auto"/>
        </w:rPr>
      </w:pPr>
    </w:p>
    <w:p>
      <w:pPr>
        <w:ind w:left="640"/>
        <w:spacing w:after="0"/>
        <w:rPr>
          <w:rFonts w:ascii="Arial" w:cs="Arial" w:eastAsia="Arial" w:hAnsi="Arial"/>
          <w:sz w:val="16"/>
          <w:szCs w:val="16"/>
          <w:b w:val="1"/>
          <w:bCs w:val="1"/>
          <w:i w:val="1"/>
          <w:iCs w:val="1"/>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2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6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We maintain a multi-currency $380.0 million senior secured Credit Facility, which is secured by substantially all of our investment portfolio assets (excluding the assets of SBIC LP). As of June 30, 2012 and September 30, 2011, there was $185.1 million (including a temporary draw of $0.9 million) and $240.9 million, respectively, in outstanding borrowings under the Credit Facility, with a weighted average interest rate at the time of 3.01% and 1.27%, exclusive of the fee on undrawn commitments of 0.50% and 0.20%, respectively. The Credit Facility is a four-year revolving facility, with a stated maturity date of February 21, 2016, with a one-year</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306" w:lineRule="auto"/>
        <w:rPr>
          <w:sz w:val="20"/>
          <w:szCs w:val="20"/>
          <w:color w:val="auto"/>
        </w:rPr>
      </w:pPr>
      <w:r>
        <w:rPr>
          <w:rFonts w:ascii="Arial" w:cs="Arial" w:eastAsia="Arial" w:hAnsi="Arial"/>
          <w:sz w:val="16"/>
          <w:szCs w:val="16"/>
          <w:color w:val="auto"/>
        </w:rPr>
        <w:t>term-out period following its third year and pricing is set at 275 basis points over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w:t>
      </w:r>
    </w:p>
    <w:p>
      <w:pPr>
        <w:spacing w:after="0" w:line="107" w:lineRule="exact"/>
        <w:rPr>
          <w:sz w:val="20"/>
          <w:szCs w:val="20"/>
          <w:color w:val="auto"/>
        </w:rPr>
      </w:pPr>
    </w:p>
    <w:p>
      <w:pPr>
        <w:ind w:left="200" w:right="200" w:firstLine="443"/>
        <w:spacing w:after="0" w:line="256" w:lineRule="auto"/>
        <w:rPr>
          <w:sz w:val="20"/>
          <w:szCs w:val="20"/>
          <w:color w:val="auto"/>
        </w:rPr>
      </w:pPr>
      <w:r>
        <w:rPr>
          <w:rFonts w:ascii="Arial" w:cs="Arial" w:eastAsia="Arial" w:hAnsi="Arial"/>
          <w:sz w:val="18"/>
          <w:szCs w:val="18"/>
          <w:color w:val="auto"/>
        </w:rPr>
        <w:t>As of June 30, 2012, SBIC LP had drawn $150.0 million, with a weighted average interest rate of 3.70%, exclusive of 3.43% of upfront fees (4.04% after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w:t>
      </w:r>
    </w:p>
    <w:p>
      <w:pPr>
        <w:spacing w:after="0" w:line="143"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43" w:lineRule="exact"/>
        <w:rPr>
          <w:sz w:val="20"/>
          <w:szCs w:val="20"/>
          <w:color w:val="auto"/>
        </w:rPr>
      </w:pPr>
    </w:p>
    <w:p>
      <w:pPr>
        <w:ind w:left="200" w:right="80" w:firstLine="443"/>
        <w:spacing w:after="0" w:line="306" w:lineRule="auto"/>
        <w:rPr>
          <w:sz w:val="20"/>
          <w:szCs w:val="20"/>
          <w:color w:val="auto"/>
        </w:rPr>
      </w:pPr>
      <w:r>
        <w:rPr>
          <w:rFonts w:ascii="Arial" w:cs="Arial" w:eastAsia="Arial" w:hAnsi="Arial"/>
          <w:sz w:val="16"/>
          <w:szCs w:val="16"/>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in the accompanying prospectus for more information.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may use the net proceeds from selling securities pursuant to this prospectus supplement to reduce outstanding obligations under our Credit Facility, to invest in new or existing portfolio companies or for other general corporate purposes. See “Use of Proceeds” in this prospectus supplement for information regarding our outstanding borrowings as of June 30, 2012, the corresponding interest rate charged on such borrowings as of that date and the length of time that it may take us to invest any proceeds in new or existing portfolio companies.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68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3168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00" w:firstLine="443"/>
        <w:spacing w:after="0" w:line="332" w:lineRule="auto"/>
        <w:rPr>
          <w:sz w:val="20"/>
          <w:szCs w:val="20"/>
          <w:color w:val="auto"/>
        </w:rPr>
      </w:pPr>
      <w:r>
        <w:rPr>
          <w:rFonts w:ascii="Arial" w:cs="Arial" w:eastAsia="Arial" w:hAnsi="Arial"/>
          <w:sz w:val="16"/>
          <w:szCs w:val="16"/>
          <w:color w:val="auto"/>
        </w:rPr>
        <w:t>We intend to continue to distribute quarterly dividends to our common stockholders. Our quarterly dividends, if any, are determined by our board of directors. See “Distributions” in the accompanying prospectus and “Price Range of Common Stock” in this prospectus supplement for more information.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3.50%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0.34%</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3.17%</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2.72%</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2.24%</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1.56%</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9.69%</w:t>
            </w:r>
            <w:r>
              <w:rPr>
                <w:rFonts w:ascii="Arial" w:cs="Arial" w:eastAsia="Arial" w:hAnsi="Arial"/>
                <w:sz w:val="11"/>
                <w:szCs w:val="11"/>
                <w:color w:val="auto"/>
                <w:w w:val="8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underwriting discounts and commissions with respect to the shares sold in this offering, which is a one-time fee, is the only sales load paid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$330,000 and is based on the offering of 9,000,000 shares at the offering price of $10.82 per share.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at June 30, 2012 plus the anticipated net proceeds from this offering.</w:t>
      </w:r>
    </w:p>
    <w:p>
      <w:pPr>
        <w:spacing w:after="0" w:line="55"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total assets. See “Certain Relationships and Transactions—Investment Management Agreement” in the accompanying prospectus.</w:t>
      </w:r>
    </w:p>
    <w:p>
      <w:pPr>
        <w:spacing w:after="0" w:line="43" w:lineRule="exact"/>
        <w:rPr>
          <w:rFonts w:ascii="Arial" w:cs="Arial" w:eastAsia="Arial" w:hAnsi="Arial"/>
          <w:sz w:val="14"/>
          <w:szCs w:val="14"/>
          <w:color w:val="auto"/>
        </w:rPr>
      </w:pPr>
    </w:p>
    <w:p>
      <w:pPr>
        <w:ind w:left="340" w:hanging="332"/>
        <w:spacing w:after="0" w:line="266"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June 30,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June 30, 2012,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June 30, 2012. For more detailed information about the incentive fee, please see “Certain Relationships and Transactions-Investment Management Agreement” in the accompanying prospectus for more information.</w:t>
      </w:r>
    </w:p>
    <w:p>
      <w:pPr>
        <w:spacing w:after="0" w:line="32" w:lineRule="exact"/>
        <w:rPr>
          <w:rFonts w:ascii="Arial" w:cs="Arial" w:eastAsia="Arial" w:hAnsi="Arial"/>
          <w:sz w:val="12"/>
          <w:szCs w:val="12"/>
          <w:color w:val="auto"/>
        </w:rPr>
      </w:pPr>
    </w:p>
    <w:p>
      <w:pPr>
        <w:ind w:left="340" w:right="40" w:hanging="332"/>
        <w:spacing w:after="0" w:line="270"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June 30, 2012, we had $194.9 million of unused borrowing capacity, subject to maintenance of the applicable total assets to debt ratio of 200%, and $185.1 million in borrowings outstanding under our $380.0 million Credit Facility. As of June 30, 2012, SBIC LP had $150.0 million outstanding with a weighted average interest rate of 3.70%, exclusive of the 3.43% of upfront fees (4.04% inclusive of the 3.43% upfront fee).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27" w:lineRule="exact"/>
        <w:rPr>
          <w:rFonts w:ascii="Arial" w:cs="Arial" w:eastAsia="Arial" w:hAnsi="Arial"/>
          <w:sz w:val="12"/>
          <w:szCs w:val="12"/>
          <w:color w:val="auto"/>
        </w:rPr>
      </w:pPr>
    </w:p>
    <w:p>
      <w:pPr>
        <w:ind w:left="34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2012 annualized for a full year. See the Consolidated Statement of Operations in our Consolidated Financial Statements in this prospectus supplement and in the accompanying prospectus for more information.</w:t>
      </w:r>
    </w:p>
    <w:p>
      <w:pPr>
        <w:spacing w:after="0" w:line="44" w:lineRule="exact"/>
        <w:rPr>
          <w:rFonts w:ascii="Arial" w:cs="Arial" w:eastAsia="Arial" w:hAnsi="Arial"/>
          <w:sz w:val="14"/>
          <w:szCs w:val="14"/>
          <w:color w:val="auto"/>
        </w:rPr>
      </w:pPr>
    </w:p>
    <w:p>
      <w:pPr>
        <w:ind w:left="340" w:right="340" w:hanging="332"/>
        <w:spacing w:after="0" w:line="23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right="140"/>
        <w:spacing w:after="0" w:line="233" w:lineRule="auto"/>
        <w:rPr>
          <w:sz w:val="20"/>
          <w:szCs w:val="20"/>
          <w:color w:val="auto"/>
        </w:rPr>
      </w:pPr>
      <w:r>
        <w:rPr>
          <w:rFonts w:ascii="Arial" w:cs="Arial" w:eastAsia="Arial" w:hAnsi="Arial"/>
          <w:sz w:val="14"/>
          <w:szCs w:val="14"/>
          <w:color w:val="auto"/>
        </w:rPr>
        <w:t>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6.97%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$ 105</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$ 234</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$ 357</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646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prospectus supplement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condition and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the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SEC including annual and quarterly reports on Form 10-K/Q and current reports on Form 8-K.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understand that, under Sections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estimate that the net proceeds we will receive from the sale of 9,000,000 shares of our common stock in this offering will be approximately $93.6 million (or approximately $107.7 million if the underwriters fully exercise their option to purchase additional shares), in each case based on a public offering price of $10.82 per share, after deducting the underwriting discounts and commissions of approximately $3.4 million (or approximately $3.9 million if the underwriters fully exercise their option to purchase additional shares) payable by us and estimated offering expenses of approximately $330,000 payable by us.</w:t>
      </w:r>
    </w:p>
    <w:p>
      <w:pPr>
        <w:spacing w:after="0" w:line="9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June 30, 2012, we had $194.9 million of unused borrowing capacity, subject to maintenance of the applicable total assets to debt ratio of 200%, and $185.1 million in borrowings outstanding under our $380.0 million Credit Facility. Borrowings under our Credit Facility bear interest at an annual rate equal to LIBOR plus 275 basis points per annum. At June 30, 2012, we had a weighted average interest rate on our Credit Facility at the time of 3.01%. The Credit Facility is a revolving facility with a stated maturity date of February 21, 2016 and is secured by substantially all of the assets in our investment portfolio, excluding assets of SBIC LP. Amounts repaid under our Credit Facility remain available for future borrowings. See “Management’s Discussion and Analysis of Financial Condition and Results of Operations” in this prospectus supplement and in the accompanying prospectus for more information.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sets forth our cash and capitalization on June 30, 2012 (1) on an actual basis and (2) on an as-adjusted basis to reflect the effects of the sale of 9,000,000 shares of our common stock based on the public offering price of $10.82 per share ($10.44 per share net of the sales load) and $330,000 of offering expenses.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As of June 30, 2012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76"/>
              <w:spacing w:after="0" w:line="115" w:lineRule="exact"/>
              <w:rPr>
                <w:sz w:val="20"/>
                <w:szCs w:val="20"/>
                <w:color w:val="auto"/>
              </w:rPr>
            </w:pPr>
            <w:r>
              <w:rPr>
                <w:rFonts w:ascii="Arial" w:cs="Arial" w:eastAsia="Arial" w:hAnsi="Arial"/>
                <w:sz w:val="12"/>
                <w:szCs w:val="12"/>
                <w:b w:val="1"/>
                <w:bCs w:val="1"/>
                <w:color w:val="auto"/>
              </w:rPr>
              <w:t>As adjusted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5"/>
                <w:szCs w:val="15"/>
                <w:color w:val="auto"/>
              </w:rPr>
            </w:pPr>
          </w:p>
        </w:tc>
        <w:tc>
          <w:tcPr>
            <w:tcW w:w="1240" w:type="dxa"/>
            <w:vAlign w:val="bottom"/>
            <w:gridSpan w:val="2"/>
          </w:tcPr>
          <w:p>
            <w:pPr>
              <w:jc w:val="right"/>
              <w:ind w:right="340"/>
              <w:spacing w:after="0" w:line="176" w:lineRule="exact"/>
              <w:rPr>
                <w:sz w:val="20"/>
                <w:szCs w:val="20"/>
                <w:color w:val="auto"/>
              </w:rPr>
            </w:pPr>
            <w:r>
              <w:rPr>
                <w:rFonts w:ascii="Arial" w:cs="Arial" w:eastAsia="Arial" w:hAnsi="Arial"/>
                <w:sz w:val="13"/>
                <w:szCs w:val="13"/>
                <w:b w:val="1"/>
                <w:bCs w:val="1"/>
                <w:color w:val="auto"/>
              </w:rPr>
              <w:t>the offering</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9,316,015</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102,957,715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992,159,718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1,085,801,418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(cost—$185,100,000)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184,179,000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184,179,000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Borrowings under SBA debentures (cost—$150,000,000)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150,000,000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88"/>
              </w:rPr>
              <w:t>Common stock, 56,367,339 and 65,367,339 shares, as-adjusted, are issued and outstanding, respectively. Par value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is $0.001 per share and 100,000,000 shares are authorized.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56,367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in excess of par value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649,247,207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742,879,907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4,339,635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4,339,635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(60,156,848)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(60,156,848)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(21,745,852)</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(21,745,852)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921,000</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572,661,509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666,303,209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906,840,509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1,000,482,209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option to purchase additional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the beginning of fiscal year end September 30, 2008. On September 24, 2012, the last reported closing price of our common stock was $11.10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Premium/</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Premium/</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Closing Sales Price</w:t>
            </w: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1400" w:type="dxa"/>
            <w:vAlign w:val="bottom"/>
            <w:gridSpan w:val="2"/>
            <w:vMerge w:val="restart"/>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High Sales</w:t>
            </w:r>
          </w:p>
        </w:tc>
        <w:tc>
          <w:tcPr>
            <w:tcW w:w="116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Low Sales</w:t>
            </w: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9"/>
              </w:rPr>
              <w:t>Price to</w:t>
            </w: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5"/>
              </w:rPr>
              <w:t>Price to</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49"/>
        </w:trPr>
        <w:tc>
          <w:tcPr>
            <w:tcW w:w="38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0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2"/>
                <w:szCs w:val="12"/>
                <w:color w:val="auto"/>
              </w:rPr>
            </w:pPr>
          </w:p>
        </w:tc>
        <w:tc>
          <w:tcPr>
            <w:tcW w:w="104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Low</w:t>
            </w:r>
          </w:p>
        </w:tc>
        <w:tc>
          <w:tcPr>
            <w:tcW w:w="1400" w:type="dxa"/>
            <w:vAlign w:val="bottom"/>
            <w:gridSpan w:val="2"/>
          </w:tcPr>
          <w:p>
            <w:pPr>
              <w:jc w:val="center"/>
              <w:ind w:right="660"/>
              <w:spacing w:after="0" w:line="129"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4"/>
                <w:szCs w:val="14"/>
                <w:b w:val="1"/>
                <w:bCs w:val="1"/>
                <w:color w:val="auto"/>
                <w:vertAlign w:val="superscript"/>
              </w:rPr>
              <w:t>(2)</w:t>
            </w:r>
          </w:p>
        </w:tc>
        <w:tc>
          <w:tcPr>
            <w:tcW w:w="1160" w:type="dxa"/>
            <w:vAlign w:val="bottom"/>
            <w:gridSpan w:val="2"/>
          </w:tcPr>
          <w:p>
            <w:pPr>
              <w:jc w:val="center"/>
              <w:ind w:right="400"/>
              <w:spacing w:after="0" w:line="129"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4"/>
                <w:szCs w:val="14"/>
                <w:b w:val="1"/>
                <w:bCs w:val="1"/>
                <w:color w:val="auto"/>
                <w:vertAlign w:val="superscript"/>
              </w:rPr>
              <w:t>(2)</w:t>
            </w: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Fiscal year ending September 30, 2012</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Fourth quarter (as of September 24, 2012)</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$ 11.44</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$10.36</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0.28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10.38</w:t>
            </w:r>
          </w:p>
        </w:tc>
        <w:tc>
          <w:tcPr>
            <w:tcW w:w="500" w:type="dxa"/>
            <w:vAlign w:val="bottom"/>
          </w:tcPr>
          <w:p>
            <w:pPr>
              <w:jc w:val="right"/>
              <w:spacing w:after="0"/>
              <w:rPr>
                <w:sz w:val="20"/>
                <w:szCs w:val="20"/>
                <w:color w:val="auto"/>
              </w:rPr>
            </w:pPr>
            <w:r>
              <w:rPr>
                <w:rFonts w:ascii="Arial" w:cs="Arial" w:eastAsia="Arial" w:hAnsi="Arial"/>
                <w:sz w:val="18"/>
                <w:szCs w:val="18"/>
                <w:color w:val="auto"/>
              </w:rPr>
              <w:t>11.23</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10.31</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11.08</w:t>
            </w: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10.97</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11.14</w:t>
            </w:r>
          </w:p>
        </w:tc>
        <w:tc>
          <w:tcPr>
            <w:tcW w:w="500" w:type="dxa"/>
            <w:vAlign w:val="bottom"/>
          </w:tcPr>
          <w:p>
            <w:pPr>
              <w:jc w:val="right"/>
              <w:spacing w:after="0"/>
              <w:rPr>
                <w:sz w:val="20"/>
                <w:szCs w:val="20"/>
                <w:color w:val="auto"/>
              </w:rPr>
            </w:pPr>
            <w:r>
              <w:rPr>
                <w:rFonts w:ascii="Arial" w:cs="Arial" w:eastAsia="Arial" w:hAnsi="Arial"/>
                <w:sz w:val="18"/>
                <w:szCs w:val="18"/>
                <w:color w:val="auto"/>
              </w:rPr>
              <w:t>12.75</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10.60</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10.69</w:t>
            </w:r>
          </w:p>
        </w:tc>
        <w:tc>
          <w:tcPr>
            <w:tcW w:w="500" w:type="dxa"/>
            <w:vAlign w:val="bottom"/>
          </w:tcPr>
          <w:p>
            <w:pPr>
              <w:jc w:val="right"/>
              <w:spacing w:after="0"/>
              <w:rPr>
                <w:sz w:val="20"/>
                <w:szCs w:val="20"/>
                <w:color w:val="auto"/>
              </w:rPr>
            </w:pPr>
            <w:r>
              <w:rPr>
                <w:rFonts w:ascii="Arial" w:cs="Arial" w:eastAsia="Arial" w:hAnsi="Arial"/>
                <w:sz w:val="18"/>
                <w:szCs w:val="18"/>
                <w:color w:val="auto"/>
              </w:rPr>
              <w:t>10.69</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9.17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11.07</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8.88</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7.63</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6.28</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11.72</w:t>
            </w: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3.85</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2.64</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10.24</w:t>
            </w: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2.35</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5.92</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7.05</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20" w:type="dxa"/>
            <w:vAlign w:val="bottom"/>
            <w:gridSpan w:val="3"/>
          </w:tcPr>
          <w:p>
            <w:pPr>
              <w:jc w:val="right"/>
              <w:ind w:right="540"/>
              <w:spacing w:after="0"/>
              <w:rPr>
                <w:sz w:val="20"/>
                <w:szCs w:val="20"/>
                <w:color w:val="auto"/>
              </w:rPr>
            </w:pPr>
            <w:r>
              <w:rPr>
                <w:rFonts w:ascii="Arial" w:cs="Arial" w:eastAsia="Arial" w:hAnsi="Arial"/>
                <w:sz w:val="18"/>
                <w:szCs w:val="18"/>
                <w:color w:val="auto"/>
              </w:rPr>
              <w:t>10.26</w:t>
            </w:r>
          </w:p>
        </w:tc>
        <w:tc>
          <w:tcPr>
            <w:tcW w:w="500" w:type="dxa"/>
            <w:vAlign w:val="bottom"/>
          </w:tcPr>
          <w:p>
            <w:pPr>
              <w:jc w:val="right"/>
              <w:spacing w:after="0"/>
              <w:rPr>
                <w:sz w:val="20"/>
                <w:szCs w:val="20"/>
                <w:color w:val="auto"/>
              </w:rPr>
            </w:pPr>
            <w:r>
              <w:rPr>
                <w:rFonts w:ascii="Arial" w:cs="Arial" w:eastAsia="Arial" w:hAnsi="Arial"/>
                <w:sz w:val="18"/>
                <w:szCs w:val="18"/>
                <w:color w:val="auto"/>
              </w:rPr>
              <w:t>11.31</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8.38</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Payable on October 1, 2012 to shareholders of record as of September 20, 2012. Shares purchased in this offering will not be entitled to the dividend to be paid on October 1, 2012.</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traded on the NASDAQ Global Select Market at $10.35 and $8.92 as of June 30, 2012 and September 30, 2011, respectively. Our NAV was $10.16 and $10.13 per share, as of June 30, 2012 and September 30, 2011,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and 2008, and for the period from January 11, 2007 (inception) through September 30, 2007 are derived from our Consolidated Financial Statements which have been audited by KPMG LLP, our independent registered public accounting firm. These selected financial data should be read in conjunction with our Consolidated Financial Statements and related notes thereto and “Management’s Discussion and Analysis of Financial Condition and Results of Operations” in the accompanying prospectus. Interim results as of and for the nine months ended June 30, 2012, are not necessarily indicative of the results that may be expected for the year ending September 30, 2012. The unaudited selected financial data for the nine months ended June 30, 2012 and 2011, should be read in conjunction with our consolidated financial statements and related notes thereto and “Management’s Discussion and Analysis of Financial Condition and Results of Operations” in this prospectus supplement.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(inception)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Ended 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0"/>
              </w:rPr>
              <w:t>Years ended September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5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4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7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8"/>
              </w:rPr>
              <w:t>$ 82,586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$ 65,599</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$ 91,738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$ 60,140</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8"/>
              </w:rPr>
              <w:t>$ 45,119</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$ 39,811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expenses before base management fee waiver</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42,259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28,049</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39,093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28,065</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22,400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1"/>
                <w:szCs w:val="11"/>
                <w:color w:val="auto"/>
              </w:rPr>
              <w:t>Net expenses after base management fee waiver</w:t>
            </w:r>
            <w:r>
              <w:rPr>
                <w:rFonts w:ascii="Arial" w:cs="Arial" w:eastAsia="Arial" w:hAnsi="Arial"/>
                <w:sz w:val="17"/>
                <w:szCs w:val="17"/>
                <w:color w:val="auto"/>
                <w:vertAlign w:val="superscript"/>
              </w:rPr>
              <w:t>(1)</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42,259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28,049</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39,093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28,065</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22,400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21,255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40,327</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37,550</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52,645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32,075</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22,719</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5,336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3,878</w:t>
            </w:r>
          </w:p>
        </w:tc>
        <w:tc>
          <w:tcPr>
            <w:tcW w:w="4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(42,382)</w:t>
            </w: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(15,539)</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13,083</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(59,259)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increase/(decrease) in net assets resulting from operations</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45,663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41,428</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10,263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16,535</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35,802</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(16,699)</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10.16</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11.08</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10.13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11.85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0.78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0.92</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1.08</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realized and unrealized (loss) gain</w:t>
            </w:r>
            <w:r>
              <w:rPr>
                <w:rFonts w:ascii="Arial" w:cs="Arial" w:eastAsia="Arial" w:hAnsi="Arial"/>
                <w:sz w:val="17"/>
                <w:szCs w:val="17"/>
                <w:color w:val="auto"/>
                <w:vertAlign w:val="superscript"/>
              </w:rPr>
              <w:t>(2)</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0.10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w:t>
            </w:r>
          </w:p>
        </w:tc>
        <w:tc>
          <w:tcPr>
            <w:tcW w:w="11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(0.53)</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0.62</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1"/>
                <w:szCs w:val="11"/>
                <w:color w:val="auto"/>
              </w:rPr>
              <w:t>Net increase/(decrease) in net assets resulting from operations</w:t>
            </w:r>
            <w:r>
              <w:rPr>
                <w:rFonts w:ascii="Arial" w:cs="Arial" w:eastAsia="Arial" w:hAnsi="Arial"/>
                <w:sz w:val="17"/>
                <w:szCs w:val="17"/>
                <w:color w:val="auto"/>
                <w:vertAlign w:val="superscript"/>
              </w:rPr>
              <w:t>(2)</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0.88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0.24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0.56</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(2),(6)</w:t>
            </w:r>
          </w:p>
        </w:tc>
        <w:tc>
          <w:tcPr>
            <w:tcW w:w="7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(0.86)</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(0.83)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11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(1.09)</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(0.96)</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w w:val="95"/>
              </w:rPr>
              <w:t>Consolidated Statement of Assets and Liabilities data (at period end):</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4"/>
              </w:rPr>
              <w:t>992,160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817,593</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928,738</w:t>
            </w:r>
          </w:p>
        </w:tc>
        <w:tc>
          <w:tcPr>
            <w:tcW w:w="11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711,494</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512,381</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419,811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555,008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4"/>
              </w:rPr>
              <w:t>929,107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778,944</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8"/>
              </w:rPr>
              <w:t>827,549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664,724</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469,760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372,148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outstanding</w:t>
            </w:r>
          </w:p>
        </w:tc>
        <w:tc>
          <w:tcPr>
            <w:tcW w:w="780" w:type="dxa"/>
            <w:vAlign w:val="bottom"/>
            <w:shd w:val="clear" w:color="auto" w:fill="CCEEFF"/>
          </w:tcPr>
          <w:p>
            <w:pPr>
              <w:jc w:val="right"/>
              <w:ind w:right="73"/>
              <w:spacing w:after="0" w:line="149" w:lineRule="exact"/>
              <w:rPr>
                <w:sz w:val="20"/>
                <w:szCs w:val="20"/>
                <w:color w:val="auto"/>
              </w:rPr>
            </w:pPr>
            <w:r>
              <w:rPr>
                <w:rFonts w:ascii="Arial" w:cs="Arial" w:eastAsia="Arial" w:hAnsi="Arial"/>
                <w:sz w:val="11"/>
                <w:szCs w:val="11"/>
                <w:color w:val="auto"/>
              </w:rPr>
              <w:t>334,179</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230,650</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388,792</w:t>
            </w:r>
            <w:r>
              <w:rPr>
                <w:rFonts w:ascii="Arial" w:cs="Arial" w:eastAsia="Arial" w:hAnsi="Arial"/>
                <w:sz w:val="17"/>
                <w:szCs w:val="17"/>
                <w:color w:val="auto"/>
                <w:vertAlign w:val="superscript"/>
              </w:rPr>
              <w:t>(5)</w:t>
            </w:r>
          </w:p>
        </w:tc>
        <w:tc>
          <w:tcPr>
            <w:tcW w:w="11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1"/>
                <w:szCs w:val="11"/>
                <w:color w:val="auto"/>
              </w:rPr>
              <w:t>233,641</w:t>
            </w:r>
            <w:r>
              <w:rPr>
                <w:rFonts w:ascii="Arial" w:cs="Arial" w:eastAsia="Arial" w:hAnsi="Arial"/>
                <w:sz w:val="17"/>
                <w:szCs w:val="17"/>
                <w:color w:val="auto"/>
                <w:vertAlign w:val="superscript"/>
              </w:rPr>
              <w:t>(5)</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1"/>
                <w:szCs w:val="11"/>
                <w:color w:val="auto"/>
              </w:rPr>
              <w:t>175,475</w:t>
            </w:r>
            <w:r>
              <w:rPr>
                <w:rFonts w:ascii="Arial" w:cs="Arial" w:eastAsia="Arial" w:hAnsi="Arial"/>
                <w:sz w:val="17"/>
                <w:szCs w:val="17"/>
                <w:color w:val="auto"/>
                <w:vertAlign w:val="superscript"/>
              </w:rPr>
              <w:t>(5)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202,000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56,935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61,314</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55,705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74,988</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25,821</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273,334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w:t>
            </w:r>
          </w:p>
        </w:tc>
        <w:tc>
          <w:tcPr>
            <w:tcW w:w="78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4"/>
              </w:rPr>
              <w:t>572,662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504,939</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462,657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386,575</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300,580</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210,728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270,393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Other data:</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p>
        </w:tc>
        <w:tc>
          <w:tcPr>
            <w:tcW w:w="78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25.70%</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13.00%</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(7.37)%</w:t>
            </w:r>
          </w:p>
        </w:tc>
        <w:tc>
          <w:tcPr>
            <w:tcW w:w="11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44.79%</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30.39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(4)</w:t>
            </w:r>
          </w:p>
        </w:tc>
        <w:tc>
          <w:tcPr>
            <w:tcW w:w="7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42</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Yield on debt portfolio (at period end)</w:t>
            </w:r>
            <w:r>
              <w:rPr>
                <w:rFonts w:ascii="Arial" w:cs="Arial" w:eastAsia="Arial" w:hAnsi="Arial"/>
                <w:sz w:val="17"/>
                <w:szCs w:val="17"/>
                <w:color w:val="auto"/>
                <w:vertAlign w:val="superscript"/>
              </w:rPr>
              <w:t>(4)</w:t>
            </w:r>
          </w:p>
        </w:tc>
        <w:tc>
          <w:tcPr>
            <w:tcW w:w="78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13.3%</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13.1%</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11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12.7%</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base management fee waiver was in effect from inception through March 31,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55"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Unaudited.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29,385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26,362</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26,839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15,571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9,759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16,638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26,397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8"/>
              </w:rPr>
              <w:t>Net increase in net assets resulting from operations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10.16</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65"/>
        </w:trPr>
        <w:tc>
          <w:tcPr>
            <w:tcW w:w="5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26,139</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22,908</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22,712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15,095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13,220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13,159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11,171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(10,901)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14,351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9"/>
              </w:rPr>
              <w:t>Net (decrease) increase in net assets resulting from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13,587</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25,522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8"/>
              </w:rPr>
              <w:t>Net increase in net assets resulting from operations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11.30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365"/>
        </w:trPr>
        <w:tc>
          <w:tcPr>
            <w:tcW w:w="5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16,681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16,335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13,525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8,957</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8,821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7,059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(10,090)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9"/>
              </w:rPr>
              <w:t>Net increase (decrease) in net assets resulting from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6,630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4,260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8"/>
              </w:rPr>
              <w:t>Net increase in net assets resulting from operations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10.69</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11.07</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5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11,847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10,770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10,425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6,018</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5,666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5,267</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20,162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36,932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(37,525)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9"/>
              </w:rPr>
              <w:t>Net increase (decrease) in net assets resulting from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26,180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42,199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(31,757)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88"/>
              </w:rPr>
              <w:t>Net increase in net assets resulting from operations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11.72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3"/>
        </w:trPr>
        <w:tc>
          <w:tcPr>
            <w:tcW w:w="5020" w:type="dxa"/>
            <w:vAlign w:val="bottom"/>
          </w:tcPr>
          <w:p>
            <w:pPr>
              <w:spacing w:after="0"/>
              <w:rPr>
                <w:sz w:val="24"/>
                <w:szCs w:val="24"/>
                <w:color w:val="auto"/>
              </w:rPr>
            </w:pPr>
          </w:p>
        </w:tc>
        <w:tc>
          <w:tcPr>
            <w:tcW w:w="1100" w:type="dxa"/>
            <w:vAlign w:val="bottom"/>
            <w:gridSpan w:val="2"/>
          </w:tcPr>
          <w:p>
            <w:pPr>
              <w:jc w:val="right"/>
              <w:ind w:right="623"/>
              <w:spacing w:after="0"/>
              <w:rPr>
                <w:sz w:val="20"/>
                <w:szCs w:val="20"/>
                <w:color w:val="auto"/>
              </w:rPr>
            </w:pPr>
            <w:r>
              <w:rPr>
                <w:rFonts w:ascii="Arial" w:cs="Arial" w:eastAsia="Arial" w:hAnsi="Arial"/>
                <w:sz w:val="18"/>
                <w:szCs w:val="18"/>
                <w:color w:val="auto"/>
                <w:w w:val="99"/>
              </w:rPr>
              <w:t>S-16</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11,431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5,434</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4,449</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(16,475)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11,263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(37,778)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(11,041)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15,204</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(33,329)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5"/>
        </w:trPr>
        <w:tc>
          <w:tcPr>
            <w:tcW w:w="6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9"/>
              </w:rPr>
              <w:t>Q2*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4,348</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(18,870)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(5,152)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(14,522)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12.83</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wholly owned subsidiary, SBIC LP, was organized as a Delaware limited partnership in May 2010 and received a license from the SBA to operate as an SBIC under Section 301(c) of the 1958 Act in July 2010. SBIC LP’s objective is to generate both current income and capital appreciation through debt and equity investments generally, investing with us in SBA eligible businesses that meet the investment criteria used by PennantPark Investment.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 activities are managed by the Investment Adviser. Under the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the Administration Agreement with the Administrator. Under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the Investment Adviser, supervise our activities.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2012, our portfolio totaled $929.1 million and consisted of $285.8 million of senior secured loans, $150.1 million of second lien secured debt, $401.5 million of subordinated debt and $91.7 million of preferred and common equity investments. Our debt portfolio consisted of 68% fixed-rate and 32% variable-rate investments (including 27% with a LIBOR or prime floor). As of June 30, 2012, we had two non-accrual debt investments, representing 2% and 7% of our overall portfolio on a market value and cost basis, respectively. Our overall portfolio consisted of 51 companies with an average investment size of $18.2 million, had a weighted average yield on debt investments of 13.3%, and was invested 31% in senior secured loans, 16% in second lien secured debt, 43% in subordinated debt and 10% in preferred and common equity investments.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investments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For the three months ended June 30, 2012, we invested $89.9 million in three new and two existing portfolio companies with a weighted average yield on debt investments of 13.0%. Sales and repayments of long-term investments for the three months ended June 30, 2012 totaled $55.3 million. For the nine months ended June 30, 2012, we invested approximately $243.8 million in nine new and 13 existing portfolio companies with a weighted average yield of 13.7% on debt investments. Sales and repayments of long-term investments totaled $173.8 million for the same period.</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months ended June 30, 2011, we invested $145.5 million in three new and four existing portfolio companies with a weighted average yield on debt investments of 13.5%. Sales and repayments of long-term investments for the three months ended June 30, 2011 totaled $119.3 million. For the nine months ended June 30, 2011, we invested approximately $342.0 million in 13 new and seven existing portfolio companies with a weighted average yield of 13.9% on debt investments. Sales and repayments of long-term investments totaled $256.4 million for the same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discussion of our financial condition and results of operations is based upon our Consolidated Financial Statements, which have been prepared in accordance with U.S. generally accepted accounting principles, or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impacting Level 3 of the fair value hierarchy are reported as transfers in or out of the Level 3 category as of the end of the quarter in which the reclassifications occur. During the nine months ended June 30, 2012, our ability to observe valuation inputs has resulted in no reclassification of assets from Level 3 to 2. There were no investments transferred between Levels 1 and 2 for the same period.</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accordance with Accounting Standards Update 2011-04,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and nine months ended June 30, 2012 and 2011, our Credit Facility had a net change in unrealized depreciation (appreciation) of $0.2 million and $(1.2) million and $0.6 million and $11.9 million, respectively. As of June 30, 2012 and September 30, 2011, net unrealized appreciation on our Credit Facility totaled $0.9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54"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Investment income for the three and nine months ended June 30, 2012 was $29.4 million and $82.6 million, respectively, and was attributable to $9.2 million and $30.0 million from senior secured loans, $4.8 million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$13.3 million from second lien secured debt investments and $15.4 million and $39.3 million from subordinated debt investments, respectively. This compares to investment income for the three and nine months ended June 30, 2011, which was $22.9 million and $65.6 million, respectively, and was primarily attributable to $7.7 million and $22.8 million from senior secured loans, $3.5 million and $9.5 million from second lien secured debt investments and $8.5 million and $24.8 million from subordinated debt investments, respectively. The increase in investment income compared with the same period in the prior year is due to the growth of our portfolio, which is the result of deploying both equity from our follow-on offering and debt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Expenses for the three and nine months ended June 30, 2012, totaled $13.8 million and $42.3 million, respectively. Base management fee for the same respective periods totaled $4.5 million and $12.7 million, performance-based incentive fees totaled $3.9 million and $10.0 million, Credit Facility and SBA debentures expenses (excluding the $5.4 million upfront fees associated with amending and extending our Credit Facility) totaled $3.2 million and $8.3 million, general and administrative expenses totaled $1.8 million and $5.3 million and excise taxes totaled $0.4 million and $0.6 million. This compares to expenses for the three and nine months ended June 30, 2011, which totaled $9.7 million and $28.1 million, respectively. Base management fee for the same respective periods totaled $3.8 million and $10.9 million, performance-based incentive fees totaled $3.3 million and $9.4 million, Credit Facility and SBA debentures expense totaled $1.3 million and $3.6 million, and general and administrative expenses totaled $1.3 million and $4.0 million, respectively, and excise tax totaled $0.2 million. The increase in expenses compared with the same period in the prior year is due to the growth of the portfolio and net investment income as well as the costs associated with amending and extended our Credit Facility. We expect the interest expense associated with our amended Credit Facility to be higher going forward resulting from an increase in the spread on the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investment income totaled $15.6 million and $40.3 million, or $0.28 and $0.78 per share, for the three and nine months ended June 30, 2012, respectively. For the same respective periods in the prior year, net investment income totaled $13.2 million and $37.5 million, or $0.29 and $0.92 per share. The decrease in per share net investment income over the periods was primarily the result of upfront expenses associated with amending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Sales and repayments of long-term investments for the three and nine months ended June 30, 2012 totaled $55.3 million and $173.8 million and realized gains (losses) totaled $1.4 million and $(10.5) million, respectively, primarily due to exiting and refinancing debt investments by our portfolio companies. Sales and repayments of long-term investments for the three and nine months ended June 30, 2011 totaled $119.3 million and $256.4 million and realized gains totaled $6.2 million and $8.7 million, respectively, due to sales of lower yielding investments and refinancing of debt investments by our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three and nine months ended June 30, 2012, we reported unrealized (depreciation) appreciation on investments of $(13.8) million and $17.0 million, respectively. For the three and nine months ended June 30, 2011, we reported unrealized (depreciation) appreciation of $(16.5) million and $7.1 million, respectively. The change in unrealized appreciation for current periods compared to the prior periods is the result of changes in the leveraged credit markets. On June 30, 2012 and September 30, 2011, our net unrealized depreciation on investments totaled $21.7 million and $38.8 million, respectively.</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the three and nine months ended June 30, 2012, our long-term Credit Facility payable increased (decreased) in value due to unrealized appreciation (depreciation) of $0.2 million and $(1.2)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respectively. For the three and nine months ended June 30, 2011, our long-term Credit Facility balance increased in value due to unrealized appreciation of $0.6 million and $11.9 million, respectively. The change in unrealized appreciation for current periods compared to the prior periods was the result of our prior Credit Facility approaching maturity. On June 30, 2012 and September 30, 2011, net unrealized depreciation on our long-term Credit Facility totaled $0.9 million and $2.1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increase in net assets resulting from operations totaled $3.4 million and $45.7 million, or $0.06 per share and $0.88 per share, respectively, for the three and nine months ended June 30, 2012. This compares to a net increase in net assets resulting from operations which totaled $2.3 million and $41.4 million, respectively, or $0.05 per share and $1.01 per share, respectively, for the three and nine months ended June 30, 2011. This increase in net assets from operations was due to both unrealized appreciation on investments and net investment income, which was partially offset by upfront fees on our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liquidity and capital resources are derived primarily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113"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On February 21, 2012, we amended and restated our multi-currency Credit Facility, which increased the size of the Credit Facility from $315.0 million to $380.0 million, with certain lenders and SunTrust Bank, acting as administrative agent and JPMorgan Chase Bank, N.A., as syndication agent for the lenders. As of June 30, 2012 and September 30, 2011, there was $185.1 million (including a temporary draw of $0.9 million) and $240.9 million, respectively, in outstanding borrowings under the Credit Facility, with a weighted average interest rate at the time of 3.01% and 1.27%, exclusive of the fee on undrawn commitments of</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0.50% and 0.20%, respectively. The Credit Facility is a four-year revolving facility with a stated maturity date of February 21, 2016, and a one-year term-out period following its third year. Borrowings under the Credit Facility bear interest at 275 basis points over LIBOR. The Credit Facility is secured by substantially all of our assets excluding assets held by our SBIC.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40" w:firstLine="8"/>
        <w:spacing w:after="0" w:line="252" w:lineRule="auto"/>
        <w:tabs>
          <w:tab w:leader="none" w:pos="2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June 30, 2012, we were in compliance with the terms of our Credit Facility.</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among other sources. Any future additional debt capital we incur, to the extent it is available under current credit market conditions, may be issued at a higher cost and on less favorable terms and conditions than our current Credit Facility. Furthermore, our Credit Facility availability depends on various covenants and restrictions. The primary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use of existing funds and any funds raised in the future is expected to be for repayment of indebtedness, investments in portfolio companies, cash distributions to our shareholders or for other general corporate purposes.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its asset coverage, as defined in the 1940 Act, is at least 200% after such borrowing. As of June 30, 2012, we excluded the principal amounts of our SBA debentures from our asset coverage ratio pursuant to SEC exemptive relief. Accordingly, our ratio of total assets on a consolidated basis to outstanding indebtedness may be less than 200%, which while providing increased investment flexibility, also increases our exposure to risks associated with leverage.</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For the nine months ended June 30, 2012 we sold 10.4 million shares of common stock at a price of $10.55 per share, resulting in net proceeds of $105.2 million. This compares to selling 9.2 million shares of our common stock at a price of $12.40 per share resulting in net proceeds of $108.3 million for the nine months ended June 30, 2011. In February 2012, we received approval from our shareholders to issue shares below the then current net asset value per share for a 12-month period.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SBIC LP has borrowed funds from the SBA against regulatory capital (which approximates equity capital) that is paid-in and is subject to customary regulatory requirements including but not limited to an examination by the SBA. We have committed and funded SBIC LP with $75.0 million of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SBIC LP has accessed the maximum borrowing permitted by the SBA with its $75.0 million in regulatory capital.</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2012,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June 30, 2012 and September 30, 2011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Fixed All-in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640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Issuance Dates</w:t>
            </w:r>
          </w:p>
        </w:tc>
        <w:tc>
          <w:tcPr>
            <w:tcW w:w="3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3"/>
                <w:szCs w:val="13"/>
                <w:b w:val="1"/>
                <w:bCs w:val="1"/>
                <w:color w:val="auto"/>
                <w:w w:val="96"/>
              </w:rPr>
              <w:t>Coupon Rate</w:t>
            </w:r>
            <w:r>
              <w:rPr>
                <w:rFonts w:ascii="Arial" w:cs="Arial" w:eastAsia="Arial" w:hAnsi="Arial"/>
                <w:sz w:val="20"/>
                <w:szCs w:val="20"/>
                <w:b w:val="1"/>
                <w:bCs w:val="1"/>
                <w:color w:val="auto"/>
                <w:w w:val="96"/>
                <w:vertAlign w:val="superscript"/>
              </w:rPr>
              <w:t>(1)</w:t>
            </w:r>
          </w:p>
        </w:tc>
        <w:tc>
          <w:tcPr>
            <w:tcW w:w="4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Principal Balance</w:t>
            </w:r>
          </w:p>
        </w:tc>
        <w:tc>
          <w:tcPr>
            <w:tcW w:w="120" w:type="dxa"/>
            <w:vAlign w:val="bottom"/>
            <w:tcBorders>
              <w:bottom w:val="single" w:sz="8" w:color="CCEEFF"/>
            </w:tcBorders>
          </w:tcPr>
          <w:p>
            <w:pPr>
              <w:spacing w:after="0"/>
              <w:rPr>
                <w:sz w:val="15"/>
                <w:szCs w:val="15"/>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6"/>
              </w:rPr>
              <w:t>September 1, 2020</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March 29, 2011</w:t>
            </w:r>
          </w:p>
        </w:tc>
        <w:tc>
          <w:tcPr>
            <w:tcW w:w="2180" w:type="dxa"/>
            <w:vAlign w:val="bottom"/>
            <w:gridSpan w:val="3"/>
          </w:tcPr>
          <w:p>
            <w:pPr>
              <w:ind w:left="340"/>
              <w:spacing w:after="0"/>
              <w:rPr>
                <w:sz w:val="20"/>
                <w:szCs w:val="20"/>
                <w:color w:val="auto"/>
              </w:rPr>
            </w:pPr>
            <w:r>
              <w:rPr>
                <w:rFonts w:ascii="Arial" w:cs="Arial" w:eastAsia="Arial" w:hAnsi="Arial"/>
                <w:sz w:val="18"/>
                <w:szCs w:val="18"/>
                <w:color w:val="auto"/>
              </w:rPr>
              <w:t>March 1, 2021</w:t>
            </w:r>
          </w:p>
        </w:tc>
        <w:tc>
          <w:tcPr>
            <w:tcW w:w="1040" w:type="dxa"/>
            <w:vAlign w:val="bottom"/>
          </w:tcPr>
          <w:p>
            <w:pPr>
              <w:ind w:left="720"/>
              <w:spacing w:after="0"/>
              <w:rPr>
                <w:sz w:val="20"/>
                <w:szCs w:val="20"/>
                <w:color w:val="auto"/>
              </w:rPr>
            </w:pPr>
            <w:r>
              <w:rPr>
                <w:rFonts w:ascii="Arial" w:cs="Arial" w:eastAsia="Arial" w:hAnsi="Arial"/>
                <w:sz w:val="18"/>
                <w:szCs w:val="18"/>
                <w:color w:val="auto"/>
                <w:w w:val="85"/>
              </w:rPr>
              <w:t>4.46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September 1, 2021</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105,000,000</w:t>
            </w:r>
          </w:p>
        </w:tc>
        <w:tc>
          <w:tcPr>
            <w:tcW w:w="12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Weighted average rate / Total</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3.70%</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150,000,000</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2012, SBIC LP was in compliance with all SBA regulatory requirements.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operating activities used cash of $74.3 million for the nine months ended June 30, 2012, primarily due to investing and offset by sales and repayments on our investments. Our financing activities provided cash of $12.0 million for the same period, primarily from proceeds from our common stock offering offset, in part, by net repayments under our Credit Facility.</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operating activities used cash of $35.8 million for the nine months ended June 30, 2011. Our financing activities provided cash of $62.8 million for the same period, primarily from net repayments under our Credit Facility, SBA debentures issued and our follow-on common stock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June 30, 2012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14"/>
                <w:szCs w:val="14"/>
                <w:b w:val="1"/>
                <w:bCs w:val="1"/>
                <w:color w:val="auto"/>
                <w:w w:val="89"/>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1"/>
                <w:szCs w:val="11"/>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jc w:val="right"/>
              <w:ind w:right="18"/>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$185.1</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24.4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June 30, 2012, we had $194.9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June 30, 2012 was 3.32% exclusive of the fee on the undrawn commitment of 0.50% on the Credit Facility and 3.43% of upfront fees on SBIC LP’s SBA debentures.</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2012,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our Administration Agreement, which was renewed in February 2012,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three and nine months ended June 30, 2012, we declared dividends of $0.28 and $0.84 per share, respectively, for total dividends of $15.8 million and $44.3 million, respectively. For the same periods in the prior year, we declared dividends of $0.27 and $0.80 per share, respectively, for total dividends of $12.3 million and $34.0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dividends to our stockholders. Our quarterly dividends, if any, are determined by our board of directors.</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nine months ended June 30, 2012 and 2011, we elected to retain a portion of our calendar year income and incurred an excise tax of approximately $0.6 million and $0.2 million, respectively.</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and/or due to provisions in future credit facilities. If we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Biographical Information of Independent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2012, Mr. Marshall Brozost became a partner at Schulte Roth &amp; Zabel LLP, where he practices in the real estate and private equity groups.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June 30, 2012, our portfolio consisted of 68% fixed- rate and 32% variable-rate investments (including 27% with a LIBOR, or prime floor).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the current balance sheet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Morgan Stanley &amp; Co. LLC, Goldman, Sachs &amp; Co., J.P. Morgan Securities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8"/>
        </w:trPr>
        <w:tc>
          <w:tcPr>
            <w:tcW w:w="9540" w:type="dxa"/>
            <w:vAlign w:val="bottom"/>
            <w:gridSpan w:val="3"/>
            <w:vMerge w:val="continue"/>
          </w:tcPr>
          <w:p>
            <w:pPr>
              <w:spacing w:after="0"/>
              <w:rPr>
                <w:sz w:val="12"/>
                <w:szCs w:val="12"/>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FBR Capital Markets &amp; Co.</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supplement and to dealers at that price less a concession not in excess of $0.24 per share. After the public offering, the public offering price and concession may be changed.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1,350,000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Without Option</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10.8200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97,380,000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111,987,000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Underwriting discount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0.3787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3,408,300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3,919,545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to PennantPark Investment Corporation (before offering expenses of $330,000)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10.4413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93,971,700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108,067,455</w:t>
            </w:r>
          </w:p>
        </w:tc>
      </w:tr>
      <w:tr>
        <w:trPr>
          <w:trHeight w:val="363"/>
        </w:trPr>
        <w:tc>
          <w:tcPr>
            <w:tcW w:w="7000" w:type="dxa"/>
            <w:vAlign w:val="bottom"/>
          </w:tcPr>
          <w:p>
            <w:pPr>
              <w:ind w:left="5540"/>
              <w:spacing w:after="0"/>
              <w:rPr>
                <w:sz w:val="20"/>
                <w:szCs w:val="20"/>
                <w:color w:val="auto"/>
              </w:rPr>
            </w:pPr>
            <w:r>
              <w:rPr>
                <w:rFonts w:ascii="Arial" w:cs="Arial" w:eastAsia="Arial" w:hAnsi="Arial"/>
                <w:sz w:val="18"/>
                <w:szCs w:val="18"/>
                <w:color w:val="auto"/>
              </w:rPr>
              <w:t>S-31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1,350,000 additional shares at the public offering price less the underwriting discount. The underwriters may exercise this option for 30 days from the date of this prospectus supplement.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received or will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facility. Some of the underwriters and their affiliates were underwriters in connection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32"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principal business addresses of the underwriters are: Morgan Stanley &amp; Co. LLC located at 180 Varick Street, 2nd Floor, New York, NY 10014; Goldman, Sachs &amp; Co. located at 200 West Street, New York, NY 10282; J.P. Morgan Securities LLC located at 1155 Long Island Avenue, Edgewood, NY 11717; and SunTrust Robinson Humphrey, Inc. located at 3333 Peachtree Road, NE, Atlanta, GA 30326.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prospectus does not constitute an issue prospectus pursuant to Article 652a or Article 1156 of the Swiss Code of Obligations (“CO”) and the shares will not be listed on the SIX Swiss Exchange. Therefore,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9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0880"/>
          </w:cols>
          <w:pgMar w:left="240" w:top="459" w:right="7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9"/>
              </w:rPr>
              <w:t>INDEX TO FINANCIAL STATEMENTS</w:t>
            </w:r>
          </w:p>
        </w:tc>
        <w:tc>
          <w:tcPr>
            <w:tcW w:w="1800" w:type="dxa"/>
            <w:vAlign w:val="bottom"/>
          </w:tcPr>
          <w:p>
            <w:pPr>
              <w:spacing w:after="0"/>
              <w:rPr>
                <w:sz w:val="19"/>
                <w:szCs w:val="19"/>
                <w:color w:val="auto"/>
              </w:rPr>
            </w:pPr>
          </w:p>
        </w:tc>
      </w:tr>
      <w:tr>
        <w:trPr>
          <w:trHeight w:val="380"/>
        </w:trPr>
        <w:tc>
          <w:tcPr>
            <w:tcW w:w="952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S-39</w:t>
            </w:r>
          </w:p>
        </w:tc>
      </w:tr>
      <w:tr>
        <w:trPr>
          <w:trHeight w:val="20"/>
        </w:trPr>
        <w:tc>
          <w:tcPr>
            <w:tcW w:w="3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75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Consolidated Statements of Assets and Liabilities as of June 30, 2012 (unaudited) and September 30, 2011</w:t>
              </w:r>
            </w:hyperlink>
          </w:p>
        </w:tc>
        <w:tc>
          <w:tcPr>
            <w:tcW w:w="1980" w:type="dxa"/>
            <w:vAlign w:val="bottom"/>
            <w:gridSpan w:val="3"/>
          </w:tcPr>
          <w:p>
            <w:pPr>
              <w:spacing w:after="0"/>
              <w:rPr>
                <w:sz w:val="24"/>
                <w:szCs w:val="24"/>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S-40</w:t>
            </w:r>
          </w:p>
        </w:tc>
      </w:tr>
      <w:tr>
        <w:trPr>
          <w:trHeight w:val="304"/>
        </w:trPr>
        <w:tc>
          <w:tcPr>
            <w:tcW w:w="952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Operations for the three and nine months ended June 30, 2012 and 2011 (unaudited)</w:t>
              </w:r>
            </w:hyperlink>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S-41</w:t>
            </w:r>
          </w:p>
        </w:tc>
      </w:tr>
      <w:tr>
        <w:trPr>
          <w:trHeight w:val="20"/>
        </w:trPr>
        <w:tc>
          <w:tcPr>
            <w:tcW w:w="394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80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Changes in Net Assets for the nine months ended June 30, 2012 and 2011 (unaudited)</w:t>
              </w:r>
            </w:hyperlink>
          </w:p>
        </w:tc>
        <w:tc>
          <w:tcPr>
            <w:tcW w:w="1460" w:type="dxa"/>
            <w:vAlign w:val="bottom"/>
          </w:tcPr>
          <w:p>
            <w:pPr>
              <w:spacing w:after="0"/>
              <w:rPr>
                <w:sz w:val="24"/>
                <w:szCs w:val="24"/>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S-42</w:t>
            </w:r>
          </w:p>
        </w:tc>
      </w:tr>
      <w:tr>
        <w:trPr>
          <w:trHeight w:val="304"/>
        </w:trPr>
        <w:tc>
          <w:tcPr>
            <w:tcW w:w="952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Cash Flows for the nine months ended June 30, 2012 and 2011 (unaudited)</w:t>
              </w:r>
            </w:hyperlink>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S-43</w:t>
            </w:r>
          </w:p>
        </w:tc>
      </w:tr>
      <w:tr>
        <w:trPr>
          <w:trHeight w:val="304"/>
        </w:trPr>
        <w:tc>
          <w:tcPr>
            <w:tcW w:w="6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6"/>
              </w:rPr>
              <w:t>Consolidated Schedules of Investments as of June 30, 2012 (unaudited) and September 30, 2011</w:t>
            </w:r>
          </w:p>
        </w:tc>
        <w:tc>
          <w:tcPr>
            <w:tcW w:w="460" w:type="dxa"/>
            <w:vAlign w:val="bottom"/>
            <w:tcBorders>
              <w:top w:val="single" w:sz="8" w:color="0000EE"/>
            </w:tcBorders>
          </w:tcPr>
          <w:p>
            <w:pPr>
              <w:spacing w:after="0"/>
              <w:rPr>
                <w:sz w:val="24"/>
                <w:szCs w:val="24"/>
                <w:color w:val="auto"/>
              </w:rPr>
            </w:pPr>
          </w:p>
        </w:tc>
        <w:tc>
          <w:tcPr>
            <w:tcW w:w="2280" w:type="dxa"/>
            <w:vAlign w:val="bottom"/>
            <w:gridSpan w:val="4"/>
          </w:tcPr>
          <w:p>
            <w:pPr>
              <w:spacing w:after="0"/>
              <w:rPr>
                <w:sz w:val="24"/>
                <w:szCs w:val="24"/>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S-44</w:t>
            </w:r>
          </w:p>
        </w:tc>
      </w:tr>
      <w:tr>
        <w:trPr>
          <w:trHeight w:val="304"/>
        </w:trPr>
        <w:tc>
          <w:tcPr>
            <w:tcW w:w="952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 (unaudited)</w:t>
              </w:r>
            </w:hyperlink>
          </w:p>
        </w:tc>
        <w:tc>
          <w:tcPr>
            <w:tcW w:w="1800" w:type="dxa"/>
            <w:vAlign w:val="bottom"/>
          </w:tcPr>
          <w:p>
            <w:pPr>
              <w:ind w:left="1480"/>
              <w:spacing w:after="0"/>
              <w:rPr>
                <w:sz w:val="20"/>
                <w:szCs w:val="20"/>
                <w:color w:val="auto"/>
              </w:rPr>
            </w:pPr>
            <w:r>
              <w:rPr>
                <w:rFonts w:ascii="Arial" w:cs="Arial" w:eastAsia="Arial" w:hAnsi="Arial"/>
                <w:sz w:val="18"/>
                <w:szCs w:val="18"/>
                <w:color w:val="auto"/>
                <w:w w:val="78"/>
              </w:rPr>
              <w:t>S-53</w:t>
            </w:r>
          </w:p>
        </w:tc>
      </w:tr>
      <w:tr>
        <w:trPr>
          <w:trHeight w:val="383"/>
        </w:trPr>
        <w:tc>
          <w:tcPr>
            <w:tcW w:w="39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gridSpan w:val="6"/>
          </w:tcPr>
          <w:p>
            <w:pPr>
              <w:jc w:val="center"/>
              <w:ind w:right="2220"/>
              <w:spacing w:after="0"/>
              <w:rPr>
                <w:sz w:val="20"/>
                <w:szCs w:val="20"/>
                <w:color w:val="auto"/>
              </w:rPr>
            </w:pPr>
            <w:r>
              <w:rPr>
                <w:rFonts w:ascii="Arial" w:cs="Arial" w:eastAsia="Arial" w:hAnsi="Arial"/>
                <w:sz w:val="18"/>
                <w:szCs w:val="18"/>
                <w:color w:val="auto"/>
                <w:w w:val="89"/>
              </w:rPr>
              <w:t>S-38</w:t>
            </w:r>
          </w:p>
        </w:tc>
        <w:tc>
          <w:tcPr>
            <w:tcW w:w="18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 of investments, as of June 30, 2012, and the consolidated statements of operations for the three and nine months ended June 30, 2012 and 2011, changes in net assets, and cash flows for the nine months ended June 30, 2012 and 2011. These interim consolidated financial statements are the responsibility of the Company’s management.</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2011; and in our report dated November 16, 2011, we expressed an unqualified opinion on that financial statement and schedule.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June 30, 2012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(cost—$907,304,090 and $816,078,311,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878,560,096</w:t>
            </w:r>
          </w:p>
        </w:tc>
        <w:tc>
          <w:tcPr>
            <w:tcW w:w="3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773,375,381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(cost—$29,048,560 and $36,744,425,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36,046,802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40,673,133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(cost—$14,500,100 and $13,500,100, respectively)</w:t>
            </w: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14,500,000</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Investments, at fair value (cost—$950,852,750 and $866,322,836,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929,106,898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827,548,515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9,316,015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11,365,159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10,878,236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36,984,788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5,386,858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992,159,718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928,738,214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15,782,855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30,000,000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18,572,499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26,935,270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Credit facility payable (cost—$185,100,000 and $240,900,000, respectively) (See Notes 5 and 10)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184,179,000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238,792,125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150,000,000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2,331,295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4,492,660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3,892,683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1,884,446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419,498,209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466,081,018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Common stock, 56,367,339 and 45,689,781 shares issued and outstanding, respectively.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6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56,367</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649,247,207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540,603,020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4,339,635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8,326,854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(60,156,848)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(49,651,922)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(21,745,852)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(38,774,321)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credit facility</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572,661,509</w:t>
            </w:r>
          </w:p>
        </w:tc>
        <w:tc>
          <w:tcPr>
            <w:tcW w:w="38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462,657,196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992,159,718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928,738,214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25,860,359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21,046,388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74,190,105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60,441,750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2,628,858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1,157,228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5,584,060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458,901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389,709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1,581,426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1,134,363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29,385,618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22,908,325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82,586,035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65,598,955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4,493,917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3,803,994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12,715,349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10,891,930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3,892,819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3,256,341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10,016,789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9,387,769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Interest and expenses on the credit facility and SBA debentures (See Note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3,206,771</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1,329,441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8,318,513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3,551,391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1,046,991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583,215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2,652,647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820,827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680,322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2,561,021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13,461,325</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9,653,313</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36,264,319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27,855,371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Debt issuance costs (See Note 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5,361,319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13,815,022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9,688,313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42,259,335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28,049,195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15,570,596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13,220,012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40,326,700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37,549,760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1,447,084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6,155,867</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(10,504,926)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(16,576,404)</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(14,977,901)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13,958,935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8,486,459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and non-controlled, affiliated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2,799,956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(1,474,634)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3,069,531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(1,435,899)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Credit facility unrealized depreciation (appreciation)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40"/>
              <w:spacing w:after="0"/>
              <w:rPr>
                <w:sz w:val="20"/>
                <w:szCs w:val="20"/>
                <w:color w:val="auto"/>
              </w:rPr>
            </w:pPr>
            <w:r>
              <w:rPr>
                <w:rFonts w:ascii="Arial" w:cs="Arial" w:eastAsia="Arial" w:hAnsi="Arial"/>
                <w:sz w:val="18"/>
                <w:szCs w:val="18"/>
                <w:color w:val="auto"/>
              </w:rPr>
              <w:t>(See Notes 5 and 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(604,929)</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(1,186,875)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(11,908,375)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(13,597,948)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(17,057,464)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15,841,591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(4,857,815)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Net realized and unrealized (loss) gain from investments and credit facility</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(12,150,864)</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(10,901,597)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5,336,665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3,877,865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3,419,732</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2,318,415</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45,663,365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41,427,625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w w:val="89"/>
              </w:rPr>
              <w:t>Net increase in net assets resulting from operations per common share (See Note 7)</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gridSpan w:val="2"/>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2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40,326,700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37,549,760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gain on investments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(10,504,926)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17,028,466</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7,050,560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(1,186,875)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(11,908,375)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45,663,365</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41,427,625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(44,313,916)</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(34,011,451)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2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109,192,500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114,080,000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relating to public offering</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(3,979,000)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3,441,364</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2,611,494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110,004,313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118,363,868</w:t>
            </w: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462,657,196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386,575,223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End of period</w:t>
            </w:r>
          </w:p>
        </w:tc>
        <w:tc>
          <w:tcPr>
            <w:tcW w:w="2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572,661,509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504,939,091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4,339,635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5,532,780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Public offering</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10,350,000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327,558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shares issued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10,677,558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45,663,365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41,427,625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Adjustments to reconcile net increase in net assets resulting from operations to net cash (used) by operating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(17,028,466)</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(7,050,560)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10,504,926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(8,735,680)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(8,093,419)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(5,325,234)</w:t>
            </w: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(243,803,748)</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(342,020,866)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income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(7,899,606)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(7,500,291)</w:t>
            </w: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173,807,481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256,413,079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(486,923)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(Increase) decrease in receivables for investments sold</w:t>
            </w: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(23,865,806)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30,254,774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Increase (decrease) in payables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11,427,501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(10,104,730)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(19,242,446)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(3,569,562)</w:t>
            </w: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1,643,933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118,853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1,056,087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accrued other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1,105,689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(659,162)</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(74,276,066)</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(35,815,215)</w:t>
            </w: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109,192,500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 related to public offering</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(3,979,000)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Distributions paid to stockholders, net of dividends reinvested</w:t>
            </w: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(37,425,938)</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(28,494,345)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(2,132,125)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805,400,000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347,800,000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(861,200,000)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(423,200,000)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11,987,562</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0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(62,288,504)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26,994,515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9,316,015</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28,808,966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5,926,880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2,476,198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Dividends reinvested</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3,441,364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2,611,494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Basis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Point</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Spread</w:t>
            </w:r>
          </w:p>
        </w:tc>
        <w:tc>
          <w:tcPr>
            <w:tcW w:w="280" w:type="dxa"/>
            <w:vAlign w:val="bottom"/>
          </w:tcPr>
          <w:p>
            <w:pPr>
              <w:spacing w:after="0"/>
              <w:rPr>
                <w:sz w:val="12"/>
                <w:szCs w:val="12"/>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0"/>
              </w:rPr>
              <w:t>Current</w:t>
            </w:r>
          </w:p>
        </w:tc>
        <w:tc>
          <w:tcPr>
            <w:tcW w:w="80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8"/>
              </w:rPr>
              <w:t>Above</w:t>
            </w:r>
          </w:p>
        </w:tc>
        <w:tc>
          <w:tcPr>
            <w:tcW w:w="2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Maturity</w:t>
            </w:r>
          </w:p>
        </w:tc>
        <w:tc>
          <w:tcPr>
            <w:tcW w:w="1080" w:type="dxa"/>
            <w:vAlign w:val="bottom"/>
          </w:tcPr>
          <w:p>
            <w:pPr>
              <w:spacing w:after="0"/>
              <w:rPr>
                <w:sz w:val="14"/>
                <w:szCs w:val="14"/>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Coupon</w:t>
            </w:r>
          </w:p>
        </w:tc>
        <w:tc>
          <w:tcPr>
            <w:tcW w:w="80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gridSpan w:val="2"/>
            <w:shd w:val="clear" w:color="auto" w:fill="CCEEFF"/>
          </w:tcPr>
          <w:p>
            <w:pPr>
              <w:spacing w:after="0" w:line="95" w:lineRule="exact"/>
              <w:rPr>
                <w:sz w:val="20"/>
                <w:szCs w:val="20"/>
                <w:color w:val="auto"/>
              </w:rPr>
            </w:pPr>
            <w:r>
              <w:rPr>
                <w:rFonts w:ascii="Arial" w:cs="Arial" w:eastAsia="Arial" w:hAnsi="Arial"/>
                <w:sz w:val="11"/>
                <w:szCs w:val="11"/>
                <w:b w:val="1"/>
                <w:bCs w:val="1"/>
                <w:color w:val="auto"/>
              </w:rPr>
              <w:t>Investments in Non-Controlled, Non-Affiliated Portfolio</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Companies—153.4%</w:t>
            </w:r>
            <w:r>
              <w:rPr>
                <w:rFonts w:ascii="Arial" w:cs="Arial" w:eastAsia="Arial" w:hAnsi="Arial"/>
                <w:sz w:val="20"/>
                <w:szCs w:val="20"/>
                <w:b w:val="1"/>
                <w:bCs w:val="1"/>
                <w:color w:val="auto"/>
                <w:vertAlign w:val="superscript"/>
              </w:rPr>
              <w:t>(1),(2)</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Debt—48.1%</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06/21/2017</w:t>
            </w:r>
          </w:p>
        </w:tc>
        <w:tc>
          <w:tcPr>
            <w:tcW w:w="256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Communications</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L+975</w:t>
            </w:r>
            <w:r>
              <w:rPr>
                <w:rFonts w:ascii="Arial" w:cs="Arial" w:eastAsia="Arial" w:hAnsi="Arial"/>
                <w:sz w:val="17"/>
                <w:szCs w:val="17"/>
                <w:color w:val="auto"/>
                <w:vertAlign w:val="superscript"/>
              </w:rPr>
              <w:t>(7)</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$ 14,401,545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$ 14,550,000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03/23/2015</w:t>
            </w:r>
          </w:p>
        </w:tc>
        <w:tc>
          <w:tcPr>
            <w:tcW w:w="256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(7)</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18,687,500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18,265,900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02/07/2014</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2"/>
              </w:rPr>
              <w:t>Energy / Utilities</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3.73%</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L+325</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1,716,357</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1,878,334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(5),(9)</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10/01/2016</w:t>
            </w:r>
          </w:p>
        </w:tc>
        <w:tc>
          <w:tcPr>
            <w:tcW w:w="256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6"/>
              </w:rPr>
              <w:t>Cargo Transport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7,500,000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7,348,414</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7,818,750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(5),(9)</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04/01/2018</w:t>
            </w:r>
          </w:p>
        </w:tc>
        <w:tc>
          <w:tcPr>
            <w:tcW w:w="256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Cargo Transport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989,777</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(5),(9)</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11/20/2014</w:t>
            </w:r>
          </w:p>
        </w:tc>
        <w:tc>
          <w:tcPr>
            <w:tcW w:w="256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8"/>
              </w:rPr>
              <w:t>Communications</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Good Sam Enterprises, LLC</w:t>
            </w:r>
            <w:r>
              <w:rPr>
                <w:rFonts w:ascii="Arial" w:cs="Arial" w:eastAsia="Arial" w:hAnsi="Arial"/>
                <w:sz w:val="17"/>
                <w:szCs w:val="17"/>
                <w:color w:val="auto"/>
                <w:vertAlign w:val="superscript"/>
              </w:rPr>
              <w:t>(5)</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12/01/2016</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Consumer Products</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11,786,053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12,495,000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01/13/2017</w:t>
            </w:r>
          </w:p>
        </w:tc>
        <w:tc>
          <w:tcPr>
            <w:tcW w:w="256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90"/>
              </w:rPr>
              <w:t>Other Media</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(7)</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1,757,311</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1,757,311</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1,757,311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04/01/2017</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0"/>
              </w:rPr>
              <w:t>Auto Sector</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11,279,372</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08/07/2014</w:t>
            </w:r>
          </w:p>
        </w:tc>
        <w:tc>
          <w:tcPr>
            <w:tcW w:w="256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9"/>
              </w:rPr>
              <w:t>Printing and Publishing</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(7)</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24,115,645</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23,798,411</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23,946,835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Interactive Health Solutions, Inc.</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10/04/2016</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(7)</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18,643,750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18,259,042</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18,802,222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9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02/07/2014</w:t>
            </w:r>
          </w:p>
        </w:tc>
        <w:tc>
          <w:tcPr>
            <w:tcW w:w="2560" w:type="dxa"/>
            <w:vAlign w:val="bottom"/>
            <w:gridSpan w:val="3"/>
          </w:tcPr>
          <w:p>
            <w:pPr>
              <w:jc w:val="center"/>
              <w:ind w:left="32"/>
              <w:spacing w:after="0" w:line="138" w:lineRule="exact"/>
              <w:rPr>
                <w:sz w:val="20"/>
                <w:szCs w:val="20"/>
                <w:color w:val="auto"/>
              </w:rPr>
            </w:pPr>
            <w:r>
              <w:rPr>
                <w:rFonts w:ascii="Arial" w:cs="Arial" w:eastAsia="Arial" w:hAnsi="Arial"/>
                <w:sz w:val="14"/>
                <w:szCs w:val="14"/>
                <w:color w:val="auto"/>
                <w:w w:val="87"/>
              </w:rPr>
              <w:t>Home and Office Furnishings, Housewares</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2.52%</w:t>
            </w:r>
          </w:p>
        </w:tc>
        <w:tc>
          <w:tcPr>
            <w:tcW w:w="80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L+225</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9,616,892</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9,616,892</w:t>
            </w:r>
          </w:p>
        </w:tc>
        <w:tc>
          <w:tcPr>
            <w:tcW w:w="10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6,395,233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6"/>
              </w:rPr>
              <w:t>and Durable Consumer Products</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09/10/2015</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Chemicals, Plastics and Rubber</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P+675</w:t>
            </w:r>
            <w:r>
              <w:rPr>
                <w:rFonts w:ascii="Arial" w:cs="Arial" w:eastAsia="Arial" w:hAnsi="Arial"/>
                <w:sz w:val="17"/>
                <w:szCs w:val="17"/>
                <w:color w:val="auto"/>
                <w:vertAlign w:val="superscript"/>
              </w:rPr>
              <w:t>(7)</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18,952,500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18,149,848</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18,810,356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Kadmon Pharmaceuticals, LLC</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10/31/2012</w:t>
            </w:r>
          </w:p>
        </w:tc>
        <w:tc>
          <w:tcPr>
            <w:tcW w:w="256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(7)</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4,931,494</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4,953,816</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5,061,143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04/27/2016</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Education</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12.00%</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26,052,632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25,616,858</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25,466,448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9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08/01/2014</w:t>
            </w:r>
          </w:p>
        </w:tc>
        <w:tc>
          <w:tcPr>
            <w:tcW w:w="2560" w:type="dxa"/>
            <w:vAlign w:val="bottom"/>
            <w:gridSpan w:val="3"/>
          </w:tcPr>
          <w:p>
            <w:pPr>
              <w:jc w:val="center"/>
              <w:ind w:left="32"/>
              <w:spacing w:after="0" w:line="138" w:lineRule="exact"/>
              <w:rPr>
                <w:sz w:val="20"/>
                <w:szCs w:val="20"/>
                <w:color w:val="auto"/>
              </w:rPr>
            </w:pPr>
            <w:r>
              <w:rPr>
                <w:rFonts w:ascii="Arial" w:cs="Arial" w:eastAsia="Arial" w:hAnsi="Arial"/>
                <w:sz w:val="14"/>
                <w:szCs w:val="14"/>
                <w:color w:val="auto"/>
                <w:w w:val="90"/>
              </w:rPr>
              <w:t>Other Media</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5.00%</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0"/>
                <w:szCs w:val="10"/>
                <w:color w:val="auto"/>
              </w:rPr>
              <w:t>L+400</w:t>
            </w:r>
            <w:r>
              <w:rPr>
                <w:rFonts w:ascii="Arial" w:cs="Arial" w:eastAsia="Arial" w:hAnsi="Arial"/>
                <w:sz w:val="15"/>
                <w:szCs w:val="15"/>
                <w:color w:val="auto"/>
                <w:vertAlign w:val="superscript"/>
              </w:rPr>
              <w:t>(7)</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37,777,218</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33,543,580</w:t>
            </w:r>
          </w:p>
        </w:tc>
        <w:tc>
          <w:tcPr>
            <w:tcW w:w="10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28,597,354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(PIK%)</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 Tranche A</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12/30/2016</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Personal, Food and Miscellaneous Services</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shd w:val="clear" w:color="auto" w:fill="CCEEFF"/>
          </w:tcPr>
          <w:p>
            <w:pPr>
              <w:jc w:val="right"/>
              <w:ind w:right="160"/>
              <w:spacing w:after="0" w:line="150"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(7)</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1,634,146</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1,612,687</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1,601,464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 Tranche B</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12/30/2016</w:t>
            </w:r>
          </w:p>
        </w:tc>
        <w:tc>
          <w:tcPr>
            <w:tcW w:w="256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Personal, Food and Miscellaneous Services</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(7)</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34,069,358</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34,650,000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(8)</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12/16/2012</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0"/>
              </w:rPr>
              <w:t>Other Media</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133,603</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01/29/2018</w:t>
            </w:r>
          </w:p>
        </w:tc>
        <w:tc>
          <w:tcPr>
            <w:tcW w:w="256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(7)</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2,890,000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2,849,033</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01/29/2018</w:t>
            </w:r>
          </w:p>
        </w:tc>
        <w:tc>
          <w:tcPr>
            <w:tcW w:w="256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L+1,200</w:t>
            </w:r>
            <w:r>
              <w:rPr>
                <w:rFonts w:ascii="Arial" w:cs="Arial" w:eastAsia="Arial" w:hAnsi="Arial"/>
                <w:sz w:val="17"/>
                <w:szCs w:val="17"/>
                <w:color w:val="auto"/>
                <w:vertAlign w:val="superscript"/>
              </w:rPr>
              <w:t>(7)</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10,625,000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10,329,504</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10,848,125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UP Support Services, Inc.</w:t>
            </w:r>
          </w:p>
        </w:tc>
        <w:tc>
          <w:tcPr>
            <w:tcW w:w="9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02/08/2013</w:t>
            </w:r>
          </w:p>
        </w:tc>
        <w:tc>
          <w:tcPr>
            <w:tcW w:w="256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6"/>
              </w:rPr>
              <w:t>Oil and Gas</w:t>
            </w:r>
          </w:p>
        </w:tc>
        <w:tc>
          <w:tcPr>
            <w:tcW w:w="7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10.25%</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(7)</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14,352,239</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12,025,984</w:t>
            </w:r>
          </w:p>
        </w:tc>
        <w:tc>
          <w:tcPr>
            <w:tcW w:w="10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11,153,423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(PIK%)</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50" w:lineRule="exact"/>
              <w:rPr>
                <w:sz w:val="20"/>
                <w:szCs w:val="20"/>
                <w:color w:val="auto"/>
              </w:rPr>
            </w:pPr>
            <w:r>
              <w:rPr>
                <w:rFonts w:ascii="Arial" w:cs="Arial" w:eastAsia="Arial" w:hAnsi="Arial"/>
                <w:sz w:val="11"/>
                <w:szCs w:val="11"/>
                <w:color w:val="auto"/>
              </w:rPr>
              <w:t>UP Support Services, Inc.</w:t>
            </w:r>
            <w:r>
              <w:rPr>
                <w:rFonts w:ascii="Arial" w:cs="Arial" w:eastAsia="Arial" w:hAnsi="Arial"/>
                <w:sz w:val="17"/>
                <w:szCs w:val="17"/>
                <w:color w:val="auto"/>
                <w:vertAlign w:val="superscript"/>
              </w:rPr>
              <w:t>(8)</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02/08/2013</w:t>
            </w:r>
          </w:p>
        </w:tc>
        <w:tc>
          <w:tcPr>
            <w:tcW w:w="256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Oil and Gas</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(7)</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1,916,666</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1,628,213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1,489,482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07/15/2016</w:t>
            </w:r>
          </w:p>
        </w:tc>
        <w:tc>
          <w:tcPr>
            <w:tcW w:w="256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7"/>
              </w:rPr>
              <w:t>Hotels, Motels, Inns and Gaming</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11.38%</w:t>
            </w: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4,500,000</w:t>
            </w: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4,398,815</w:t>
            </w:r>
          </w:p>
        </w:tc>
        <w:tc>
          <w:tcPr>
            <w:tcW w:w="2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4,781,250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278,530,373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275,339,233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02/07/2015</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2"/>
              </w:rPr>
              <w:t>Energy/Utilities</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6.35%</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L+600</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13,355,243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11,492,000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02/07/2015</w:t>
            </w:r>
          </w:p>
        </w:tc>
        <w:tc>
          <w:tcPr>
            <w:tcW w:w="256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92"/>
              </w:rPr>
              <w:t>Energy/Utilities</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L+700</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11,851,697</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(5),(6)</w:t>
            </w:r>
          </w:p>
        </w:tc>
        <w:tc>
          <w:tcPr>
            <w:tcW w:w="9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02/01/2017</w:t>
            </w:r>
          </w:p>
        </w:tc>
        <w:tc>
          <w:tcPr>
            <w:tcW w:w="256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Consumer Products</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31,964,124</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Eureka Hunter Pipeline, LLC</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08/16/2018</w:t>
            </w:r>
          </w:p>
        </w:tc>
        <w:tc>
          <w:tcPr>
            <w:tcW w:w="2560" w:type="dxa"/>
            <w:vAlign w:val="bottom"/>
            <w:gridSpan w:val="3"/>
          </w:tcPr>
          <w:p>
            <w:pPr>
              <w:jc w:val="center"/>
              <w:ind w:left="32"/>
              <w:spacing w:after="0"/>
              <w:rPr>
                <w:sz w:val="20"/>
                <w:szCs w:val="20"/>
                <w:color w:val="auto"/>
              </w:rPr>
            </w:pPr>
            <w:r>
              <w:rPr>
                <w:rFonts w:ascii="Arial" w:cs="Arial" w:eastAsia="Arial" w:hAnsi="Arial"/>
                <w:sz w:val="14"/>
                <w:szCs w:val="14"/>
                <w:color w:val="auto"/>
                <w:w w:val="92"/>
              </w:rPr>
              <w:t>Energy/Utilities</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12.50%</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50,000,000</w:t>
            </w: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49,539,442</w:t>
            </w:r>
          </w:p>
        </w:tc>
        <w:tc>
          <w:tcPr>
            <w:tcW w:w="1040" w:type="dxa"/>
            <w:vAlign w:val="bottom"/>
            <w:gridSpan w:val="4"/>
          </w:tcPr>
          <w:p>
            <w:pPr>
              <w:jc w:val="right"/>
              <w:spacing w:after="0"/>
              <w:rPr>
                <w:sz w:val="20"/>
                <w:szCs w:val="20"/>
                <w:color w:val="auto"/>
              </w:rPr>
            </w:pPr>
            <w:r>
              <w:rPr>
                <w:rFonts w:ascii="Arial" w:cs="Arial" w:eastAsia="Arial" w:hAnsi="Arial"/>
                <w:sz w:val="14"/>
                <w:szCs w:val="14"/>
                <w:color w:val="auto"/>
              </w:rPr>
              <w:t>50,500,000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Maturity</w:t>
            </w:r>
          </w:p>
        </w:tc>
        <w:tc>
          <w:tcPr>
            <w:tcW w:w="940" w:type="dxa"/>
            <w:vAlign w:val="bottom"/>
          </w:tcPr>
          <w:p>
            <w:pPr>
              <w:spacing w:after="0"/>
              <w:rPr>
                <w:sz w:val="14"/>
                <w:szCs w:val="14"/>
                <w:color w:val="auto"/>
              </w:rPr>
            </w:pPr>
          </w:p>
        </w:tc>
        <w:tc>
          <w:tcPr>
            <w:tcW w:w="14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Industry</w:t>
            </w:r>
          </w:p>
        </w:tc>
        <w:tc>
          <w:tcPr>
            <w:tcW w:w="260" w:type="dxa"/>
            <w:vAlign w:val="bottom"/>
          </w:tcPr>
          <w:p>
            <w:pPr>
              <w:spacing w:after="0"/>
              <w:rPr>
                <w:sz w:val="14"/>
                <w:szCs w:val="14"/>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(4)</w:t>
            </w:r>
          </w:p>
        </w:tc>
        <w:tc>
          <w:tcPr>
            <w:tcW w:w="2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Greatwide Logistics Services, L.L.C.</w:t>
            </w:r>
          </w:p>
        </w:tc>
        <w:tc>
          <w:tcPr>
            <w:tcW w:w="6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80" w:type="dxa"/>
            <w:vAlign w:val="bottom"/>
            <w:gridSpan w:val="3"/>
            <w:shd w:val="clear" w:color="auto" w:fill="CCEEFF"/>
          </w:tcPr>
          <w:p>
            <w:pPr>
              <w:jc w:val="right"/>
              <w:spacing w:after="0" w:line="111" w:lineRule="exact"/>
              <w:rPr>
                <w:sz w:val="20"/>
                <w:szCs w:val="20"/>
                <w:color w:val="auto"/>
              </w:rPr>
            </w:pPr>
            <w:r>
              <w:rPr>
                <w:rFonts w:ascii="Arial" w:cs="Arial" w:eastAsia="Arial" w:hAnsi="Arial"/>
                <w:sz w:val="12"/>
                <w:szCs w:val="12"/>
                <w:color w:val="auto"/>
              </w:rPr>
              <w:t>11.00%</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(7)</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03/01/2014</w:t>
            </w:r>
          </w:p>
        </w:tc>
        <w:tc>
          <w:tcPr>
            <w:tcW w:w="24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6"/>
              </w:rPr>
              <w:t>Cargo Transport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(PIK 11.00%)</w:t>
            </w: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$ 3,018,217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3,018,220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2,565,487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Paradigm Management Services, LLC</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07/31/2017</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(7)</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20,512,821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20,000,066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12/15/2014</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(7)</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2,760,774</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2,760,775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2,578,564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Questex Media Group LLC, Term Loan B</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L+750</w:t>
            </w:r>
            <w:r>
              <w:rPr>
                <w:rFonts w:ascii="Arial" w:cs="Arial" w:eastAsia="Arial" w:hAnsi="Arial"/>
                <w:sz w:val="22"/>
                <w:szCs w:val="22"/>
                <w:color w:val="auto"/>
                <w:vertAlign w:val="superscript"/>
              </w:rPr>
              <w:t>(7)</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12/15/2015</w:t>
            </w:r>
          </w:p>
        </w:tc>
        <w:tc>
          <w:tcPr>
            <w:tcW w:w="2400" w:type="dxa"/>
            <w:vAlign w:val="bottom"/>
            <w:gridSpan w:val="3"/>
          </w:tcPr>
          <w:p>
            <w:pPr>
              <w:jc w:val="center"/>
              <w:spacing w:after="0"/>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(PIK 11.50%)</w:t>
            </w:r>
          </w:p>
        </w:tc>
        <w:tc>
          <w:tcPr>
            <w:tcW w:w="720" w:type="dxa"/>
            <w:vAlign w:val="bottom"/>
            <w:gridSpan w:val="2"/>
            <w:vMerge w:val="continue"/>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2,167,928</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2,167,929</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1,931,623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10/15/2017</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10,241,670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09/01/2018</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15,745,944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06/15/2015</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7,486,701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7,290,720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167,890,141</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142,582,885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Notes—68.4%</w:t>
            </w: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10/02/2017</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13.75%</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18,544,720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11/15/2015</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35,552,000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34,106,151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28,086,080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Diversitech Corporation</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01/29/2017</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10,830,135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11,192,500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14.75%</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Escort, Inc.</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06/01/2016</w:t>
            </w:r>
          </w:p>
        </w:tc>
        <w:tc>
          <w:tcPr>
            <w:tcW w:w="24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Electronics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(PIK 2.75%)</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25,077,794</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24,548,141</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25,077,794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13.00%</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03/31/2017</w:t>
            </w:r>
          </w:p>
        </w:tc>
        <w:tc>
          <w:tcPr>
            <w:tcW w:w="2400" w:type="dxa"/>
            <w:vAlign w:val="bottom"/>
            <w:gridSpan w:val="3"/>
          </w:tcPr>
          <w:p>
            <w:pPr>
              <w:jc w:val="center"/>
              <w:spacing w:after="0"/>
              <w:rPr>
                <w:sz w:val="20"/>
                <w:szCs w:val="20"/>
                <w:color w:val="auto"/>
              </w:rPr>
            </w:pPr>
            <w:r>
              <w:rPr>
                <w:rFonts w:ascii="Arial" w:cs="Arial" w:eastAsia="Arial" w:hAnsi="Arial"/>
                <w:sz w:val="14"/>
                <w:szCs w:val="14"/>
                <w:color w:val="auto"/>
                <w:w w:val="91"/>
              </w:rPr>
              <w:t>Distribution</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(PIK 2.00%)</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21,688,819</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21,275,627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21,688,819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14.00%</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JF Acquisition, LLC</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06/30/2017</w:t>
            </w:r>
          </w:p>
        </w:tc>
        <w:tc>
          <w:tcPr>
            <w:tcW w:w="24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1"/>
              </w:rPr>
              <w:t>Distribution</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(PIK 2.00%)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17,085,944</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16,647,729</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17,085,944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14.50%</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gridSpan w:val="3"/>
          </w:tcPr>
          <w:p>
            <w:pPr>
              <w:spacing w:after="0"/>
              <w:rPr>
                <w:sz w:val="20"/>
                <w:szCs w:val="20"/>
                <w:color w:val="auto"/>
              </w:rPr>
            </w:pPr>
            <w:r>
              <w:rPr>
                <w:rFonts w:ascii="Arial" w:cs="Arial" w:eastAsia="Arial" w:hAnsi="Arial"/>
                <w:sz w:val="14"/>
                <w:szCs w:val="14"/>
                <w:color w:val="auto"/>
              </w:rPr>
              <w:t>Last Mile Funding, Corp.</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06/30/2016</w:t>
            </w:r>
          </w:p>
        </w:tc>
        <w:tc>
          <w:tcPr>
            <w:tcW w:w="2400" w:type="dxa"/>
            <w:vAlign w:val="bottom"/>
            <w:gridSpan w:val="3"/>
          </w:tcPr>
          <w:p>
            <w:pPr>
              <w:jc w:val="center"/>
              <w:spacing w:after="0"/>
              <w:rPr>
                <w:sz w:val="20"/>
                <w:szCs w:val="20"/>
                <w:color w:val="auto"/>
              </w:rPr>
            </w:pPr>
            <w:r>
              <w:rPr>
                <w:rFonts w:ascii="Arial" w:cs="Arial" w:eastAsia="Arial" w:hAnsi="Arial"/>
                <w:sz w:val="14"/>
                <w:szCs w:val="14"/>
                <w:color w:val="auto"/>
                <w:w w:val="86"/>
              </w:rPr>
              <w:t>Cargo Transport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(PIK 2.50%)</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45,307,673</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44,382,904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44,809,289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15.00%</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Learning Care Group (US) Inc.</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06/30/2016</w:t>
            </w:r>
          </w:p>
        </w:tc>
        <w:tc>
          <w:tcPr>
            <w:tcW w:w="24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Education</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(PIK 15.00%)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5,277,718</w:t>
            </w: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4,671,118</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4,815,918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LTI Flexible Products, Inc.</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01/11/2019</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 Plastic and Rubber</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(8)</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01/11/2014</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 Plastic and Rubber</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5"/>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Mailsouth, Inc.</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06/15/2017</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14,621,864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10/14/2016</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18,545,461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20,425,000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15.02%</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gridSpan w:val="3"/>
          </w:tcPr>
          <w:p>
            <w:pPr>
              <w:spacing w:after="0"/>
              <w:rPr>
                <w:sz w:val="20"/>
                <w:szCs w:val="20"/>
                <w:color w:val="auto"/>
              </w:rPr>
            </w:pPr>
            <w:r>
              <w:rPr>
                <w:rFonts w:ascii="Arial" w:cs="Arial" w:eastAsia="Arial" w:hAnsi="Arial"/>
                <w:sz w:val="14"/>
                <w:szCs w:val="14"/>
                <w:color w:val="auto"/>
              </w:rPr>
              <w:t>PAS Technologies, Inc.</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05/12/2017</w:t>
            </w:r>
          </w:p>
        </w:tc>
        <w:tc>
          <w:tcPr>
            <w:tcW w:w="2400" w:type="dxa"/>
            <w:vAlign w:val="bottom"/>
            <w:gridSpan w:val="3"/>
          </w:tcPr>
          <w:p>
            <w:pPr>
              <w:jc w:val="center"/>
              <w:spacing w:after="0"/>
              <w:rPr>
                <w:sz w:val="20"/>
                <w:szCs w:val="20"/>
                <w:color w:val="auto"/>
              </w:rPr>
            </w:pPr>
            <w:r>
              <w:rPr>
                <w:rFonts w:ascii="Arial" w:cs="Arial" w:eastAsia="Arial" w:hAnsi="Arial"/>
                <w:sz w:val="14"/>
                <w:szCs w:val="14"/>
                <w:color w:val="auto"/>
                <w:w w:val="85"/>
              </w:rPr>
              <w:t>Aerospace and Defense</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(PIK 3.02%)</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17,123,218</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16,770,310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17,123,218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Mining, Steel, Iron and Non-Precious</w:t>
            </w:r>
          </w:p>
        </w:tc>
        <w:tc>
          <w:tcPr>
            <w:tcW w:w="9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13.50%</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Prince Mineral Holdings Corp.</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12/03/2016</w:t>
            </w:r>
          </w:p>
        </w:tc>
        <w:tc>
          <w:tcPr>
            <w:tcW w:w="9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7"/>
              </w:rPr>
              <w:t>Metals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(PIK 2.00%)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26,563,699</w:t>
            </w: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26,111,500</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26,563,699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04/15/2018</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9,224,503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10/02/2017</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23,477,796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1"/>
                <w:szCs w:val="11"/>
                <w:color w:val="auto"/>
              </w:rPr>
              <w:t>Service Champ, Inc.</w:t>
            </w:r>
            <w:r>
              <w:rPr>
                <w:rFonts w:ascii="Arial" w:cs="Arial" w:eastAsia="Arial" w:hAnsi="Arial"/>
                <w:sz w:val="17"/>
                <w:szCs w:val="17"/>
                <w:color w:val="auto"/>
                <w:vertAlign w:val="superscript"/>
              </w:rPr>
              <w:t>(8)</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10/02/2013</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5"/>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15,640,000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12/29/2015</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12,020,950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11,696,732</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12,020,950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14.25%</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06/01/2019</w:t>
            </w:r>
          </w:p>
        </w:tc>
        <w:tc>
          <w:tcPr>
            <w:tcW w:w="2400" w:type="dxa"/>
            <w:vAlign w:val="bottom"/>
            <w:gridSpan w:val="3"/>
          </w:tcPr>
          <w:p>
            <w:pPr>
              <w:jc w:val="center"/>
              <w:spacing w:after="0"/>
              <w:rPr>
                <w:sz w:val="20"/>
                <w:szCs w:val="20"/>
                <w:color w:val="auto"/>
              </w:rPr>
            </w:pPr>
            <w:r>
              <w:rPr>
                <w:rFonts w:ascii="Arial" w:cs="Arial" w:eastAsia="Arial" w:hAnsi="Arial"/>
                <w:sz w:val="14"/>
                <w:szCs w:val="14"/>
                <w:color w:val="auto"/>
                <w:w w:val="84"/>
              </w:rPr>
              <w:t>Beverage, Food, and Tobacco</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(PIK 2.25%)</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14,750,000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14,498,833</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14,750,000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Holdings, LLC </w:t>
            </w:r>
            <w:r>
              <w:rPr>
                <w:rFonts w:ascii="Arial" w:cs="Arial" w:eastAsia="Arial" w:hAnsi="Arial"/>
                <w:sz w:val="17"/>
                <w:szCs w:val="17"/>
                <w:color w:val="auto"/>
                <w:vertAlign w:val="superscript"/>
              </w:rPr>
              <w:t>(8)</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06/01/2014</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5"/>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3,920,000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1"/>
                <w:szCs w:val="11"/>
                <w:color w:val="auto"/>
              </w:rPr>
              <w:t>UP Support Services Inc.</w:t>
            </w:r>
            <w:r>
              <w:rPr>
                <w:rFonts w:ascii="Arial" w:cs="Arial" w:eastAsia="Arial" w:hAnsi="Arial"/>
                <w:sz w:val="17"/>
                <w:szCs w:val="17"/>
                <w:color w:val="auto"/>
                <w:vertAlign w:val="superscript"/>
              </w:rPr>
              <w:t>(6)</w:t>
            </w:r>
          </w:p>
        </w:tc>
        <w:tc>
          <w:tcPr>
            <w:tcW w:w="14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02/08/2015</w:t>
            </w: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5"/>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29,137,730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29,099,163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11,189,949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4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12/31/2015</w:t>
            </w:r>
          </w:p>
        </w:tc>
        <w:tc>
          <w:tcPr>
            <w:tcW w:w="24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15,899,760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409,337,447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391,854,160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0"/>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Maturity</w:t>
            </w:r>
          </w:p>
        </w:tc>
        <w:tc>
          <w:tcPr>
            <w:tcW w:w="74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Coupon</w:t>
            </w:r>
          </w:p>
        </w:tc>
        <w:tc>
          <w:tcPr>
            <w:tcW w:w="4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64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34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Preferred Equity/Partnership Interests —1.4%</w:t>
            </w:r>
            <w:r>
              <w:rPr>
                <w:rFonts w:ascii="Arial" w:cs="Arial" w:eastAsia="Arial" w:hAnsi="Arial"/>
                <w:sz w:val="14"/>
                <w:szCs w:val="14"/>
                <w:b w:val="1"/>
                <w:bCs w:val="1"/>
                <w:color w:val="auto"/>
                <w:vertAlign w:val="superscript"/>
              </w:rPr>
              <w:t>(6)</w:t>
            </w: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2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211</w:t>
            </w:r>
          </w:p>
        </w:tc>
        <w:tc>
          <w:tcPr>
            <w:tcW w:w="94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w w:val="94"/>
              </w:rPr>
              <w:t>$   500,000</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4"/>
              </w:rPr>
              <w:t>$   672,102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Other Media</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7,505</w:t>
            </w:r>
          </w:p>
        </w:tc>
        <w:tc>
          <w:tcPr>
            <w:tcW w:w="9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318,896</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2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76,357</w:t>
            </w:r>
          </w:p>
        </w:tc>
        <w:tc>
          <w:tcPr>
            <w:tcW w:w="94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rPr>
              <w:t>765,307</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1,052,231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(8)</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20" w:type="dxa"/>
            <w:vAlign w:val="bottom"/>
            <w:gridSpan w:val="3"/>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38,179</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382,654</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HW Topco, Inc. (Hanley-Wood, LLC)</w:t>
            </w:r>
          </w:p>
        </w:tc>
        <w:tc>
          <w:tcPr>
            <w:tcW w:w="2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3,591</w:t>
            </w:r>
          </w:p>
        </w:tc>
        <w:tc>
          <w:tcPr>
            <w:tcW w:w="9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24,177</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5"/>
              </w:rPr>
              <w:t>Aerospace and Defense</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20,000</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1,980,000</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1,150,185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12.00%</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1,099</w:t>
            </w:r>
          </w:p>
        </w:tc>
        <w:tc>
          <w:tcPr>
            <w:tcW w:w="9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984,344</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984,344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4"/>
              </w:rPr>
              <w:t>Insurance</w:t>
            </w:r>
          </w:p>
        </w:tc>
        <w:tc>
          <w:tcPr>
            <w:tcW w:w="7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686</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685,820</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2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4"/>
              </w:rPr>
              <w:t>Insurance</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6.50%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1,312</w:t>
            </w:r>
          </w:p>
        </w:tc>
        <w:tc>
          <w:tcPr>
            <w:tcW w:w="94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rPr>
              <w:t>1,312,006</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1,645,184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6"/>
              </w:rPr>
              <w:t>Oil and Gas</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101,175</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2,738,050</w:t>
            </w: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w:t>
            </w:r>
          </w:p>
        </w:tc>
        <w:tc>
          <w:tcPr>
            <w:tcW w:w="2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5"/>
              </w:rPr>
              <w:t>Personal Transportation</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3"/>
              </w:rPr>
              <w:t>1,824,167</w:t>
            </w:r>
          </w:p>
        </w:tc>
        <w:tc>
          <w:tcPr>
            <w:tcW w:w="9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1,824,167</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2,061,364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11,515,421</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8,278,302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Interests—10.6%</w:t>
            </w:r>
            <w:r>
              <w:rPr>
                <w:rFonts w:ascii="Arial" w:cs="Arial" w:eastAsia="Arial" w:hAnsi="Arial"/>
                <w:sz w:val="18"/>
                <w:szCs w:val="18"/>
                <w:b w:val="1"/>
                <w:bCs w:val="1"/>
                <w:color w:val="auto"/>
                <w:vertAlign w:val="superscript"/>
              </w:rPr>
              <w:t>(6)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Acentia, LLC, Class A Units</w:t>
            </w:r>
            <w:r>
              <w:rPr>
                <w:rFonts w:ascii="Arial" w:cs="Arial" w:eastAsia="Arial" w:hAnsi="Arial"/>
                <w:sz w:val="17"/>
                <w:szCs w:val="17"/>
                <w:color w:val="auto"/>
                <w:vertAlign w:val="superscript"/>
              </w:rPr>
              <w:t>(12)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Electronics</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1,998</w:t>
            </w:r>
          </w:p>
        </w:tc>
        <w:tc>
          <w:tcPr>
            <w:tcW w:w="9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1,895,000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Inc.(Warrants)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9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03/23/2021</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753</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2,222,581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Broadcasting and Entertainment</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1,333</w:t>
            </w:r>
          </w:p>
        </w:tc>
        <w:tc>
          <w:tcPr>
            <w:tcW w:w="9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40" w:type="dxa"/>
            <w:vAlign w:val="bottom"/>
            <w:gridSpan w:val="2"/>
          </w:tcPr>
          <w:p>
            <w:pPr>
              <w:spacing w:after="0" w:line="122" w:lineRule="exact"/>
              <w:rPr>
                <w:sz w:val="20"/>
                <w:szCs w:val="20"/>
                <w:color w:val="auto"/>
              </w:rPr>
            </w:pPr>
            <w:r>
              <w:rPr>
                <w:rFonts w:ascii="Arial" w:cs="Arial" w:eastAsia="Arial" w:hAnsi="Arial"/>
                <w:sz w:val="14"/>
                <w:szCs w:val="14"/>
                <w:color w:val="auto"/>
              </w:rPr>
              <w:t>CI (Galls) Prime Investment Holdings, LLC</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(Galls, LLC; Quartermaster Inc.)</w:t>
            </w:r>
            <w:r>
              <w:rPr>
                <w:rFonts w:ascii="Arial" w:cs="Arial" w:eastAsia="Arial" w:hAnsi="Arial"/>
                <w:sz w:val="20"/>
                <w:szCs w:val="20"/>
                <w:color w:val="auto"/>
                <w:vertAlign w:val="superscript"/>
              </w:rPr>
              <w:t>(11)</w:t>
            </w:r>
          </w:p>
        </w:tc>
        <w:tc>
          <w:tcPr>
            <w:tcW w:w="2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rPr>
                <w:sz w:val="20"/>
                <w:szCs w:val="20"/>
                <w:color w:val="auto"/>
              </w:rPr>
            </w:pPr>
            <w:r>
              <w:rPr>
                <w:rFonts w:ascii="Arial" w:cs="Arial" w:eastAsia="Arial" w:hAnsi="Arial"/>
                <w:sz w:val="14"/>
                <w:szCs w:val="14"/>
                <w:color w:val="auto"/>
                <w:w w:val="91"/>
              </w:rPr>
              <w:t>Distribution</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color w:val="auto"/>
                <w:w w:val="83"/>
              </w:rPr>
              <w:t>1,505,000</w:t>
            </w:r>
          </w:p>
        </w:tc>
        <w:tc>
          <w:tcPr>
            <w:tcW w:w="940" w:type="dxa"/>
            <w:vAlign w:val="bottom"/>
            <w:gridSpan w:val="4"/>
          </w:tcPr>
          <w:p>
            <w:pPr>
              <w:jc w:val="right"/>
              <w:ind w:right="260"/>
              <w:spacing w:after="0"/>
              <w:rPr>
                <w:sz w:val="20"/>
                <w:szCs w:val="20"/>
                <w:color w:val="auto"/>
              </w:rPr>
            </w:pPr>
            <w:r>
              <w:rPr>
                <w:rFonts w:ascii="Arial" w:cs="Arial" w:eastAsia="Arial" w:hAnsi="Arial"/>
                <w:sz w:val="14"/>
                <w:szCs w:val="14"/>
                <w:color w:val="auto"/>
              </w:rPr>
              <w:t>1,505,000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1,525,615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20" w:type="dxa"/>
            <w:vAlign w:val="bottom"/>
            <w:gridSpan w:val="3"/>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23,416</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234,693</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322,699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0"/>
                <w:szCs w:val="10"/>
                <w:color w:val="auto"/>
              </w:rPr>
              <w:t>CI (IHS) Investment Holdings, LLC</w:t>
            </w:r>
            <w:r>
              <w:rPr>
                <w:rFonts w:ascii="Arial" w:cs="Arial" w:eastAsia="Arial" w:hAnsi="Arial"/>
                <w:sz w:val="15"/>
                <w:szCs w:val="15"/>
                <w:color w:val="auto"/>
                <w:vertAlign w:val="superscript"/>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2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11,708</w:t>
            </w:r>
          </w:p>
        </w:tc>
        <w:tc>
          <w:tcPr>
            <w:tcW w:w="94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rPr>
              <w:t>117,346</w:t>
            </w:r>
          </w:p>
        </w:tc>
        <w:tc>
          <w:tcPr>
            <w:tcW w:w="100" w:type="dxa"/>
            <w:vAlign w:val="bottom"/>
          </w:tcPr>
          <w:p>
            <w:pPr>
              <w:spacing w:after="0"/>
              <w:rPr>
                <w:sz w:val="13"/>
                <w:szCs w:val="13"/>
                <w:color w:val="auto"/>
              </w:rPr>
            </w:pPr>
          </w:p>
        </w:tc>
        <w:tc>
          <w:tcPr>
            <w:tcW w:w="64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5,556</w:t>
            </w:r>
          </w:p>
        </w:tc>
        <w:tc>
          <w:tcPr>
            <w:tcW w:w="9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2,277,209</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6,514,483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2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30,000</w:t>
            </w:r>
          </w:p>
        </w:tc>
        <w:tc>
          <w:tcPr>
            <w:tcW w:w="9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1,350,000</w:t>
            </w:r>
          </w:p>
        </w:tc>
        <w:tc>
          <w:tcPr>
            <w:tcW w:w="100" w:type="dxa"/>
            <w:vAlign w:val="bottom"/>
          </w:tcPr>
          <w:p>
            <w:pPr>
              <w:spacing w:after="0"/>
              <w:rPr>
                <w:sz w:val="12"/>
                <w:szCs w:val="12"/>
                <w:color w:val="auto"/>
              </w:rPr>
            </w:pPr>
          </w:p>
        </w:tc>
        <w:tc>
          <w:tcPr>
            <w:tcW w:w="6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8"/>
              </w:rPr>
              <w:t>Other Media</w:t>
            </w: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348,912</w:t>
            </w:r>
          </w:p>
        </w:tc>
        <w:tc>
          <w:tcPr>
            <w:tcW w:w="94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2,443,050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2,629,572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A</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w w:val="83"/>
              </w:rPr>
              <w:t>1,079,920</w:t>
            </w:r>
          </w:p>
        </w:tc>
        <w:tc>
          <w:tcPr>
            <w:tcW w:w="94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rPr>
              <w:t>1,236,832</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4"/>
              </w:rPr>
              <w:t>11,173,971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D</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20" w:type="dxa"/>
            <w:vAlign w:val="bottom"/>
            <w:gridSpan w:val="3"/>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Healthcare, Education and</w:t>
            </w: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83"/>
              </w:rPr>
              <w:t>1,079,920</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1,028,807</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1,028,807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04/27/2020</w:t>
            </w:r>
          </w:p>
        </w:tc>
        <w:tc>
          <w:tcPr>
            <w:tcW w:w="192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9"/>
              </w:rPr>
              <w:t>Education</w:t>
            </w: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1,267</w:t>
            </w:r>
          </w:p>
        </w:tc>
        <w:tc>
          <w:tcPr>
            <w:tcW w:w="94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779,920</w:t>
            </w:r>
          </w:p>
        </w:tc>
        <w:tc>
          <w:tcPr>
            <w:tcW w:w="100" w:type="dxa"/>
            <w:vAlign w:val="bottom"/>
          </w:tcPr>
          <w:p>
            <w:pPr>
              <w:spacing w:after="0"/>
              <w:rPr>
                <w:sz w:val="12"/>
                <w:szCs w:val="12"/>
                <w:color w:val="auto"/>
              </w:rPr>
            </w:pPr>
          </w:p>
        </w:tc>
        <w:tc>
          <w:tcPr>
            <w:tcW w:w="6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(Eureka Hunter Pipeline, LLC)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6"/>
              </w:rPr>
              <w:t>Oil and Gas</w:t>
            </w:r>
          </w:p>
        </w:tc>
        <w:tc>
          <w:tcPr>
            <w:tcW w:w="7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83"/>
              </w:rPr>
              <w:t>1,221,932</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3,239,999</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5,107,676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w w:val="91"/>
              </w:rPr>
              <w:t>Magnum Hunter Resources Corporation (Warrants) (Eureka Hunter Pipeline,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9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10/14/2013</w:t>
            </w:r>
          </w:p>
        </w:tc>
        <w:tc>
          <w:tcPr>
            <w:tcW w:w="192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6"/>
              </w:rPr>
              <w:t>Oil and Gas</w:t>
            </w:r>
          </w:p>
        </w:tc>
        <w:tc>
          <w:tcPr>
            <w:tcW w:w="7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80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122,193</w:t>
            </w:r>
          </w:p>
        </w:tc>
        <w:tc>
          <w:tcPr>
            <w:tcW w:w="940" w:type="dxa"/>
            <w:vAlign w:val="bottom"/>
            <w:gridSpan w:val="4"/>
          </w:tcPr>
          <w:p>
            <w:pPr>
              <w:jc w:val="right"/>
              <w:ind w:right="260"/>
              <w:spacing w:after="0" w:line="159" w:lineRule="exact"/>
              <w:rPr>
                <w:sz w:val="20"/>
                <w:szCs w:val="20"/>
                <w:color w:val="auto"/>
              </w:rPr>
            </w:pPr>
            <w:r>
              <w:rPr>
                <w:rFonts w:ascii="Arial" w:cs="Arial" w:eastAsia="Arial" w:hAnsi="Arial"/>
                <w:sz w:val="14"/>
                <w:szCs w:val="14"/>
                <w:color w:val="auto"/>
              </w:rPr>
              <w:t>105,697</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37,630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MidOcean JF Holdings Corp.</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(JF Acquisition, LLC)</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91"/>
              </w:rPr>
              <w:t>Distribution</w:t>
            </w:r>
          </w:p>
        </w:tc>
        <w:tc>
          <w:tcPr>
            <w:tcW w:w="7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1,700</w:t>
            </w:r>
          </w:p>
        </w:tc>
        <w:tc>
          <w:tcPr>
            <w:tcW w:w="940" w:type="dxa"/>
            <w:vAlign w:val="bottom"/>
            <w:gridSpan w:val="4"/>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1,700,000</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1,570,528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5"/>
              </w:rPr>
              <w:t>Personal, Food and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gridSpan w:val="2"/>
          </w:tcPr>
          <w:p>
            <w:pPr>
              <w:ind w:left="200"/>
              <w:spacing w:after="0"/>
              <w:rPr>
                <w:sz w:val="20"/>
                <w:szCs w:val="20"/>
                <w:color w:val="auto"/>
              </w:rPr>
            </w:pPr>
            <w:r>
              <w:rPr>
                <w:rFonts w:ascii="Arial" w:cs="Arial" w:eastAsia="Arial" w:hAnsi="Arial"/>
                <w:sz w:val="14"/>
                <w:szCs w:val="14"/>
                <w:color w:val="auto"/>
              </w:rPr>
              <w:t>(Pre-Paid Legal Services, Inc.)</w:t>
            </w:r>
          </w:p>
        </w:tc>
        <w:tc>
          <w:tcPr>
            <w:tcW w:w="2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left="12"/>
              <w:spacing w:after="0"/>
              <w:rPr>
                <w:sz w:val="20"/>
                <w:szCs w:val="20"/>
                <w:color w:val="auto"/>
              </w:rPr>
            </w:pPr>
            <w:r>
              <w:rPr>
                <w:rFonts w:ascii="Arial" w:cs="Arial" w:eastAsia="Arial" w:hAnsi="Arial"/>
                <w:sz w:val="14"/>
                <w:szCs w:val="14"/>
                <w:color w:val="auto"/>
                <w:w w:val="87"/>
              </w:rPr>
              <w:t>Miscellaneous Services</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color w:val="auto"/>
              </w:rPr>
              <w:t>3,000</w:t>
            </w:r>
          </w:p>
        </w:tc>
        <w:tc>
          <w:tcPr>
            <w:tcW w:w="940" w:type="dxa"/>
            <w:vAlign w:val="bottom"/>
            <w:gridSpan w:val="4"/>
          </w:tcPr>
          <w:p>
            <w:pPr>
              <w:jc w:val="right"/>
              <w:ind w:right="260"/>
              <w:spacing w:after="0"/>
              <w:rPr>
                <w:sz w:val="20"/>
                <w:szCs w:val="20"/>
                <w:color w:val="auto"/>
              </w:rPr>
            </w:pPr>
            <w:r>
              <w:rPr>
                <w:rFonts w:ascii="Arial" w:cs="Arial" w:eastAsia="Arial" w:hAnsi="Arial"/>
                <w:sz w:val="14"/>
                <w:szCs w:val="14"/>
                <w:color w:val="auto"/>
              </w:rPr>
              <w:t>3,000,000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3,965,797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Current</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Maturity</w:t>
            </w:r>
          </w:p>
        </w:tc>
        <w:tc>
          <w:tcPr>
            <w:tcW w:w="660" w:type="dxa"/>
            <w:vAlign w:val="bottom"/>
          </w:tcPr>
          <w:p>
            <w:pPr>
              <w:spacing w:after="0"/>
              <w:rPr>
                <w:sz w:val="14"/>
                <w:szCs w:val="14"/>
                <w:color w:val="auto"/>
              </w:rPr>
            </w:pPr>
          </w:p>
        </w:tc>
        <w:tc>
          <w:tcPr>
            <w:tcW w:w="1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Industry</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Coupon</w:t>
            </w:r>
          </w:p>
        </w:tc>
        <w:tc>
          <w:tcPr>
            <w:tcW w:w="720" w:type="dxa"/>
            <w:vAlign w:val="bottom"/>
            <w:gridSpan w:val="2"/>
          </w:tcPr>
          <w:p>
            <w:pPr>
              <w:jc w:val="center"/>
              <w:ind w:right="26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6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New Service Champ Holdings, Inc.</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 Champ, Inc.)</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90"/>
              </w:rPr>
              <w:t>Auto Sector</w:t>
            </w:r>
          </w:p>
        </w:tc>
        <w:tc>
          <w:tcPr>
            <w:tcW w:w="114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16,800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4,200,000</w:t>
            </w:r>
          </w:p>
        </w:tc>
        <w:tc>
          <w:tcPr>
            <w:tcW w:w="3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4,473,000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Paradigm Acquisition Corp.</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Healthcare, Education and</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(Paradigm Management Services, LLC)</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Childcare</w:t>
            </w:r>
          </w:p>
        </w:tc>
        <w:tc>
          <w:tcPr>
            <w:tcW w:w="11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2,028,189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8"/>
              </w:rPr>
              <w:t>Other Media</w:t>
            </w:r>
          </w:p>
        </w:tc>
        <w:tc>
          <w:tcPr>
            <w:tcW w:w="11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4,325</w:t>
            </w: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1,306,167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2,237,306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8"/>
              </w:rPr>
              <w:t>Other Media</w:t>
            </w:r>
          </w:p>
        </w:tc>
        <w:tc>
          <w:tcPr>
            <w:tcW w:w="114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531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274,684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 Class A (Tekelec Global, Inc.)</w:t>
            </w: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1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83"/>
              </w:rPr>
              <w:t>2,276,847</w:t>
            </w: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2,274,883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3,793,724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12/29/2019</w:t>
            </w:r>
          </w:p>
        </w:tc>
        <w:tc>
          <w:tcPr>
            <w:tcW w:w="19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3,500</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1,169,979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0"/>
                <w:szCs w:val="10"/>
                <w:color w:val="auto"/>
              </w:rPr>
              <w:t>Transportation 100 Holdco, L.L.C.</w:t>
            </w:r>
            <w:r>
              <w:rPr>
                <w:rFonts w:ascii="Arial" w:cs="Arial" w:eastAsia="Arial" w:hAnsi="Arial"/>
                <w:sz w:val="15"/>
                <w:szCs w:val="15"/>
                <w:color w:val="auto"/>
                <w:vertAlign w:val="superscript"/>
              </w:rPr>
              <w:t>(10)</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6"/>
              </w:rPr>
              <w:t>Cargo Transport</w:t>
            </w:r>
          </w:p>
        </w:tc>
        <w:tc>
          <w:tcPr>
            <w:tcW w:w="11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137,923</w:t>
            </w: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2,111,588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4"/>
              </w:rPr>
              <w:t>Insurance</w:t>
            </w:r>
          </w:p>
        </w:tc>
        <w:tc>
          <w:tcPr>
            <w:tcW w:w="11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9,843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1,327,410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6"/>
              </w:rPr>
              <w:t>Oil and Gas</w:t>
            </w:r>
          </w:p>
        </w:tc>
        <w:tc>
          <w:tcPr>
            <w:tcW w:w="11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110,742</w:t>
            </w: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1,107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Personal Transportation</w:t>
            </w:r>
          </w:p>
        </w:tc>
        <w:tc>
          <w:tcPr>
            <w:tcW w:w="11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9,167</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35,526</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4,050,000</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7,197,643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40,030,708</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60,505,516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6"/>
              </w:rPr>
              <w:t>Total Investments in Non-Controlled, Non-Affiliated Portfolio</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4"/>
              </w:rPr>
              <w:t>907,304,090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4"/>
              </w:rPr>
              <w:t>878,560,096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1"/>
              </w:rPr>
              <w:t>Investments in Non-Controlled, Affiliated Portfolio Companies—</w:t>
            </w: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b w:val="1"/>
                <w:bCs w:val="1"/>
                <w:color w:val="auto"/>
                <w:vertAlign w:val="subscript"/>
              </w:rPr>
              <w:t>6.3%</w:t>
            </w:r>
            <w:r>
              <w:rPr>
                <w:rFonts w:ascii="Arial" w:cs="Arial" w:eastAsia="Arial" w:hAnsi="Arial"/>
                <w:sz w:val="9"/>
                <w:szCs w:val="9"/>
                <w:b w:val="1"/>
                <w:bCs w:val="1"/>
                <w:color w:val="auto"/>
              </w:rPr>
              <w:t>(1),(2)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9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01/16/2015</w:t>
            </w:r>
          </w:p>
        </w:tc>
        <w:tc>
          <w:tcPr>
            <w:tcW w:w="192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Leisure, Amusement Motion</w:t>
            </w:r>
          </w:p>
        </w:tc>
        <w:tc>
          <w:tcPr>
            <w:tcW w:w="114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4"/>
                <w:szCs w:val="14"/>
                <w:color w:val="auto"/>
              </w:rPr>
              <w:t>7.25%</w:t>
            </w:r>
          </w:p>
        </w:tc>
        <w:tc>
          <w:tcPr>
            <w:tcW w:w="7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L+625</w:t>
            </w:r>
            <w:r>
              <w:rPr>
                <w:rFonts w:ascii="Arial" w:cs="Arial" w:eastAsia="Arial" w:hAnsi="Arial"/>
                <w:sz w:val="15"/>
                <w:szCs w:val="15"/>
                <w:color w:val="auto"/>
                <w:vertAlign w:val="superscript"/>
              </w:rPr>
              <w:t>(7)</w:t>
            </w:r>
          </w:p>
        </w:tc>
        <w:tc>
          <w:tcPr>
            <w:tcW w:w="1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83"/>
              </w:rPr>
              <w:t>8,000,000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8,000,000</w:t>
            </w:r>
          </w:p>
        </w:tc>
        <w:tc>
          <w:tcPr>
            <w:tcW w:w="3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7,552,000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6"/>
              </w:rPr>
              <w:t>Pictures and Entertainment</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8,000,000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7,552,000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9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07/16/2015</w:t>
            </w:r>
          </w:p>
        </w:tc>
        <w:tc>
          <w:tcPr>
            <w:tcW w:w="19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8"/>
              </w:rPr>
              <w:t>Leisure, Amusement, Motion</w:t>
            </w:r>
          </w:p>
        </w:tc>
        <w:tc>
          <w:tcPr>
            <w:tcW w:w="11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15.00%</w:t>
            </w:r>
          </w:p>
        </w:tc>
        <w:tc>
          <w:tcPr>
            <w:tcW w:w="72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83"/>
              </w:rPr>
              <w:t>7,567,234</w:t>
            </w:r>
          </w:p>
        </w:tc>
        <w:tc>
          <w:tcPr>
            <w:tcW w:w="6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7,428,396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7,340,217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6"/>
              </w:rPr>
              <w:t>Pictures and Entertainment</w:t>
            </w:r>
          </w:p>
        </w:tc>
        <w:tc>
          <w:tcPr>
            <w:tcW w:w="11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93"/>
              </w:rPr>
              <w:t>(PIK 15.00%)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Interest—3.7%</w:t>
            </w:r>
            <w:r>
              <w:rPr>
                <w:rFonts w:ascii="Arial" w:cs="Arial" w:eastAsia="Arial" w:hAnsi="Arial"/>
                <w:sz w:val="17"/>
                <w:szCs w:val="17"/>
                <w:b w:val="1"/>
                <w:bCs w:val="1"/>
                <w:color w:val="auto"/>
                <w:vertAlign w:val="superscript"/>
              </w:rPr>
              <w:t>(6)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123,418</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9,870,164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19,143,137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8"/>
              </w:rPr>
              <w:t>Leisure, Amusement, Motion</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(Performance Holdings, Inc.)</w:t>
            </w:r>
          </w:p>
        </w:tc>
        <w:tc>
          <w:tcPr>
            <w:tcW w:w="160" w:type="dxa"/>
            <w:vAlign w:val="bottom"/>
          </w:tcPr>
          <w:p>
            <w:pPr>
              <w:spacing w:after="0"/>
              <w:rPr>
                <w:sz w:val="14"/>
                <w:szCs w:val="14"/>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9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6"/>
              </w:rPr>
              <w:t>Pictures and Entertainment</w:t>
            </w:r>
          </w:p>
        </w:tc>
        <w:tc>
          <w:tcPr>
            <w:tcW w:w="11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375,000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3,750,000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2,011,448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13,620,164</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21,154,585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in Non-Controlled, Affiliated Portfolio</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9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29,048,560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36,046,802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42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4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Coupon</w:t>
            </w: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4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260"/>
              <w:spacing w:after="0" w:line="162" w:lineRule="exact"/>
              <w:rPr>
                <w:sz w:val="20"/>
                <w:szCs w:val="20"/>
                <w:color w:val="auto"/>
              </w:rPr>
            </w:pPr>
            <w:r>
              <w:rPr>
                <w:rFonts w:ascii="Arial" w:cs="Arial" w:eastAsia="Arial" w:hAnsi="Arial"/>
                <w:sz w:val="12"/>
                <w:szCs w:val="12"/>
                <w:b w:val="1"/>
                <w:bCs w:val="1"/>
                <w:color w:val="auto"/>
                <w:w w:val="95"/>
              </w:rPr>
              <w:t xml:space="preserve">Value </w:t>
            </w:r>
            <w:r>
              <w:rPr>
                <w:rFonts w:ascii="Arial" w:cs="Arial" w:eastAsia="Arial" w:hAnsi="Arial"/>
                <w:sz w:val="18"/>
                <w:szCs w:val="18"/>
                <w:b w:val="1"/>
                <w:bCs w:val="1"/>
                <w:color w:val="auto"/>
                <w:w w:val="95"/>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Controlled, Affiliated Portfolio Companies—2.6%</w:t>
            </w:r>
            <w:r>
              <w:rPr>
                <w:rFonts w:ascii="Arial" w:cs="Arial" w:eastAsia="Arial" w:hAnsi="Arial"/>
                <w:sz w:val="14"/>
                <w:szCs w:val="14"/>
                <w:b w:val="1"/>
                <w:bCs w:val="1"/>
                <w:color w:val="auto"/>
                <w:vertAlign w:val="superscript"/>
              </w:rPr>
              <w:t>(1),(2)</w:t>
            </w: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06/30/2020</w:t>
            </w:r>
          </w:p>
        </w:tc>
        <w:tc>
          <w:tcPr>
            <w:tcW w:w="14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$10,000,000</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10,492,807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Notes—0.4%</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06/30/2020</w:t>
            </w:r>
          </w:p>
        </w:tc>
        <w:tc>
          <w:tcPr>
            <w:tcW w:w="14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2,500,000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2,276,581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Equity—0.3%</w:t>
            </w:r>
            <w:r>
              <w:rPr>
                <w:rFonts w:ascii="Arial" w:cs="Arial" w:eastAsia="Arial" w:hAnsi="Arial"/>
                <w:sz w:val="18"/>
                <w:szCs w:val="18"/>
                <w:b w:val="1"/>
                <w:bCs w:val="1"/>
                <w:color w:val="auto"/>
                <w:vertAlign w:val="superscript"/>
              </w:rPr>
              <w:t>(6)</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1,730,612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(6)</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14,500,100</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14,500,000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Investments—162.3%</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950,852,750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929,106,898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Equivalents—1.6%</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9,316,015</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9,316,015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Equivalents—163.9%</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960,168,765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938,422,913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6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Assets—(63.9%)</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w w:val="89"/>
              </w:rPr>
              <w:t>(365,761,404)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572,661,509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80" w:hanging="332"/>
        <w:spacing w:after="0" w:line="22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w:t>
      </w:r>
    </w:p>
    <w:p>
      <w:pPr>
        <w:ind w:left="340" w:right="28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usually to qualified institutional buyers.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Investments Holdings, LLC, a consolidated subsidiary.</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42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2"/>
                <w:szCs w:val="12"/>
                <w:color w:val="auto"/>
              </w:rPr>
            </w:pPr>
          </w:p>
        </w:tc>
        <w:tc>
          <w:tcPr>
            <w:tcW w:w="14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62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4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Companies—167.2%</w:t>
            </w:r>
            <w:r>
              <w:rPr>
                <w:rFonts w:ascii="Arial" w:cs="Arial" w:eastAsia="Arial" w:hAnsi="Arial"/>
                <w:sz w:val="20"/>
                <w:szCs w:val="20"/>
                <w:b w:val="1"/>
                <w:bCs w:val="1"/>
                <w:color w:val="auto"/>
                <w:vertAlign w:val="superscript"/>
              </w:rPr>
              <w:t>(1),(2)</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03/23/2015</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$20,300,000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$ 19,748,930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10/01/2016</w:t>
            </w:r>
          </w:p>
        </w:tc>
        <w:tc>
          <w:tcPr>
            <w:tcW w:w="900" w:type="dxa"/>
            <w:vAlign w:val="bottom"/>
          </w:tcPr>
          <w:p>
            <w:pPr>
              <w:spacing w:after="0"/>
              <w:rPr>
                <w:sz w:val="12"/>
                <w:szCs w:val="12"/>
                <w:color w:val="auto"/>
              </w:rPr>
            </w:pPr>
          </w:p>
        </w:tc>
        <w:tc>
          <w:tcPr>
            <w:tcW w:w="148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1"/>
              </w:rPr>
              <w:t>Logistics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11.63%</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7,328,729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04/01/2018</w:t>
            </w:r>
          </w:p>
        </w:tc>
        <w:tc>
          <w:tcPr>
            <w:tcW w:w="9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91"/>
              </w:rPr>
              <w:t>Logistics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988,872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120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07/29/2016</w:t>
            </w:r>
          </w:p>
        </w:tc>
        <w:tc>
          <w:tcPr>
            <w:tcW w:w="23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9"/>
              </w:rPr>
              <w:t>Hotels, Motels, Inns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L+988</w:t>
            </w:r>
            <w:r>
              <w:rPr>
                <w:rFonts w:ascii="Arial" w:cs="Arial" w:eastAsia="Arial" w:hAnsi="Arial"/>
                <w:sz w:val="22"/>
                <w:szCs w:val="22"/>
                <w:color w:val="auto"/>
                <w:vertAlign w:val="superscript"/>
              </w:rPr>
              <w:t>(8)</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and Gaming</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12.38%</w:t>
            </w:r>
          </w:p>
        </w:tc>
        <w:tc>
          <w:tcPr>
            <w:tcW w:w="740" w:type="dxa"/>
            <w:vAlign w:val="bottom"/>
            <w:gridSpan w:val="2"/>
            <w:vMerge w:val="continue"/>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11,358,254</w:t>
            </w:r>
          </w:p>
        </w:tc>
        <w:tc>
          <w:tcPr>
            <w:tcW w:w="920" w:type="dxa"/>
            <w:vAlign w:val="bottom"/>
            <w:gridSpan w:val="5"/>
          </w:tcPr>
          <w:p>
            <w:pPr>
              <w:jc w:val="right"/>
              <w:ind w:right="80"/>
              <w:spacing w:after="0"/>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11/20/2014</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Communications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11/03/2015</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Telecommunications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6,475,000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6,362,696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12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12/01/2016</w:t>
            </w:r>
          </w:p>
        </w:tc>
        <w:tc>
          <w:tcPr>
            <w:tcW w:w="23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03/10/2014</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2.56%</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8,662,500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08/07/2014</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Printing and Publishing</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24,625,000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24,227,464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10/04/2016</w:t>
            </w:r>
          </w:p>
        </w:tc>
        <w:tc>
          <w:tcPr>
            <w:tcW w:w="23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and Childcare</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11.50%</w:t>
            </w:r>
          </w:p>
        </w:tc>
        <w:tc>
          <w:tcPr>
            <w:tcW w:w="740" w:type="dxa"/>
            <w:vAlign w:val="bottom"/>
            <w:gridSpan w:val="2"/>
            <w:vMerge w:val="continue"/>
          </w:tcPr>
          <w:p>
            <w:pPr>
              <w:spacing w:after="0"/>
              <w:rPr>
                <w:sz w:val="13"/>
                <w:szCs w:val="13"/>
                <w:color w:val="auto"/>
              </w:rPr>
            </w:pP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18,572,500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120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02/07/2014</w:t>
            </w:r>
          </w:p>
        </w:tc>
        <w:tc>
          <w:tcPr>
            <w:tcW w:w="23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9"/>
              </w:rPr>
              <w:t>Home and Office</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2.51%</w:t>
            </w:r>
          </w:p>
        </w:tc>
        <w:tc>
          <w:tcPr>
            <w:tcW w:w="7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9,671,622</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9,671,622</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6,866,851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Furnishings, Housewares and</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3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7"/>
              </w:rPr>
              <w:t>Durable Consumer Products</w:t>
            </w: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09/10/2015</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P+675</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18,952,500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18,002,959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Pharmaceuticals, LLC</w:t>
            </w: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89"/>
              </w:rPr>
              <w:t>L+1,300</w:t>
            </w:r>
            <w:r>
              <w:rPr>
                <w:rFonts w:ascii="Arial" w:cs="Arial" w:eastAsia="Arial" w:hAnsi="Arial"/>
                <w:sz w:val="22"/>
                <w:szCs w:val="22"/>
                <w:color w:val="auto"/>
                <w:w w:val="89"/>
                <w:vertAlign w:val="superscript"/>
              </w:rPr>
              <w:t>(8)</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Three Rivers Pharmaceutical, L.L.C.)</w:t>
            </w:r>
          </w:p>
        </w:tc>
        <w:tc>
          <w:tcPr>
            <w:tcW w:w="120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10/22/2011</w:t>
            </w:r>
          </w:p>
        </w:tc>
        <w:tc>
          <w:tcPr>
            <w:tcW w:w="23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15.00%</w:t>
            </w:r>
          </w:p>
        </w:tc>
        <w:tc>
          <w:tcPr>
            <w:tcW w:w="740" w:type="dxa"/>
            <w:vAlign w:val="bottom"/>
            <w:gridSpan w:val="2"/>
            <w:vMerge w:val="continue"/>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29,066,987</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27,940,332</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04/27/2016</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26,052,632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25,555,967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08/01/2014</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37,779,699</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32,241,162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26,130,971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Prepaid Legal Services, Inc., Tranche A</w:t>
            </w:r>
          </w:p>
        </w:tc>
        <w:tc>
          <w:tcPr>
            <w:tcW w:w="120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12/30/2016</w:t>
            </w:r>
          </w:p>
        </w:tc>
        <w:tc>
          <w:tcPr>
            <w:tcW w:w="23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7.50%</w:t>
            </w:r>
            <w:r>
              <w:rPr>
                <w:rFonts w:ascii="Arial" w:cs="Arial" w:eastAsia="Arial" w:hAnsi="Arial"/>
                <w:sz w:val="15"/>
                <w:szCs w:val="15"/>
                <w:color w:val="auto"/>
                <w:vertAlign w:val="superscript"/>
              </w:rPr>
              <w:t>(6)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0"/>
                <w:szCs w:val="10"/>
                <w:color w:val="auto"/>
              </w:rPr>
              <w:t>L+600</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1,970,966</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5"/>
              </w:rPr>
              <w:t>Services</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Prepaid Legal Services, Inc., Tranche B</w:t>
            </w:r>
          </w:p>
        </w:tc>
        <w:tc>
          <w:tcPr>
            <w:tcW w:w="120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12/30/2016</w:t>
            </w:r>
          </w:p>
        </w:tc>
        <w:tc>
          <w:tcPr>
            <w:tcW w:w="23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11.00%</w:t>
            </w:r>
            <w:r>
              <w:rPr>
                <w:rFonts w:ascii="Arial" w:cs="Arial" w:eastAsia="Arial" w:hAnsi="Arial"/>
                <w:sz w:val="15"/>
                <w:szCs w:val="15"/>
                <w:color w:val="auto"/>
                <w:vertAlign w:val="superscript"/>
              </w:rPr>
              <w:t>(6)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8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35,000,000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33,978,263</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40"/>
              <w:spacing w:after="0" w:line="159" w:lineRule="exact"/>
              <w:rPr>
                <w:sz w:val="20"/>
                <w:szCs w:val="20"/>
                <w:color w:val="auto"/>
              </w:rPr>
            </w:pPr>
            <w:r>
              <w:rPr>
                <w:rFonts w:ascii="Arial" w:cs="Arial" w:eastAsia="Arial" w:hAnsi="Arial"/>
                <w:sz w:val="14"/>
                <w:szCs w:val="14"/>
                <w:color w:val="auto"/>
                <w:w w:val="85"/>
              </w:rPr>
              <w:t>Services</w:t>
            </w: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12/16/2012</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L+550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12/16/2012</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240,485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VPSI, Inc.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12/23/2015</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Personal Transportation</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17,302,083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17,047,133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07/15/2016</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Hotels, Motels, Inns and Gaming</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11.38%</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4,391,231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289,742,323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02/07/2015</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02/07/2015</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7.33%</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02/01/2017</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08/16/2018</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 / Utilities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Eureka Hunter Pipeline, LLC</w:t>
            </w:r>
            <w:r>
              <w:rPr>
                <w:rFonts w:ascii="Arial" w:cs="Arial" w:eastAsia="Arial" w:hAnsi="Arial"/>
                <w:sz w:val="17"/>
                <w:szCs w:val="17"/>
                <w:color w:val="auto"/>
                <w:vertAlign w:val="superscript"/>
              </w:rPr>
              <w:t>(9)</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08/15/2012</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 / Utilities</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03/01/2014</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12/15/2014</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12/15/2015</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1,990,370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09/13/2016</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10/15/2017</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13.50%</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09/01/2018</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Hotels, Motels, Inns and Gaming</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12.13%</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15,726,668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16,160,000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12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06/15/2015</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11,856,253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06/15/2015</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Financial Services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176,092,412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152,065,785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6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86"/>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44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880" w:type="dxa"/>
            <w:vAlign w:val="bottom"/>
          </w:tcPr>
          <w:p>
            <w:pPr>
              <w:spacing w:after="0"/>
              <w:rPr>
                <w:sz w:val="12"/>
                <w:szCs w:val="12"/>
                <w:color w:val="auto"/>
              </w:rPr>
            </w:pPr>
          </w:p>
        </w:tc>
        <w:tc>
          <w:tcPr>
            <w:tcW w:w="146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3"/>
              </w:rPr>
              <w:t>Coupon</w:t>
            </w:r>
          </w:p>
        </w:tc>
        <w:tc>
          <w:tcPr>
            <w:tcW w:w="4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36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Subordinated Debt/Corporate Notes—65.0%</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11/15/2015</w:t>
            </w:r>
          </w:p>
        </w:tc>
        <w:tc>
          <w:tcPr>
            <w:tcW w:w="23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11.63%</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$26,345,000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$ 26,391,240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12/15/2016</w:t>
            </w:r>
          </w:p>
        </w:tc>
        <w:tc>
          <w:tcPr>
            <w:tcW w:w="234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18,885,000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18,440,262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04/17/2015</w:t>
            </w:r>
          </w:p>
        </w:tc>
        <w:tc>
          <w:tcPr>
            <w:tcW w:w="2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8,109,468</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7,997,216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Diversitech Corporation</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01/29/2017</w:t>
            </w:r>
          </w:p>
        </w:tc>
        <w:tc>
          <w:tcPr>
            <w:tcW w:w="234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Manufacturing / Basic Industry</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10,783,491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06/01/2016</w:t>
            </w:r>
          </w:p>
        </w:tc>
        <w:tc>
          <w:tcPr>
            <w:tcW w:w="23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Electronics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24,560,142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Last Mile Funding, Corp.</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06/30/2016</w:t>
            </w:r>
          </w:p>
        </w:tc>
        <w:tc>
          <w:tcPr>
            <w:tcW w:w="23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44,456,391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43,380,579</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06/30/2016</w:t>
            </w:r>
          </w:p>
        </w:tc>
        <w:tc>
          <w:tcPr>
            <w:tcW w:w="23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4,566,982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01/26/2017</w:t>
            </w:r>
          </w:p>
        </w:tc>
        <w:tc>
          <w:tcPr>
            <w:tcW w:w="23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 Plastic and Rubber</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13.88%</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33,937,985</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33,119,280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Mailsouth, Inc.</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06/15/2017</w:t>
            </w:r>
          </w:p>
        </w:tc>
        <w:tc>
          <w:tcPr>
            <w:tcW w:w="2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Printing and Publishing</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14,579,991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10/14/2016</w:t>
            </w:r>
          </w:p>
        </w:tc>
        <w:tc>
          <w:tcPr>
            <w:tcW w:w="234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PAS Technologies, Inc.</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05/12/2017</w:t>
            </w:r>
          </w:p>
        </w:tc>
        <w:tc>
          <w:tcPr>
            <w:tcW w:w="2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14.02%</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16,785,000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16,400,403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12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12/03/2016</w:t>
            </w:r>
          </w:p>
        </w:tc>
        <w:tc>
          <w:tcPr>
            <w:tcW w:w="234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90"/>
              </w:rPr>
              <w:t>Mining, Steel, Iron and Non-</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(6)</w:t>
            </w:r>
          </w:p>
        </w:tc>
        <w:tc>
          <w:tcPr>
            <w:tcW w:w="46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26,169,195</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25,667,843</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Precious Metals</w:t>
            </w: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04/15/2018</w:t>
            </w:r>
          </w:p>
        </w:tc>
        <w:tc>
          <w:tcPr>
            <w:tcW w:w="2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9,159,259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12/29/2015</w:t>
            </w:r>
          </w:p>
        </w:tc>
        <w:tc>
          <w:tcPr>
            <w:tcW w:w="234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12,020,950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02/08/2015</w:t>
            </w:r>
          </w:p>
        </w:tc>
        <w:tc>
          <w:tcPr>
            <w:tcW w:w="23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26,276,070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12/31/2015</w:t>
            </w:r>
          </w:p>
        </w:tc>
        <w:tc>
          <w:tcPr>
            <w:tcW w:w="234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12/31/2012</w:t>
            </w:r>
          </w:p>
        </w:tc>
        <w:tc>
          <w:tcPr>
            <w:tcW w:w="23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316,401,098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 —1.7%</w:t>
            </w:r>
            <w:r>
              <w:rPr>
                <w:rFonts w:ascii="Arial" w:cs="Arial" w:eastAsia="Arial" w:hAnsi="Arial"/>
                <w:sz w:val="18"/>
                <w:szCs w:val="18"/>
                <w:b w:val="1"/>
                <w:bCs w:val="1"/>
                <w:color w:val="auto"/>
                <w:vertAlign w:val="superscript"/>
              </w:rPr>
              <w:t>(7)</w:t>
            </w: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44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7505</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909</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909,248</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44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20,000</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1,980,000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900"/>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686</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44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1460" w:type="dxa"/>
            <w:vAlign w:val="bottom"/>
            <w:gridSpan w:val="2"/>
          </w:tcPr>
          <w:p>
            <w:pPr>
              <w:jc w:val="center"/>
              <w:ind w:right="900"/>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6.50%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1,312</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101,175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440" w:type="dxa"/>
            <w:vAlign w:val="bottom"/>
          </w:tcPr>
          <w:p>
            <w:pPr>
              <w:spacing w:after="0"/>
              <w:rPr>
                <w:sz w:val="14"/>
                <w:szCs w:val="14"/>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6"/>
              </w:rPr>
              <w:t>Personal Transportation</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1,824,167</w:t>
            </w:r>
          </w:p>
        </w:tc>
        <w:tc>
          <w:tcPr>
            <w:tcW w:w="10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10,268,187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8,024,938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Interests—7.0%</w:t>
            </w:r>
            <w:r>
              <w:rPr>
                <w:rFonts w:ascii="Arial" w:cs="Arial" w:eastAsia="Arial" w:hAnsi="Arial"/>
                <w:sz w:val="18"/>
                <w:szCs w:val="18"/>
                <w:b w:val="1"/>
                <w:bCs w:val="1"/>
                <w:color w:val="auto"/>
                <w:vertAlign w:val="superscript"/>
              </w:rPr>
              <w:t>(7)</w:t>
            </w: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(American Surgical Holdings, Inc.) (Warrants)</w:t>
            </w:r>
          </w:p>
        </w:tc>
        <w:tc>
          <w:tcPr>
            <w:tcW w:w="12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03/23/2021</w:t>
            </w:r>
          </w:p>
        </w:tc>
        <w:tc>
          <w:tcPr>
            <w:tcW w:w="234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8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4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Broadcasting and Entertainment</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1,333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1,856</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18,556</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1,443,556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44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5,556</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2,277,209</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 /</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2"/>
                <w:szCs w:val="12"/>
                <w:color w:val="auto"/>
              </w:rPr>
            </w:pPr>
          </w:p>
        </w:tc>
        <w:tc>
          <w:tcPr>
            <w:tcW w:w="134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4"/>
              </w:rPr>
              <w:t>Industry</w:t>
            </w:r>
          </w:p>
        </w:tc>
        <w:tc>
          <w:tcPr>
            <w:tcW w:w="7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6"/>
              </w:rPr>
              <w:t>Coupon</w:t>
            </w: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8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86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Kadmon Corporation, LLC, Class A</w:t>
            </w: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6"/>
              </w:rPr>
              <w:t>$1,079,920</w:t>
            </w: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1,236,832</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1,079,920</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1,028,807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04/27/2020</w:t>
            </w:r>
          </w:p>
        </w:tc>
        <w:tc>
          <w:tcPr>
            <w:tcW w:w="224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Education</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1,267</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1,221,932</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3,239,999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10/14/2013</w:t>
            </w:r>
          </w:p>
        </w:tc>
        <w:tc>
          <w:tcPr>
            <w:tcW w:w="224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122,193</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105,697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5"/>
              </w:rPr>
              <w:t>Personal, Food and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(Pre-Paid LegalServices, Inc.)</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Miscellaneous Services</w:t>
            </w:r>
          </w:p>
        </w:tc>
        <w:tc>
          <w:tcPr>
            <w:tcW w:w="7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3,000</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20,000</w:t>
            </w: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4,325</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1,306,167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12/29/2019</w:t>
            </w:r>
          </w:p>
        </w:tc>
        <w:tc>
          <w:tcPr>
            <w:tcW w:w="224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3,500</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29,400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6"/>
              </w:rPr>
              <w:t>Cargo Transport</w:t>
            </w:r>
          </w:p>
        </w:tc>
        <w:tc>
          <w:tcPr>
            <w:tcW w:w="7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137,923</w:t>
            </w:r>
          </w:p>
        </w:tc>
        <w:tc>
          <w:tcPr>
            <w:tcW w:w="1020" w:type="dxa"/>
            <w:vAlign w:val="bottom"/>
            <w:gridSpan w:val="5"/>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2,111,588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34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110,742</w:t>
            </w: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5"/>
              </w:rPr>
              <w:t>Personal Transportation</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9,166</w:t>
            </w:r>
          </w:p>
        </w:tc>
        <w:tc>
          <w:tcPr>
            <w:tcW w:w="1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9,166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35,526</w:t>
            </w:r>
          </w:p>
        </w:tc>
        <w:tc>
          <w:tcPr>
            <w:tcW w:w="1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23,574,291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7"/>
              </w:rPr>
              <w:t>Total Investments in Non-Controlled, Non-Affiliated Portfolio</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816,078,311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2"/>
              </w:rPr>
              <w:t>Investments in Non-Controlled, Affiliated Portfolio Companies—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60" w:type="dxa"/>
            <w:vAlign w:val="bottom"/>
            <w:gridSpan w:val="3"/>
          </w:tcPr>
          <w:p>
            <w:pPr>
              <w:ind w:left="220"/>
              <w:spacing w:after="0" w:line="176" w:lineRule="exact"/>
              <w:rPr>
                <w:sz w:val="20"/>
                <w:szCs w:val="20"/>
                <w:color w:val="auto"/>
              </w:rPr>
            </w:pPr>
            <w:r>
              <w:rPr>
                <w:rFonts w:ascii="Arial" w:cs="Arial" w:eastAsia="Arial" w:hAnsi="Arial"/>
                <w:sz w:val="20"/>
                <w:szCs w:val="20"/>
                <w:b w:val="1"/>
                <w:bCs w:val="1"/>
                <w:color w:val="auto"/>
                <w:vertAlign w:val="subscript"/>
              </w:rPr>
              <w:t>8.8%</w:t>
            </w:r>
            <w:r>
              <w:rPr>
                <w:rFonts w:ascii="Arial" w:cs="Arial" w:eastAsia="Arial" w:hAnsi="Arial"/>
                <w:sz w:val="9"/>
                <w:szCs w:val="9"/>
                <w:b w:val="1"/>
                <w:bCs w:val="1"/>
                <w:color w:val="auto"/>
              </w:rPr>
              <w:t>(1),(2)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07/29/2013</w:t>
            </w:r>
          </w:p>
        </w:tc>
        <w:tc>
          <w:tcPr>
            <w:tcW w:w="224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7"/>
              </w:rPr>
              <w:t>Environmental Services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6,666,666</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spacing w:after="0" w:line="122" w:lineRule="exact"/>
              <w:rPr>
                <w:sz w:val="20"/>
                <w:szCs w:val="20"/>
                <w:color w:val="auto"/>
              </w:rPr>
            </w:pPr>
            <w:r>
              <w:rPr>
                <w:rFonts w:ascii="Arial" w:cs="Arial" w:eastAsia="Arial" w:hAnsi="Arial"/>
                <w:sz w:val="14"/>
                <w:szCs w:val="14"/>
                <w:color w:val="auto"/>
              </w:rPr>
              <w:t>EnviroSolutions, Inc.</w:t>
            </w:r>
          </w:p>
        </w:tc>
        <w:tc>
          <w:tcPr>
            <w:tcW w:w="960" w:type="dxa"/>
            <w:vAlign w:val="bottom"/>
            <w:gridSpan w:val="3"/>
          </w:tcPr>
          <w:p>
            <w:pPr>
              <w:jc w:val="right"/>
              <w:ind w:right="140"/>
              <w:spacing w:after="0" w:line="122" w:lineRule="exact"/>
              <w:rPr>
                <w:sz w:val="20"/>
                <w:szCs w:val="20"/>
                <w:color w:val="auto"/>
              </w:rPr>
            </w:pPr>
            <w:r>
              <w:rPr>
                <w:rFonts w:ascii="Arial" w:cs="Arial" w:eastAsia="Arial" w:hAnsi="Arial"/>
                <w:sz w:val="14"/>
                <w:szCs w:val="14"/>
                <w:color w:val="auto"/>
              </w:rPr>
              <w:t>07/29/2014</w:t>
            </w:r>
          </w:p>
        </w:tc>
        <w:tc>
          <w:tcPr>
            <w:tcW w:w="2240" w:type="dxa"/>
            <w:vAlign w:val="bottom"/>
            <w:gridSpan w:val="3"/>
          </w:tcPr>
          <w:p>
            <w:pPr>
              <w:jc w:val="center"/>
              <w:ind w:left="12"/>
              <w:spacing w:after="0" w:line="122" w:lineRule="exact"/>
              <w:rPr>
                <w:sz w:val="20"/>
                <w:szCs w:val="20"/>
                <w:color w:val="auto"/>
              </w:rPr>
            </w:pPr>
            <w:r>
              <w:rPr>
                <w:rFonts w:ascii="Arial" w:cs="Arial" w:eastAsia="Arial" w:hAnsi="Arial"/>
                <w:sz w:val="14"/>
                <w:szCs w:val="14"/>
                <w:color w:val="auto"/>
                <w:w w:val="87"/>
              </w:rPr>
              <w:t>Environmental Services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4"/>
                <w:szCs w:val="14"/>
                <w:color w:val="auto"/>
              </w:rPr>
              <w:t>8.00%</w:t>
            </w:r>
          </w:p>
        </w:tc>
        <w:tc>
          <w:tcPr>
            <w:tcW w:w="680" w:type="dxa"/>
            <w:vAlign w:val="bottom"/>
            <w:gridSpan w:val="2"/>
          </w:tcPr>
          <w:p>
            <w:pPr>
              <w:ind w:left="100"/>
              <w:spacing w:after="0" w:line="122" w:lineRule="exact"/>
              <w:rPr>
                <w:sz w:val="20"/>
                <w:szCs w:val="20"/>
                <w:color w:val="auto"/>
              </w:rPr>
            </w:pPr>
            <w:r>
              <w:rPr>
                <w:rFonts w:ascii="Arial" w:cs="Arial" w:eastAsia="Arial" w:hAnsi="Arial"/>
                <w:sz w:val="10"/>
                <w:szCs w:val="10"/>
                <w:color w:val="auto"/>
              </w:rPr>
              <w:t>L+600</w:t>
            </w:r>
            <w:r>
              <w:rPr>
                <w:rFonts w:ascii="Arial" w:cs="Arial" w:eastAsia="Arial" w:hAnsi="Arial"/>
                <w:sz w:val="14"/>
                <w:szCs w:val="14"/>
                <w:color w:val="auto"/>
                <w:vertAlign w:val="superscript"/>
              </w:rPr>
              <w:t>(8)</w:t>
            </w:r>
          </w:p>
        </w:tc>
        <w:tc>
          <w:tcPr>
            <w:tcW w:w="840" w:type="dxa"/>
            <w:vAlign w:val="bottom"/>
            <w:gridSpan w:val="3"/>
          </w:tcPr>
          <w:p>
            <w:pPr>
              <w:jc w:val="right"/>
              <w:ind w:right="140"/>
              <w:spacing w:after="0" w:line="122" w:lineRule="exact"/>
              <w:rPr>
                <w:sz w:val="20"/>
                <w:szCs w:val="20"/>
                <w:color w:val="auto"/>
              </w:rPr>
            </w:pPr>
            <w:r>
              <w:rPr>
                <w:rFonts w:ascii="Arial" w:cs="Arial" w:eastAsia="Arial" w:hAnsi="Arial"/>
                <w:sz w:val="14"/>
                <w:szCs w:val="14"/>
                <w:color w:val="auto"/>
              </w:rPr>
              <w:t>5,870,416</w:t>
            </w:r>
          </w:p>
        </w:tc>
        <w:tc>
          <w:tcPr>
            <w:tcW w:w="9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5,870,416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5,870,416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4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01/16/2015</w:t>
            </w:r>
          </w:p>
        </w:tc>
        <w:tc>
          <w:tcPr>
            <w:tcW w:w="2240" w:type="dxa"/>
            <w:vAlign w:val="bottom"/>
            <w:gridSpan w:val="3"/>
          </w:tcPr>
          <w:p>
            <w:pPr>
              <w:jc w:val="center"/>
              <w:spacing w:after="0"/>
              <w:rPr>
                <w:sz w:val="20"/>
                <w:szCs w:val="20"/>
                <w:color w:val="auto"/>
              </w:rPr>
            </w:pPr>
            <w:r>
              <w:rPr>
                <w:rFonts w:ascii="Arial" w:cs="Arial" w:eastAsia="Arial" w:hAnsi="Arial"/>
                <w:sz w:val="14"/>
                <w:szCs w:val="14"/>
                <w:color w:val="auto"/>
                <w:w w:val="88"/>
              </w:rPr>
              <w:t>Leisure, Amusement Motion Pictures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7.25%</w:t>
            </w:r>
          </w:p>
        </w:tc>
        <w:tc>
          <w:tcPr>
            <w:tcW w:w="680" w:type="dxa"/>
            <w:vAlign w:val="bottom"/>
            <w:gridSpan w:val="2"/>
          </w:tcPr>
          <w:p>
            <w:pPr>
              <w:ind w:left="100"/>
              <w:spacing w:after="0" w:line="165" w:lineRule="exact"/>
              <w:rPr>
                <w:sz w:val="20"/>
                <w:szCs w:val="20"/>
                <w:color w:val="auto"/>
              </w:rPr>
            </w:pPr>
            <w:r>
              <w:rPr>
                <w:rFonts w:ascii="Arial" w:cs="Arial" w:eastAsia="Arial" w:hAnsi="Arial"/>
                <w:sz w:val="12"/>
                <w:szCs w:val="12"/>
                <w:color w:val="auto"/>
              </w:rPr>
              <w:t>L+625</w:t>
            </w:r>
            <w:r>
              <w:rPr>
                <w:rFonts w:ascii="Arial" w:cs="Arial" w:eastAsia="Arial" w:hAnsi="Arial"/>
                <w:sz w:val="19"/>
                <w:szCs w:val="19"/>
                <w:color w:val="auto"/>
                <w:vertAlign w:val="superscript"/>
              </w:rPr>
              <w:t>(8)</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8,000,000</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8,000,000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13,870,416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07/16/2015</w:t>
            </w:r>
          </w:p>
        </w:tc>
        <w:tc>
          <w:tcPr>
            <w:tcW w:w="2240" w:type="dxa"/>
            <w:vAlign w:val="bottom"/>
            <w:gridSpan w:val="3"/>
          </w:tcPr>
          <w:p>
            <w:pPr>
              <w:jc w:val="center"/>
              <w:ind w:left="12"/>
              <w:spacing w:after="0" w:line="138" w:lineRule="exact"/>
              <w:rPr>
                <w:sz w:val="20"/>
                <w:szCs w:val="20"/>
                <w:color w:val="auto"/>
              </w:rPr>
            </w:pPr>
            <w:r>
              <w:rPr>
                <w:rFonts w:ascii="Arial" w:cs="Arial" w:eastAsia="Arial" w:hAnsi="Arial"/>
                <w:sz w:val="14"/>
                <w:szCs w:val="14"/>
                <w:color w:val="auto"/>
                <w:w w:val="87"/>
              </w:rPr>
              <w:t>Leisure, Amusement,</w:t>
            </w: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(6)</w:t>
            </w:r>
          </w:p>
        </w:tc>
        <w:tc>
          <w:tcPr>
            <w:tcW w:w="6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6,775,991</w:t>
            </w:r>
          </w:p>
        </w:tc>
        <w:tc>
          <w:tcPr>
            <w:tcW w:w="9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6,617,860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Motion Pictures and Entertainment</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7"/>
              </w:rPr>
              <w:t>Environmental Services</w:t>
            </w: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37,382</w:t>
            </w:r>
          </w:p>
        </w:tc>
        <w:tc>
          <w:tcPr>
            <w:tcW w:w="9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2,710,036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3"/>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7"/>
              </w:rPr>
              <w:t>Environmental Services</w:t>
            </w: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50,102</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3,129,447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2"/>
                <w:szCs w:val="12"/>
                <w:color w:val="auto"/>
              </w:rPr>
            </w:pPr>
          </w:p>
        </w:tc>
        <w:tc>
          <w:tcPr>
            <w:tcW w:w="13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NCP-Performance (Performance Holdings, Inc.)</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spacing w:after="0" w:line="129" w:lineRule="exact"/>
              <w:rPr>
                <w:sz w:val="20"/>
                <w:szCs w:val="20"/>
                <w:color w:val="auto"/>
              </w:rPr>
            </w:pPr>
            <w:r>
              <w:rPr>
                <w:rFonts w:ascii="Arial" w:cs="Arial" w:eastAsia="Arial" w:hAnsi="Arial"/>
                <w:sz w:val="14"/>
                <w:szCs w:val="14"/>
                <w:color w:val="auto"/>
                <w:w w:val="87"/>
              </w:rPr>
              <w:t>Leisure, Amusement,</w:t>
            </w:r>
          </w:p>
        </w:tc>
        <w:tc>
          <w:tcPr>
            <w:tcW w:w="48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375,000</w:t>
            </w:r>
          </w:p>
        </w:tc>
        <w:tc>
          <w:tcPr>
            <w:tcW w:w="2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color w:val="auto"/>
              </w:rPr>
              <w:t>3,750,000</w:t>
            </w:r>
          </w:p>
        </w:tc>
        <w:tc>
          <w:tcPr>
            <w:tcW w:w="3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color w:val="auto"/>
              </w:rPr>
              <w:t>1,193,610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Motion Pictures and Entertainment</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Total Investments in Non-Controlled, Affiliated Portfolio</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36,744,425</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1"/>
              </w:rPr>
              <w:t>Investments in Controlled, Affiliated Portfolio Companies—2.9%</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(1),(2)</w:t>
            </w:r>
          </w:p>
        </w:tc>
        <w:tc>
          <w:tcPr>
            <w:tcW w:w="3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06/30/2020</w:t>
            </w:r>
          </w:p>
        </w:tc>
        <w:tc>
          <w:tcPr>
            <w:tcW w:w="21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9,200,000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9,200,000</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06/30/2020</w:t>
            </w:r>
          </w:p>
        </w:tc>
        <w:tc>
          <w:tcPr>
            <w:tcW w:w="21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2,300,000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Total Investments in Controlled, Affiliated Portfolio Companies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866,322,836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Equivalents—15.5%</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71,604,519</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Equivalents—194.3%</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937,927,355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899,153,034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20"/>
              <w:spacing w:after="0" w:line="143" w:lineRule="exact"/>
              <w:rPr>
                <w:sz w:val="20"/>
                <w:szCs w:val="20"/>
                <w:color w:val="auto"/>
              </w:rPr>
            </w:pPr>
            <w:r>
              <w:rPr>
                <w:rFonts w:ascii="Arial" w:cs="Arial" w:eastAsia="Arial" w:hAnsi="Arial"/>
                <w:sz w:val="14"/>
                <w:szCs w:val="14"/>
                <w:color w:val="auto"/>
                <w:w w:val="87"/>
              </w:rPr>
              <w:t>(436,495,838)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Prime rate.</w:t>
      </w:r>
    </w:p>
    <w:p>
      <w:pPr>
        <w:ind w:left="340" w:right="16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usually to qualified institutional buyers.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payable in cash and/or through PIK.</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References to our portfolio and investments include investments made through our consolidated SBIC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1940 Act. PennantPark Investment’s objective is to generate both current income and capital appreciation through debt and equity investments. We invest primarily in U.S. middle-market companies in the form of senior secured loans, mezzanine debt and equity investments.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34.6 million shares of common stock through follow-on public offerings, resulting in net proceeds of $347.7 million. During the nine months ended June 30, 2012, we sold approximately 10.4 million shares in a follow-on public offering, resulting in net proceeds of $105.2 million, after estimated offering costs.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externally managed by PennantPark Investment Advisers. PennantPark Investment Administration provides the administrative services necessary for us to operate. 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SBIC LP and its general partner, SBIC GP, were organized in Delaware as a limited partnership and a limited liability company, respectively, in May 2010 and began operations in June 2010. SBIC LP received a license from the Small Business Administration, or SBA, to operate as an SBIC effective July 30, 2010 under Section 301(c) of the Small Business Investment Act of 1958, or the 1958 Act. Both SBIC LP and SBIC GP are consolidated wholly owned subsidiaries of PennantPark Investment. SBIC LP’s objective is to generate both current income and capital appreciation through debt and equity investments generally, investing with us in SBA eligible businesses that meet the investment criteria used by PennantPark Investment.</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portfolio companies organized as pass-through entities and satisfy the requirements of regulated investment companies, or RICs, under the Internal Revenue Code of 1986, as amended, or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Codification,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right="18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480" w:hanging="479"/>
        <w:spacing w:after="0"/>
        <w:tabs>
          <w:tab w:leader="none" w:pos="14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investments and our senior secured revolving credit facility, or the Credit Facility, values during the reporting period, including any reversal of previously recorded unrealized appreciation or depreciation, when gains or losses are realized.</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Since May 2007, PennantPark Investment has complied with the requirements of Subchapter M of the Code and expects to be subject to tax as a RIC. As a result, PennantPark Investment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recorded an excise tax of approximately $0.6 million and $0.2 million for the nine months ended June 30, 2012 and 2011,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2008 remain subject to examination by the Internal Revenue Service and the state department of revenue.</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do not consolidate the Taxable Subsidiaries for income tax purposes, but we do consolidate the results of these Taxable Subsidiaries for financial reporting purposes.</w:t>
      </w:r>
    </w:p>
    <w:p>
      <w:pPr>
        <w:spacing w:after="0" w:line="254" w:lineRule="exact"/>
        <w:rPr>
          <w:sz w:val="20"/>
          <w:szCs w:val="20"/>
          <w:color w:val="auto"/>
        </w:rPr>
      </w:pPr>
    </w:p>
    <w:p>
      <w:pPr>
        <w:ind w:left="1480" w:hanging="479"/>
        <w:spacing w:after="0"/>
        <w:tabs>
          <w:tab w:leader="none" w:pos="14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Investment’s investment management agreement, or the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base management fee is calculated at an annual rate of 2.00% of our “average adjusted gross assets” (net of U.S. Treasury Bills and/or temporary draws, if any, on the Credit Facility). The base management fee 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three and nine months ended June 30, 2012, the Investment Adviser earned a base management fee of $4.5 million and $12.7 million, respectively, from us. For the three and nine months ended June 30, 2011, the Investment Adviser earned a base management fee of $3.8 million and $10.9 million, respectively, from 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applicable quarter. For the three and nine months ended</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June 30, 2012, the Investment Adviser earned an incentive fee of $3.9 million and $10.0 million, respectively, from us. For the three and nine months ended June 30, 2011, the Investment Adviser earned an incentive fee of $3.3 million and $9.4 million, respectively, from us.</w:t>
      </w:r>
    </w:p>
    <w:p>
      <w:pPr>
        <w:spacing w:after="0" w:line="13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above) for the three and nine months ended June 30, 2012 and June 30, 2011 resulted in no accrual.</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w:t>
      </w:r>
    </w:p>
    <w:p>
      <w:pPr>
        <w:spacing w:after="0" w:line="8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2012, the Investment Adviser and Administrator, collectively, were reimbursed $0.6 million and $3.0 million, respectively, from us, including expenses incurred by the Investment Adviser on behalf of the Administrator, for the services described above. For the three and nine months ended June 30, 2011, the Investment Adviser and Administrator, collectively, were reimbursed $0.3 million and $2.2 million, respectively, from us, including expenses incurred by the Investment Adviser on behalf of the Administrator, for the services described above.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 Park Holdings, or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staffs. For the three and nine months ended June 30, 2012, PennantPark Investment was reimbursed $0.1 million and $0.6 million, respectively, for the services described above. For the three and nine months ended June 30, 2011, PennantPark Investment was reimbursed zero and $0.4 million, respectively, for the services described above.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Purchases of long-term investments, including PIK, for the three and nine months ended June 30, 2012 totaled $91.7 million and $251.7 million, respectively. For the same period in the prior year, purchases of long-term investments including PIK totaled $147.8 million and $349.5 million, respectively. Sales and repayments of long-term investments for the three and nine months ended June 30, 2012 totaled $55.3 million and $173.8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same period in the prior year, sales and repayments of long-term investments totaled $119.3 million and $256.4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June 30,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2011</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$ 288,530,373</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$ 285,832,040</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305,608,989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296,488,131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lien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175,890,141</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150,134,885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189,962,828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165,272,201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419,265,843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401,470,958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325,318,958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309,329,169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Preferred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13,515,421</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10,008,914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12,268,187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9,762,932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53,650,972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81,660,101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33,163,874</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950,852,750</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929,106,898</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866,322,836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827,548,515</w:t>
            </w: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9,316,015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9,316,015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71,604,519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$ 960,168,765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$ 938,422,913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937,927,355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899,153,034</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June 30, 2012 and September 30,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8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2012</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2011</w:t>
            </w: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Healthcare, Education and Childcare</w:t>
            </w:r>
          </w:p>
        </w:tc>
        <w:tc>
          <w:tcPr>
            <w:tcW w:w="1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w w:val="93"/>
              </w:rPr>
              <w:t>Leisure, Amusement, Motion Pictures, Entertainment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0" w:type="dxa"/>
            <w:vAlign w:val="bottom"/>
            <w:gridSpan w:val="3"/>
          </w:tcPr>
          <w:p>
            <w:pPr>
              <w:jc w:val="right"/>
              <w:ind w:right="2260"/>
              <w:spacing w:after="0"/>
              <w:rPr>
                <w:sz w:val="20"/>
                <w:szCs w:val="20"/>
                <w:color w:val="auto"/>
              </w:rPr>
            </w:pPr>
            <w:r>
              <w:rPr>
                <w:rFonts w:ascii="Arial" w:cs="Arial" w:eastAsia="Arial" w:hAnsi="Arial"/>
                <w:sz w:val="18"/>
                <w:szCs w:val="18"/>
                <w:color w:val="auto"/>
              </w:rPr>
              <w:t>S-59</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2012, our ability to observe valuation inputs has resulted in no reclassification of assets from Level 3 to 2. There were no investments transferred between Levels 1 and 2 for the same period.</w:t>
      </w:r>
    </w:p>
    <w:p>
      <w:pPr>
        <w:spacing w:after="0" w:line="9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2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Fair Value</w:t>
            </w:r>
          </w:p>
        </w:tc>
        <w:tc>
          <w:tcPr>
            <w:tcW w:w="25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Unobservable Input</w:t>
            </w:r>
          </w:p>
        </w:tc>
        <w:tc>
          <w:tcPr>
            <w:tcW w:w="2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181"/>
        </w:trPr>
        <w:tc>
          <w:tcPr>
            <w:tcW w:w="3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w:t>
            </w: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w:t>
            </w:r>
          </w:p>
        </w:tc>
        <w:tc>
          <w:tcPr>
            <w:tcW w:w="22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subordinated debt/corporate notes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229,795,351</w:t>
            </w:r>
          </w:p>
        </w:tc>
        <w:tc>
          <w:tcPr>
            <w:tcW w:w="34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Dealer bid quotes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5</w:t>
            </w:r>
          </w:p>
        </w:tc>
        <w:tc>
          <w:tcPr>
            <w:tcW w:w="0" w:type="dxa"/>
            <w:vAlign w:val="bottom"/>
          </w:tcPr>
          <w:p>
            <w:pPr>
              <w:spacing w:after="0"/>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568,905,751</w:t>
            </w:r>
          </w:p>
        </w:tc>
        <w:tc>
          <w:tcPr>
            <w:tcW w:w="340" w:type="dxa"/>
            <w:vAlign w:val="bottom"/>
          </w:tcPr>
          <w:p>
            <w:pPr>
              <w:spacing w:after="0"/>
              <w:rPr>
                <w:sz w:val="19"/>
                <w:szCs w:val="19"/>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Market Yield</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8.5% – 22.0% (13.5%)</w:t>
            </w:r>
          </w:p>
        </w:tc>
        <w:tc>
          <w:tcPr>
            <w:tcW w:w="0" w:type="dxa"/>
            <w:vAlign w:val="bottom"/>
          </w:tcPr>
          <w:p>
            <w:pPr>
              <w:spacing w:after="0"/>
              <w:rPr>
                <w:sz w:val="1"/>
                <w:szCs w:val="1"/>
                <w:color w:val="auto"/>
              </w:rPr>
            </w:pPr>
          </w:p>
        </w:tc>
      </w:tr>
      <w:tr>
        <w:trPr>
          <w:trHeight w:val="218"/>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86,524,010</w:t>
            </w:r>
          </w:p>
        </w:tc>
        <w:tc>
          <w:tcPr>
            <w:tcW w:w="3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Enterprise Market Value</w:t>
            </w:r>
          </w:p>
        </w:tc>
        <w:tc>
          <w:tcPr>
            <w:tcW w:w="1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EBITDA multiple</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5.0X – 15.5X (7.0X)</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Long-Term Credit Facility</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184,179,000</w:t>
            </w:r>
          </w:p>
        </w:tc>
        <w:tc>
          <w:tcPr>
            <w:tcW w:w="340" w:type="dxa"/>
            <w:vAlign w:val="bottom"/>
          </w:tcPr>
          <w:p>
            <w:pPr>
              <w:spacing w:after="0"/>
              <w:rPr>
                <w:sz w:val="19"/>
                <w:szCs w:val="19"/>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Discount rate</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0" w:type="dxa"/>
            <w:vAlign w:val="bottom"/>
          </w:tcPr>
          <w:p>
            <w:pPr>
              <w:spacing w:after="0"/>
              <w:rPr>
                <w:sz w:val="1"/>
                <w:szCs w:val="1"/>
                <w:color w:val="auto"/>
              </w:rPr>
            </w:pPr>
          </w:p>
        </w:tc>
      </w:tr>
      <w:tr>
        <w:trPr>
          <w:trHeight w:val="356"/>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2"/>
          </w:tcPr>
          <w:p>
            <w:pPr>
              <w:ind w:left="720"/>
              <w:spacing w:after="0"/>
              <w:rPr>
                <w:sz w:val="20"/>
                <w:szCs w:val="20"/>
                <w:color w:val="auto"/>
              </w:rPr>
            </w:pPr>
            <w:r>
              <w:rPr>
                <w:rFonts w:ascii="Arial" w:cs="Arial" w:eastAsia="Arial" w:hAnsi="Arial"/>
                <w:sz w:val="18"/>
                <w:szCs w:val="18"/>
                <w:color w:val="auto"/>
              </w:rPr>
              <w:t>S-61</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June 30, 2012 and September 30, 2011,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20" w:type="dxa"/>
            <w:vAlign w:val="bottom"/>
            <w:vMerge w:val="restart"/>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 at June 30, 2012</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04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$ 837,437,883</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38,736,480</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798,701,403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91,669,015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5,107,676</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37,630</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929,106,898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5,107,676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38,774,110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885,225,112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9,316,015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9,316,015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938,422,913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14,423,691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38,774,110</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885,225,112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Credit Facility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$ 184,179,000</w:t>
            </w: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184,179,000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20" w:type="dxa"/>
            <w:vAlign w:val="bottom"/>
            <w:vMerge w:val="restart"/>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Fair Value at September 30, 2011</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0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$ 771,089,501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38,395,050</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4,044,595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4,044,595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38,456,141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785,047,779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71,604,519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$ 899,153,034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75,649,114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38,456,141</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$ 238,792,125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238,792,125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nine months ended June 30,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5"/>
              </w:rPr>
              <w:t>For the nine months ended June 30, 2012</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460" w:type="dxa"/>
            <w:vAlign w:val="bottom"/>
            <w:vMerge w:val="restart"/>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7"/>
              </w:rPr>
              <w:t>Loan and debt</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Equity</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2"/>
              </w:rPr>
              <w:t>investments</w:t>
            </w:r>
          </w:p>
        </w:tc>
        <w:tc>
          <w:tcPr>
            <w:tcW w:w="240" w:type="dxa"/>
            <w:vAlign w:val="bottom"/>
          </w:tcPr>
          <w:p>
            <w:pPr>
              <w:spacing w:after="0"/>
              <w:rPr>
                <w:sz w:val="14"/>
                <w:szCs w:val="14"/>
                <w:color w:val="auto"/>
              </w:rPr>
            </w:pPr>
          </w:p>
        </w:tc>
        <w:tc>
          <w:tcPr>
            <w:tcW w:w="12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732,694,451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$ 52,353,328</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785,047,779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(2,334,276)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1,871,266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(463,010)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(7,513,982)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12,436,050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4,922,068</w:t>
            </w:r>
          </w:p>
        </w:tc>
        <w:tc>
          <w:tcPr>
            <w:tcW w:w="0" w:type="dxa"/>
            <w:vAlign w:val="bottom"/>
          </w:tcPr>
          <w:p>
            <w:pPr>
              <w:spacing w:after="0"/>
              <w:rPr>
                <w:sz w:val="1"/>
                <w:szCs w:val="1"/>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242,660,994</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25,261,207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267,922,201</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(166,805,784)</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(5,398,142)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(172,203,926)</w:t>
            </w:r>
          </w:p>
        </w:tc>
        <w:tc>
          <w:tcPr>
            <w:tcW w:w="0" w:type="dxa"/>
            <w:vAlign w:val="bottom"/>
          </w:tcPr>
          <w:p>
            <w:pPr>
              <w:spacing w:after="0"/>
              <w:rPr>
                <w:sz w:val="1"/>
                <w:szCs w:val="1"/>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Ending Balance, June 30, 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798,701,403</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$ 86,523,709</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885,225,112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change in unrealized appreciation for the period reported within the net change in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appreciation on investments in our Consolidated Statement of Operations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(6,124,283)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$ 14,280,779</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8,156,496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460" w:type="dxa"/>
            <w:vAlign w:val="bottom"/>
            <w:vMerge w:val="restart"/>
          </w:tcPr>
          <w:p>
            <w:pPr>
              <w:ind w:left="4820"/>
              <w:spacing w:after="0"/>
              <w:rPr>
                <w:sz w:val="20"/>
                <w:szCs w:val="20"/>
                <w:color w:val="auto"/>
              </w:rPr>
            </w:pPr>
            <w:r>
              <w:rPr>
                <w:rFonts w:ascii="Arial" w:cs="Arial" w:eastAsia="Arial" w:hAnsi="Arial"/>
                <w:sz w:val="18"/>
                <w:szCs w:val="18"/>
                <w:color w:val="auto"/>
              </w:rPr>
              <w:t>S-62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5"/>
              </w:rPr>
              <w:t>For the nine months ended June 30, 2011</w:t>
            </w:r>
          </w:p>
        </w:tc>
        <w:tc>
          <w:tcPr>
            <w:tcW w:w="0" w:type="dxa"/>
            <w:vAlign w:val="bottom"/>
          </w:tcPr>
          <w:p>
            <w:pPr>
              <w:spacing w:after="0"/>
              <w:rPr>
                <w:sz w:val="1"/>
                <w:szCs w:val="1"/>
                <w:color w:val="auto"/>
              </w:rPr>
            </w:pPr>
          </w:p>
        </w:tc>
      </w:tr>
      <w:tr>
        <w:trPr>
          <w:trHeight w:val="12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5"/>
              </w:rPr>
              <w:t>Loan and debt</w:t>
            </w:r>
          </w:p>
        </w:tc>
        <w:tc>
          <w:tcPr>
            <w:tcW w:w="144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w w:val="90"/>
              </w:rPr>
              <w:t>investments</w:t>
            </w: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2"/>
                <w:szCs w:val="12"/>
                <w:color w:val="auto"/>
              </w:rPr>
            </w:pPr>
          </w:p>
        </w:tc>
        <w:tc>
          <w:tcPr>
            <w:tcW w:w="10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615,236,138</w:t>
            </w:r>
          </w:p>
        </w:tc>
        <w:tc>
          <w:tcPr>
            <w:tcW w:w="5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$ 45,137,828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660,373,966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8,735,698</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8,735,698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(7,996,465)</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11,229,930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w w:val="93"/>
              </w:rPr>
              <w:t>349,129,365</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5,664,360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354,793,725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9"/>
              </w:rPr>
              <w:t>(255,345,930)</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(1,067,166)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(256,413,096)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w w:val="97"/>
              </w:rPr>
              <w:t>(28,646,063)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(28,646,063)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2011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681,112,743</w:t>
            </w:r>
          </w:p>
        </w:tc>
        <w:tc>
          <w:tcPr>
            <w:tcW w:w="540" w:type="dxa"/>
            <w:vAlign w:val="bottom"/>
            <w:gridSpan w:val="2"/>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$ 60,964,952</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742,077,695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for the period reported within the net change in</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unrealized depreciation on investments in our Consolidated Statement of Operations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(1,066,913)</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$ 11,234,463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10,167,550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nine months ended June 30,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0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 (Cost—$240,900,000)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238,792,125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1,186,875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499,500,000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(556,200,000)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Ending Balance, June 30, 2012 (Cost—$184,200,000)</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183,279,000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8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Temporary draw outstanding, at cost</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Total Credit Facility, June 30, 2012 (Cost—$185,100,000)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184,179,000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Nine months ended June 30,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0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(Cost—$227,900,000)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213,941,125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11,908,375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187,900,000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(279,100,000)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Ending Balance, June 30, 2011 (Cost—$136,700,000)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134,649,500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Total Credit Facility, June 30, 2011 (Cost—$157,700,000)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155,649,500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non-recurring expenses of $5.4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and nine months ended June 30, 2012, our Credit Facility had a net change in unrealized depreciation (appreciation) of $0.2 million and $(1.2) million, respectively. For the three and nine months ended June 30, 2011, our Credit Facility had a net change in unrealized appreciation of $0.6 million and $11.9 million, respectively. On June 30, 2012 and September 30, 2011, net unrealized appreciation on our long-term Credit Facility totaled $0.9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 affiliated company is a company in which we have ownership of 5% or more of the portfolio company’s voting securities. A controlled affiliate is a company in which we own 25% or more of a portfolio company’s voting securities. Advances to and distributions from affiliates are included in the Consolidated Statements of Cash Flow under purchases and sales. Transactions related to our investments with both controlled and non-controlled affiliates for the nine months ended June 30,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Purchase of /</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Sales of /</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Investment</w:t>
            </w:r>
          </w:p>
        </w:tc>
        <w:tc>
          <w:tcPr>
            <w:tcW w:w="33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Advances to</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1500" w:type="dxa"/>
            <w:vAlign w:val="bottom"/>
            <w:gridSpan w:val="4"/>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September 30, 2011</w:t>
            </w:r>
          </w:p>
        </w:tc>
        <w:tc>
          <w:tcPr>
            <w:tcW w:w="100" w:type="dxa"/>
            <w:vAlign w:val="bottom"/>
          </w:tcPr>
          <w:p>
            <w:pPr>
              <w:spacing w:after="0"/>
              <w:rPr>
                <w:sz w:val="14"/>
                <w:szCs w:val="14"/>
                <w:color w:val="auto"/>
              </w:rPr>
            </w:pPr>
          </w:p>
        </w:tc>
        <w:tc>
          <w:tcPr>
            <w:tcW w:w="72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1"/>
              </w:rPr>
              <w:t>Affiliates</w:t>
            </w:r>
          </w:p>
        </w:tc>
        <w:tc>
          <w:tcPr>
            <w:tcW w:w="280" w:type="dxa"/>
            <w:vAlign w:val="bottom"/>
          </w:tcPr>
          <w:p>
            <w:pPr>
              <w:spacing w:after="0"/>
              <w:rPr>
                <w:sz w:val="14"/>
                <w:szCs w:val="14"/>
                <w:color w:val="auto"/>
              </w:rPr>
            </w:pPr>
          </w:p>
        </w:tc>
        <w:tc>
          <w:tcPr>
            <w:tcW w:w="1200" w:type="dxa"/>
            <w:vAlign w:val="bottom"/>
            <w:gridSpan w:val="3"/>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from Affiliates</w:t>
            </w:r>
          </w:p>
        </w:tc>
        <w:tc>
          <w:tcPr>
            <w:tcW w:w="80" w:type="dxa"/>
            <w:vAlign w:val="bottom"/>
          </w:tcPr>
          <w:p>
            <w:pPr>
              <w:spacing w:after="0"/>
              <w:rPr>
                <w:sz w:val="14"/>
                <w:szCs w:val="14"/>
                <w:color w:val="auto"/>
              </w:rPr>
            </w:pPr>
          </w:p>
        </w:tc>
        <w:tc>
          <w:tcPr>
            <w:tcW w:w="88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1"/>
              </w:rPr>
              <w:t>Received</w:t>
            </w:r>
          </w:p>
        </w:tc>
        <w:tc>
          <w:tcPr>
            <w:tcW w:w="104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June 30, 2012</w:t>
            </w:r>
          </w:p>
        </w:tc>
        <w:tc>
          <w:tcPr>
            <w:tcW w:w="140" w:type="dxa"/>
            <w:vAlign w:val="bottom"/>
          </w:tcPr>
          <w:p>
            <w:pPr>
              <w:spacing w:after="0"/>
              <w:rPr>
                <w:sz w:val="14"/>
                <w:szCs w:val="14"/>
                <w:color w:val="auto"/>
              </w:rPr>
            </w:pPr>
          </w:p>
        </w:tc>
        <w:tc>
          <w:tcPr>
            <w:tcW w:w="920" w:type="dxa"/>
            <w:vAlign w:val="bottom"/>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w w:val="91"/>
              </w:rPr>
              <w:t>Capital Loss</w:t>
            </w:r>
          </w:p>
        </w:tc>
        <w:tc>
          <w:tcPr>
            <w:tcW w:w="0" w:type="dxa"/>
            <w:vAlign w:val="bottom"/>
          </w:tcPr>
          <w:p>
            <w:pPr>
              <w:spacing w:after="0"/>
              <w:rPr>
                <w:sz w:val="1"/>
                <w:szCs w:val="1"/>
                <w:color w:val="auto"/>
              </w:rPr>
            </w:pPr>
          </w:p>
        </w:tc>
      </w:tr>
      <w:tr>
        <w:trPr>
          <w:trHeight w:val="190"/>
        </w:trPr>
        <w:tc>
          <w:tcPr>
            <w:tcW w:w="4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13,500,001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4,500,000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(3,500,000)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1,609,611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14,500,000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25,740,212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6,629,754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(8,458,481)</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303,014</w:t>
            </w: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19,143,137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(11,007)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14,932,921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807,728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16,903,665</w:t>
            </w:r>
          </w:p>
        </w:tc>
        <w:tc>
          <w:tcPr>
            <w:tcW w:w="380" w:type="dxa"/>
            <w:vAlign w:val="bottom"/>
            <w:gridSpan w:val="2"/>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54,173,134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11,129,754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(11,958,481)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2,720,353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50,546,802</w:t>
            </w:r>
          </w:p>
        </w:tc>
        <w:tc>
          <w:tcPr>
            <w:tcW w:w="38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(11,007)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820"/>
              <w:spacing w:after="0"/>
              <w:rPr>
                <w:sz w:val="20"/>
                <w:szCs w:val="20"/>
                <w:color w:val="auto"/>
              </w:rPr>
            </w:pPr>
            <w:r>
              <w:rPr>
                <w:rFonts w:ascii="Arial" w:cs="Arial" w:eastAsia="Arial" w:hAnsi="Arial"/>
                <w:sz w:val="18"/>
                <w:szCs w:val="18"/>
                <w:color w:val="auto"/>
              </w:rPr>
              <w:t>S-64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22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3,419,732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2,318,415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45,663,365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41,427,625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56,365,576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45,581,083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51,680,907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41,018,710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Schedules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2012 and September 30, 2011, cash equivalents consisted of $9.3 million and $71.6 million, including amounts in money market funds,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net assets and net asset value per share on June 30, 2012 and 2011 were $572.7 million and $10.16 per share and $504.9 million and $11.08 per share, respectively. Below are the financial highlights for the nine months ended June 30,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 (2)</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Accretive effect of common stock issuance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(Dilutive) effect of offering costs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10.35</w:t>
            </w:r>
          </w:p>
        </w:tc>
        <w:tc>
          <w:tcPr>
            <w:tcW w:w="3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56,367,339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45,581,083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Credit Facility and SBA debentures related interest and expenses to average net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572,661,509</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504,939,091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334,601,095</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249,441,641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860" w:firstLine="8"/>
        <w:spacing w:after="0" w:line="286" w:lineRule="auto"/>
        <w:tabs>
          <w:tab w:leader="none" w:pos="338"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rPr>
          <w:rFonts w:ascii="Arial" w:cs="Arial" w:eastAsia="Arial" w:hAnsi="Arial"/>
          <w:sz w:val="16"/>
          <w:szCs w:val="16"/>
          <w:color w:val="auto"/>
        </w:rPr>
      </w:pPr>
      <w:r>
        <w:rPr>
          <w:rFonts w:ascii="Arial" w:cs="Arial" w:eastAsia="Arial" w:hAnsi="Arial"/>
          <w:sz w:val="18"/>
          <w:szCs w:val="18"/>
          <w:color w:val="auto"/>
        </w:rPr>
        <w:t>(1)  Per share data are calculated based on the weighted average shares outstanding for the respective periods.</w:t>
      </w:r>
    </w:p>
    <w:p>
      <w:pPr>
        <w:spacing w:after="0" w:line="9" w:lineRule="exact"/>
        <w:rPr>
          <w:rFonts w:ascii="Arial" w:cs="Arial" w:eastAsia="Arial" w:hAnsi="Arial"/>
          <w:sz w:val="16"/>
          <w:szCs w:val="16"/>
          <w:color w:val="auto"/>
        </w:rPr>
      </w:pPr>
    </w:p>
    <w:p>
      <w:pPr>
        <w:ind w:left="340" w:right="180" w:hanging="338"/>
        <w:spacing w:after="0" w:line="250" w:lineRule="auto"/>
        <w:rPr>
          <w:rFonts w:ascii="Arial" w:cs="Arial" w:eastAsia="Arial" w:hAnsi="Arial"/>
          <w:sz w:val="16"/>
          <w:szCs w:val="16"/>
          <w:color w:val="auto"/>
        </w:rPr>
      </w:pPr>
      <w:r>
        <w:rPr>
          <w:rFonts w:ascii="Arial" w:cs="Arial" w:eastAsia="Arial" w:hAnsi="Arial"/>
          <w:sz w:val="18"/>
          <w:szCs w:val="18"/>
          <w:color w:val="auto"/>
        </w:rPr>
        <w:t>(2) Dividends and distributions are determined based on taxable income calculated in accordance with income tax regulations, which may differ from amounts determined under GAAP.</w:t>
      </w:r>
    </w:p>
    <w:p>
      <w:pPr>
        <w:ind w:left="340" w:right="560" w:hanging="338"/>
        <w:spacing w:after="0" w:line="261" w:lineRule="auto"/>
        <w:rPr>
          <w:rFonts w:ascii="Arial" w:cs="Arial" w:eastAsia="Arial" w:hAnsi="Arial"/>
          <w:sz w:val="16"/>
          <w:szCs w:val="16"/>
          <w:color w:val="auto"/>
        </w:rPr>
      </w:pPr>
      <w:r>
        <w:rPr>
          <w:rFonts w:ascii="Arial" w:cs="Arial" w:eastAsia="Arial" w:hAnsi="Arial"/>
          <w:sz w:val="18"/>
          <w:szCs w:val="18"/>
          <w:color w:val="auto"/>
        </w:rPr>
        <w:t>(3) 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ind w:left="460" w:right="7540" w:hanging="452"/>
        <w:spacing w:after="0" w:line="347" w:lineRule="auto"/>
        <w:tabs>
          <w:tab w:leader="none" w:pos="267"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SBA DEBENTURES Credit Facility</w:t>
      </w:r>
    </w:p>
    <w:p>
      <w:pPr>
        <w:spacing w:after="0" w:line="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21, 2012, we amended and restated our multi-currency Credit Facility, which increased the size of the Credit Facility from $315.0 million to $380.0 million, with certain lenders and SunTrust Bank, acting as administrative agent and JPMorgan Chase Bank, N.A., as syndication agent for the lenders. As of June 30, 2012 and September 30, 2011, there was $185.1 million (including a temporary draw of $0.9 million) and $240.9 million, respectively, in outstanding borrowings under the Credit Facility, with a weighted average interest rate at the time of 3.01% and 1.27%, exclusive of the fee on undrawn commitments of 0.50% and 0.20%,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respectively.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our asset coverage, as defined in the 1940 Act, is at least 200% after such borrowing, excluding SBA debentures, pursuant to exemptive relief from the Securities and Exchange Commission, or SEC. For a complete list of covenants contained in the Credit Facility, see our Form 8-K filed on February 22, 2012 and the Credit Facility agreement filed as an exhibit to our Form 10-Q filed on May 2, 2012. As of June 30, 2012, we were in compliance with our covenants relating to our Credit Facility.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June 30, 2012.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SBIC LP has accessed the maximum borrowing with its $75.0 million in regulatory capital.</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2012,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are amortized over the lives of the loans. Our fixed rate SBA debentures as of June 30, 2012 and September 30, 2011 were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Fixed All-</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in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4"/>
              </w:rPr>
              <w:t>Issuance Dates</w:t>
            </w:r>
          </w:p>
        </w:tc>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Coupon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780" w:type="dxa"/>
            <w:vAlign w:val="bottom"/>
          </w:tcPr>
          <w:p>
            <w:pPr>
              <w:spacing w:after="0"/>
              <w:rPr>
                <w:sz w:val="12"/>
                <w:szCs w:val="12"/>
                <w:color w:val="auto"/>
              </w:rPr>
            </w:pPr>
          </w:p>
        </w:tc>
        <w:tc>
          <w:tcPr>
            <w:tcW w:w="2160" w:type="dxa"/>
            <w:vAlign w:val="bottom"/>
            <w:gridSpan w:val="2"/>
          </w:tcPr>
          <w:p>
            <w:pPr>
              <w:ind w:left="400"/>
              <w:spacing w:after="0" w:line="148" w:lineRule="exact"/>
              <w:rPr>
                <w:sz w:val="20"/>
                <w:szCs w:val="20"/>
                <w:color w:val="auto"/>
              </w:rPr>
            </w:pPr>
            <w:r>
              <w:rPr>
                <w:rFonts w:ascii="Arial" w:cs="Arial" w:eastAsia="Arial" w:hAnsi="Arial"/>
                <w:sz w:val="14"/>
                <w:szCs w:val="14"/>
                <w:b w:val="1"/>
                <w:bCs w:val="1"/>
                <w:color w:val="auto"/>
              </w:rPr>
              <w:t>Maturity</w:t>
            </w:r>
          </w:p>
        </w:tc>
        <w:tc>
          <w:tcPr>
            <w:tcW w:w="12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Rate(1)</w:t>
            </w:r>
          </w:p>
        </w:tc>
        <w:tc>
          <w:tcPr>
            <w:tcW w:w="360" w:type="dxa"/>
            <w:vAlign w:val="bottom"/>
          </w:tcPr>
          <w:p>
            <w:pPr>
              <w:spacing w:after="0"/>
              <w:rPr>
                <w:sz w:val="12"/>
                <w:szCs w:val="12"/>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278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vMerge w:val="continue"/>
            <w:shd w:val="clear" w:color="auto" w:fill="CCEEFF"/>
          </w:tcPr>
          <w:p>
            <w:pPr>
              <w:spacing w:after="0"/>
              <w:rPr>
                <w:sz w:val="17"/>
                <w:szCs w:val="17"/>
                <w:color w:val="auto"/>
              </w:rPr>
            </w:pPr>
          </w:p>
        </w:tc>
        <w:tc>
          <w:tcPr>
            <w:tcW w:w="278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8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3.50%</w:t>
            </w:r>
          </w:p>
        </w:tc>
        <w:tc>
          <w:tcPr>
            <w:tcW w:w="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78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680" w:type="dxa"/>
            <w:vAlign w:val="bottom"/>
          </w:tcPr>
          <w:p>
            <w:pPr>
              <w:ind w:left="380"/>
              <w:spacing w:after="0"/>
              <w:rPr>
                <w:sz w:val="20"/>
                <w:szCs w:val="20"/>
                <w:color w:val="auto"/>
              </w:rPr>
            </w:pPr>
            <w:r>
              <w:rPr>
                <w:rFonts w:ascii="Arial" w:cs="Arial" w:eastAsia="Arial" w:hAnsi="Arial"/>
                <w:sz w:val="18"/>
                <w:szCs w:val="18"/>
                <w:color w:val="auto"/>
                <w:w w:val="79"/>
              </w:rPr>
              <w:t>4.46</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7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w:t>
            </w: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3.38</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2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auto"/>
              </w:rPr>
              <w:t>3.70%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because SBIC LP is wholly owned by us. As of June 30, 2012, SBIC LP was in compliance with our requirements relating to our SBA debentures.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of 1933 Registration No. 333-172524 and Investment Company Act of 1940 File No. 814-00736.</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With respect to the supplement to the subject registration statement, we acknowledge our awareness of the use therein of our report dated August 8, 2012 related to our review of interim financial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2012</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30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6, 2012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255270</wp:posOffset>
            </wp:positionV>
            <wp:extent cx="1414780"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as amended (the “1940 Act”).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(the “SEC”) may permit. See “Risk Factors” on page 7 and “Sales of Common Stock Below Net Asset Value” on page 42 of this prospectus for more information.</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“PNNT.” The last reported closing price for our common stock on December 16, 2011 was $10.16 per share, and our net asset value on September 30, 2011 was $10.13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8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January 6, 2012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3"/>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33">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BUSINESS</w:t>
              </w:r>
            </w:hyperlink>
          </w:p>
        </w:tc>
        <w:tc>
          <w:tcPr>
            <w:tcW w:w="1016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69">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92">
              <w:r>
                <w:rPr>
                  <w:rFonts w:ascii="Arial" w:cs="Arial" w:eastAsia="Arial" w:hAnsi="Arial"/>
                  <w:sz w:val="18"/>
                  <w:szCs w:val="18"/>
                  <w:color w:val="0000EE"/>
                  <w:w w:val="92"/>
                </w:rPr>
                <w:t>DESCRIPTION OF OUR UNITS</w:t>
              </w:r>
            </w:hyperlink>
          </w:p>
        </w:tc>
        <w:tc>
          <w:tcPr>
            <w:tcW w:w="86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93">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99">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200">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4"/>
              </w:rPr>
            </w:pPr>
            <w:hyperlink w:anchor="page209">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11000" w:type="dxa"/>
            <w:vAlign w:val="bottom"/>
            <w:gridSpan w:val="33"/>
          </w:tcPr>
          <w:p>
            <w:pPr>
              <w:spacing w:after="0"/>
              <w:rPr>
                <w:sz w:val="20"/>
                <w:szCs w:val="20"/>
                <w:color w:val="auto"/>
              </w:rPr>
            </w:pPr>
            <w:r>
              <w:rPr>
                <w:rFonts w:ascii="Arial" w:cs="Arial" w:eastAsia="Arial" w:hAnsi="Arial"/>
                <w:sz w:val="18"/>
                <w:szCs w:val="18"/>
                <w:color w:val="auto"/>
              </w:rPr>
              <w:t>PART C OTHER INFORMATION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0" w:type="dxa"/>
            <w:vAlign w:val="bottom"/>
            <w:gridSpan w:val="33"/>
          </w:tcPr>
          <w:p>
            <w:pPr>
              <w:spacing w:after="0"/>
              <w:rPr>
                <w:sz w:val="20"/>
                <w:szCs w:val="20"/>
                <w:color w:val="auto"/>
              </w:rPr>
            </w:pPr>
            <w:r>
              <w:rPr>
                <w:rFonts w:ascii="Arial" w:cs="Arial" w:eastAsia="Arial" w:hAnsi="Arial"/>
                <w:sz w:val="18"/>
                <w:szCs w:val="18"/>
                <w:color w:val="auto"/>
              </w:rPr>
              <w:t>SIGNATURES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or any future credit facility, the Small Business Administration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$1.2 billion in debt and equity capital and has invested over $1.5 billion in more than 150 companies with over 70 different financial sponsors through its managed funds.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See “Management’s Discussion and Analysis of Financial Condition and Results of Operations—Liquidity and Capital Resources” for more information.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stockholder expenses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t>
      </w:r>
    </w:p>
    <w:p>
      <w:pPr>
        <w:spacing w:after="0" w:line="253"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3.34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3.20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9.31</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9680" w:space="720"/>
            <w:col w:w="1000"/>
          </w:cols>
          <w:pgMar w:left="240" w:top="459" w:right="259" w:bottom="1440" w:gutter="0" w:footer="0" w:header="0"/>
          <w:type w:val="continuous"/>
        </w:sectPr>
      </w:pPr>
    </w:p>
    <w:p>
      <w:pPr>
        <w:ind w:left="460" w:right="24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2011.</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2011. See “Certain Relationships and Transactions—Investment Management Agreement” for more information.</w:t>
      </w:r>
    </w:p>
    <w:p>
      <w:pPr>
        <w:ind w:left="46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44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31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0.28%, (2) total net annual expenses of 6.11%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$ 108</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$ 221</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per share without first obtaining approval for such issuance from our stockholders and our independent directors. Additionally, our ability to incur indebtedness is limited by applicable regulations such that our asset coverage, as defined under the 1940 Act, must equal at least 200% of total indebtedness immediately after each time we incur indebtedness exclusive of the SBA debentures pursuant to our SEC exemptive relief. Declining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may be at a higher cost or on less favorable terms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SBA debentures.</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Credit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collateralized by the assets of SBIC LP.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may be unable to make distributions to us that will enable us to meet or maintain RIC status.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board of directors. Decreases in the market value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8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4"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10"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1"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exclusive of the SBA debentures pursuant to SEC exemptive relief,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expires in June 2012.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SBIC LP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exclusive of the SBA debentures pursuant to our SEC exemptive relief.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60" w:hanging="446"/>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price for our common stockholders or otherwise be in your best interest. Our senior securities may include conversion features that cause them to bear risks more closely associated with an investment in our common stock.</w:t>
      </w:r>
    </w:p>
    <w:p>
      <w:pPr>
        <w:spacing w:after="0" w:line="51" w:lineRule="exact"/>
        <w:rPr>
          <w:sz w:val="20"/>
          <w:szCs w:val="20"/>
          <w:color w:val="auto"/>
        </w:rPr>
      </w:pPr>
    </w:p>
    <w:p>
      <w:pPr>
        <w:ind w:left="900" w:right="100" w:hanging="446"/>
        <w:spacing w:after="0" w:line="28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40"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SBA Debentures</w:t>
      </w:r>
      <w:r>
        <w:rPr>
          <w:rFonts w:ascii="Arial" w:cs="Arial" w:eastAsia="Arial" w:hAnsi="Arial"/>
          <w:sz w:val="16"/>
          <w:szCs w:val="16"/>
          <w:color w:val="auto"/>
        </w:rPr>
        <w:t>. In addition to issuing securities and using securitizations to raise capital as described above, we have issued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as permitted under SBA 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is licensed by the SBA and is subject to SBA regulations.</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In July 2010, our wholly-owned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according to applicable SBA regulations.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SBIC LP fails to comply with applicable SBA regulations, the SBA could, depending on the severity of the violation, limit or prohibit SBIC LP’s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wholly-owned subsidiary.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exclusive of the SBA debentures pursuant to SEC exemptive relief, and any amounts that we use to service our indebtedness are not available for distribution to our common stockholders.</w:t>
      </w:r>
    </w:p>
    <w:p>
      <w:pPr>
        <w:spacing w:after="0" w:line="11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Additionally, our subsidiary, SBIC LP, has received borrowed funds from the SBA through its debenture program. In connection with the filing of its SBA license application, PennantPark Investment received exemptive relief, as of June 1,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lenders would receive proceeds before our stockholders. Additionally, the SBA, as a lender and an administrative agent, has a superior claim over the assets of SBIC LP in relation to our lender. In addition, borrowings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2011, we had outstanding borrowings of $240.9 million under our Credit Facility and $150.0 million outstanding under the SBA debentures. Our consolidated debt outstanding was $390.9 million and had a weighted average annual interest rate at the time of 2.20% exclusive of the fee on undrawn commitment of 0.20% and 3.43% upfront fees on the SBA debentures. Accordingly, to cover the annual interest on our borrowings outstanding at September 30, 2011, at the then current rate, we would have to receive an annual yield of at least 1.01%.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2011 of 42%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920" w:type="dxa"/>
            <w:vAlign w:val="bottom"/>
          </w:tcPr>
          <w:p>
            <w:pPr>
              <w:ind w:lef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2011,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 for more information.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issue preferred stock, debt securities, convertible debt securities or units, the net asset value and market value of our common stock may become more volatile.</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registered on this registration statement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our controlled affiliate and of PennantPark Floating Rate Capital Ltd., another BDC.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or convertible debt securities may be volatile.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each quarter-end, many of our portfolio assets are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liability maturities. Our borrowings under our Credit Facility and SBIC LP’s SBA debentures are collateralized by the assets in each entity’s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60" w:hanging="446"/>
        <w:spacing w:after="0" w:line="28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7"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We have made and expect to continue to make select equity investments. In addition, when we invest in senior secured loans or</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materially adverse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We may again obtain the approval of our stockholders to issue shares of our common stock at prices below the then current net asset value per share of our common stock. If we receive such approval from the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14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have traded above and below our net asset value, or NAV. Our shares traded on the NASDAQ Global Select Market at $8.92 and $10.61 as of September 30, 2011 and 2010, respectively. Our NAV was $10.13 and $10.69 as of September 30, 2011 and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loss of BDC, RIC or SBIC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 from investing idle funds in the following types of securities:</w:t>
      </w:r>
    </w:p>
    <w:p>
      <w:pPr>
        <w:spacing w:after="0" w:line="90" w:lineRule="exact"/>
        <w:rPr>
          <w:sz w:val="20"/>
          <w:szCs w:val="20"/>
          <w:color w:val="auto"/>
        </w:rPr>
      </w:pPr>
    </w:p>
    <w:p>
      <w:pPr>
        <w:ind w:left="900" w:right="8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w:t>
      </w:r>
    </w:p>
    <w:p>
      <w:pPr>
        <w:spacing w:after="0" w:line="21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distribute our common stock as a dividend of our taxable income,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of 2002 (the “Sarbanes-Oxley Act”), and other rules implemented by the SEC and the listing standards of the NASDAQ.</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the interest rate at that time was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“Management’s Discussion and Analysis of Financial Condition and Results of Operations” for more information.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60,140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(42,382)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w w:val="89"/>
              </w:rPr>
              <w:t>Consolidated Statement of Assets and Liabilities data (at period end):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664,724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$ 26,139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$ 15,095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13,220</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$ 13,159</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$ 11,171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(46,260)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(10,901)</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$ 14,351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(31,165)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$ 13,587</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$ 25,522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11.30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$ 16,681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8,957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7,059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(2,326)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6,630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(3,031)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$ 11,847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10,770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$ 10,425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6,018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5,666</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rPr>
              <w:t>$ 20,162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$ 36,932</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$ 26,180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$ 42,199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12.00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$ 11,431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5,434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4,449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(16,475)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11,263</w:t>
            </w:r>
          </w:p>
        </w:tc>
        <w:tc>
          <w:tcPr>
            <w:tcW w:w="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(37,778)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(11,041)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15,204</w:t>
            </w:r>
          </w:p>
        </w:tc>
        <w:tc>
          <w:tcPr>
            <w:tcW w:w="60" w:type="dxa"/>
            <w:vAlign w:val="bottom"/>
          </w:tcPr>
          <w:p>
            <w:pPr>
              <w:spacing w:after="0"/>
              <w:rPr>
                <w:sz w:val="18"/>
                <w:szCs w:val="18"/>
                <w:color w:val="auto"/>
              </w:rPr>
            </w:pP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 (33,329)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Q4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$ 5,425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$ 3,208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 (18,870)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$(5,152)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right"/>
              <w:ind w:right="415"/>
              <w:spacing w:after="0"/>
              <w:rPr>
                <w:sz w:val="20"/>
                <w:szCs w:val="20"/>
                <w:color w:val="auto"/>
              </w:rPr>
            </w:pPr>
            <w:r>
              <w:rPr>
                <w:rFonts w:ascii="Arial" w:cs="Arial" w:eastAsia="Arial" w:hAnsi="Arial"/>
                <w:sz w:val="18"/>
                <w:szCs w:val="18"/>
                <w:color w:val="auto"/>
              </w:rPr>
              <w:t>$ (14,522)</w:t>
            </w: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89"/>
              </w:rPr>
              <w:t>$(1,944)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 (0.09)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$ 13.74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$ 14.04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 middle-market offers attractive risk-reward to investors due to the limited amount of capital available for such companies. We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may also invest in public middle-market U.S. companies that are thinly traded or have a small-market capitalization.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in July 2010. SBIC LP’s objective is substantially similar to PennantPark Investment, generally co-investing in SBA eligible businesses that meet the investment criteria of PennantPark Investment.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We, through the Administrator, provide similar services to SBIC LP under its administration agreement with us. Our board of directors, a majority of whom are independent of us and PennantPark Investment Advisers, supervises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5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1.92%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0.90%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0.76%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5.58%</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2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fiscal year ended September 30, 2011.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fiscal year ended September 30, 2011. For more detailed information about the incentive fee, please see “Certain Relationships and Transactions—Investment Management Agreement” in this prospectus.</w:t>
      </w:r>
    </w:p>
    <w:p>
      <w:pPr>
        <w:spacing w:after="0" w:line="6"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SBA debentures in the amount of $150.0 million outstanding with a weighted average interest rate of 3.70%, exclusive of the 3.43%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upfront fees (4.04% inclusive of the the 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2011. See the Consolidated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2011.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9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the Investment Adviser responsible for the portfolio investment;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76"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its board of directors that is consistent with ASC 820. Consistent with our valuation policy, we evaluate the source of inputs, including any markets in which its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Consolidated Statement of Assets and Liabilities and changes in fair value of our Credit Facility are recorded in Consolidated Statement of Operations. We elected not to apply ASC 825-10 to any other financial assets or liabilities including the SBA debentures. For the years ended September 30, 2011 and 2010, our Credit Facility had a new change in unrealized appreciation of $11.9 million and $35.7 million, respectively. As of September 30, 2011 and 2010, net unrealized depreciation on our Credit Facility totaled $2.1 million and $14.0 million, respectively. We use nationally recognized independent valuation services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the sum of our ordinary income and realized net short-term capital gains, if any, our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54"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2011,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growth of our portfolio which was also driven by investment of the proceeds from our equity offering and rotation out of lower yielding assets.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2010 was $60.1 million and was attributable to $19.5 million from senior secured loan investments, $14.1 million from second lien secured debt investments, and $26.5 million from subordinated debt investments. The increase in investment income over the prior year was due to growth in our overall portfolio which was also driven by investment of the proceeds from our equity offering and rotation out of lower yielding assets.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attributable to $6.0 million from senior secured loan investments, $12.2 million from second lien secured debt investments, and $24.1 million from subordinated debt investments. For the same period remaining investment income was primarily attributed to interest income from net accretion of discount and amortization of premium. The increase in investment income over the prior year was due to growth in our overall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primarily due to the growth of our portfolio as well as increased borrowing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2009 totaled $22.4 million. Base management fee for the same period totaled $7.7 million, performance-based incentive fee totaled $5.7 million, Credit Facility and SBA debentures related expenses totaled $4.6 million, general and administrative expenses totaled $4.4 million. The increase in expenses over the prior year was due to the growth of our portfolio and offset by the reduced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 investment income totaled $52.6 million or $1.25 per share, $32.1 million or $1.09 per share and $22.7 million or $1.08 per share for the fiscal years ended September 30, 2011, 2010 and 2009, respectively. The increase in per share net investment income from 2010 to 2011 was the result of the growth of our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2011, 2010 and 2009 totaled $304.0 million, $145.2 million and $28.0 million, respectively, and net realized gains (losses) totaled $16.3 million, $(15.4) million and $(39.2) million, respectively. Net realized gains increased over the prior year due to sales and repayments of our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$(46.8) million, $35.5 million and $44.5 million for the fiscal years ended September 30, 2011, 2010 and 2009, respectively. Net change in unrealized (appreciation) deprecation on our Credit Facility totaled $(11.9) million, $(35.7) million and $7.8 million for the same periods, respectively. Net change in unrealized depreciation on investments increased over the prior year due to the overall deterioration in the leveraged finance markets. Net change in unrealized (appreciation) on our Credit Facility over the prior year is the result of its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$10.3 million or $0.24 per share, $16.5 million or $0.56 per share, and $35.8 million or $1.70 per share for the fiscal years ended September 30, 2011, 2010, and 2009, respectively. The net increase in net assets from operations was lower than the prior year due to the continued growth in net investment income as a result of growing our portfolio and realized gains offset by the appreciation in the value of our credit facility as it approaches maturity and depreciation on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through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SBIC LP, among other sources.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We are in discussions with lenders regarding a new credit facility to replace our existing facility, which matures in June 2012. Furthermore, our Credit Facility availability depends on various covenants and restrictions as discussed below. The primary uses of existing funds and any funds raised in the future is expected to be for repayment of indebtedness, investments in portfolio companies, cash distributions to our shareholders and for other general corporate purposes.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25, 2007, PennantPark Investment entered into the Credit Facility, with various lenders and SunTrust Bank, as administrative agent for the lenders. As of September 30, 2011 and 2010, we had outstanding borrowings of $240.9 million and $233.1 million (including a $5.2 million temporary draw) under the Credit Facility, with a weighted average interest rate of 1.27% and 1.34%, exclusive of the fee on undrawn commitment of 0.20%, and $74.1 million and $66.9 million of unused borrowing capacity,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September 30, 2011, we were in compliance with the terms of our Credit Facility.</w:t>
      </w:r>
    </w:p>
    <w:p>
      <w:pPr>
        <w:spacing w:after="0" w:line="14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for borrowed amounts was 294%, 266%, 271%, 204% and 2,804%. As of September 30, 2011, we have excluded the SBA debentures from our asset coverage ratio pursuant to SEC exemptive relief.</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fiscal year ended September 30, 2011, we sold 9.2 million shares of our common stock, inclusive of the underwriters’ over-allotment options, resulting in net proceeds of $108.3 million. This compares to selling 10.8 million shares of common stock, inclusive of the underwriters’ over-allotment option, resulting in net proceeds of $101.7 million, for the fiscal year ended September 30, 2010.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contributed $75.0 million to SBIC LP and had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As of September 30, 2011</w:t>
            </w:r>
          </w:p>
        </w:tc>
        <w:tc>
          <w:tcPr>
            <w:tcW w:w="520" w:type="dxa"/>
            <w:vAlign w:val="bottom"/>
          </w:tcPr>
          <w:p>
            <w:pPr>
              <w:spacing w:after="0"/>
              <w:rPr>
                <w:sz w:val="14"/>
                <w:szCs w:val="14"/>
                <w:color w:val="auto"/>
              </w:rPr>
            </w:pPr>
          </w:p>
        </w:tc>
        <w:tc>
          <w:tcPr>
            <w:tcW w:w="260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1180"/>
              <w:spacing w:after="0"/>
              <w:rPr>
                <w:sz w:val="20"/>
                <w:szCs w:val="20"/>
                <w:color w:val="auto"/>
              </w:rPr>
            </w:pPr>
            <w:r>
              <w:rPr>
                <w:rFonts w:ascii="Arial" w:cs="Arial" w:eastAsia="Arial" w:hAnsi="Arial"/>
                <w:sz w:val="14"/>
                <w:szCs w:val="14"/>
                <w:b w:val="1"/>
                <w:bCs w:val="1"/>
                <w:color w:val="auto"/>
              </w:rPr>
              <w:t>Issuance Dates</w:t>
            </w:r>
          </w:p>
        </w:tc>
        <w:tc>
          <w:tcPr>
            <w:tcW w:w="440" w:type="dxa"/>
            <w:vAlign w:val="bottom"/>
          </w:tcPr>
          <w:p>
            <w:pPr>
              <w:spacing w:after="0"/>
              <w:rPr>
                <w:sz w:val="15"/>
                <w:szCs w:val="15"/>
                <w:color w:val="auto"/>
              </w:rPr>
            </w:pPr>
          </w:p>
        </w:tc>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Maturity</w:t>
            </w:r>
          </w:p>
        </w:tc>
        <w:tc>
          <w:tcPr>
            <w:tcW w:w="126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5"/>
              </w:rPr>
              <w:t>Principal Balance</w:t>
            </w:r>
          </w:p>
        </w:tc>
        <w:tc>
          <w:tcPr>
            <w:tcW w:w="520" w:type="dxa"/>
            <w:vAlign w:val="bottom"/>
          </w:tcPr>
          <w:p>
            <w:pPr>
              <w:spacing w:after="0"/>
              <w:rPr>
                <w:sz w:val="15"/>
                <w:szCs w:val="15"/>
                <w:color w:val="auto"/>
              </w:rPr>
            </w:pPr>
          </w:p>
        </w:tc>
        <w:tc>
          <w:tcPr>
            <w:tcW w:w="124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Fixed SBA Debentures</w:t>
            </w:r>
          </w:p>
        </w:tc>
        <w:tc>
          <w:tcPr>
            <w:tcW w:w="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22, 2010</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29, 2011</w:t>
            </w:r>
          </w:p>
        </w:tc>
        <w:tc>
          <w:tcPr>
            <w:tcW w:w="2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March 1, 2021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44,500,000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September 21, 2011</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105,000,000</w:t>
            </w:r>
          </w:p>
        </w:tc>
        <w:tc>
          <w:tcPr>
            <w:tcW w:w="5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Interim SBA Debentures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SBA Commitment</w:t>
            </w: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2011, SBIC LP was in compliance with its regulatory requirements.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September 30, 2011, we had approximately $49 million of assets bearing a coupon of 9% or lower. We will look to rotate these assets into new higher yielding investments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net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net cash proceeds of $95.6 million for the same period, primarily from proceeds from our follow-on public offerings of common stock. Our operating activities used cash primarily for investing, that was provided from proceeds from secondary public offerings and draws under our Credit Facility.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$42.4 million for the fiscal year ended September 30, 2009, and our financing activities provided net cash proceeds of $35.4 million for the same period, primarily from borrowings under our Credit Facility. Our operating activities used cash primarily for investing, that was provided from proceeds from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borrowings under our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$ 240.9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18.6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2011 was 2.20% exclusive of the fee on undrawn commitment of 0.20% on the Credit Facility and 3.43% of upfront fees on the SBA debentures.</w:t>
      </w:r>
    </w:p>
    <w:p>
      <w:pPr>
        <w:ind w:left="460" w:right="300" w:hanging="452"/>
        <w:spacing w:after="0" w:line="261"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first lien secured debt and subordinated debt investments.</w:t>
      </w:r>
    </w:p>
    <w:p>
      <w:pPr>
        <w:spacing w:after="0" w:line="13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our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an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 For the fiscal years ended September 30, 2011 and 2010, we have elected to retain a portion of our calendar year income and record an excise tax of $0.2 million and $0.1 million,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fiscal years ended September 30, 2011, 2010 and 2009, we declared to stockholders distributions of $1.07, $1.03 and $0.96 per share, respectively, for total distributions of $46.3 million, $32.3 million and $20.2 million, respectively. We monitor available net investment income to determine if a tax return of capital may occur for the fiscal year. The specific tax characteristics of the distributions will be reported to stockholders on Form 1099-DIV after the end of the calendar year and in a periodic report filed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40" w:firstLine="8"/>
        <w:spacing w:after="0" w:line="253"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2011, our portfolio consisted of 61% fixed-rate, 31% variable-rate with a LIBOR or prime floor and 8% variable-rate investments. The variable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Assuming that the balance sheet as of September 30,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the net change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2011, 2010, 2009, 2008 and 2007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 Amount</w:t>
            </w:r>
          </w:p>
        </w:tc>
        <w:tc>
          <w:tcPr>
            <w:tcW w:w="100" w:type="dxa"/>
            <w:vAlign w:val="bottom"/>
          </w:tcPr>
          <w:p>
            <w:pPr>
              <w:spacing w:after="0"/>
              <w:rPr>
                <w:sz w:val="12"/>
                <w:szCs w:val="12"/>
                <w:color w:val="auto"/>
              </w:rPr>
            </w:pPr>
          </w:p>
        </w:tc>
        <w:tc>
          <w:tcPr>
            <w:tcW w:w="1620" w:type="dxa"/>
            <w:vAlign w:val="bottom"/>
            <w:gridSpan w:val="2"/>
          </w:tcPr>
          <w:p>
            <w:pPr>
              <w:jc w:val="center"/>
              <w:ind w:right="100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640" w:type="dxa"/>
            <w:vAlign w:val="bottom"/>
          </w:tcPr>
          <w:p>
            <w:pPr>
              <w:spacing w:after="0"/>
              <w:rPr>
                <w:sz w:val="15"/>
                <w:szCs w:val="15"/>
                <w:color w:val="auto"/>
              </w:rPr>
            </w:pPr>
          </w:p>
        </w:tc>
        <w:tc>
          <w:tcPr>
            <w:tcW w:w="182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92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2,912</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2,115</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28,039</w:t>
            </w:r>
          </w:p>
        </w:tc>
        <w:tc>
          <w:tcPr>
            <w:tcW w:w="90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December 16, 2011, the last reported closing price of our common stock was $10.16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200" w:type="dxa"/>
            <w:vAlign w:val="bottom"/>
            <w:gridSpan w:val="2"/>
            <w:vMerge w:val="restart"/>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5"/>
                <w:szCs w:val="5"/>
                <w:color w:val="auto"/>
              </w:rPr>
            </w:pPr>
          </w:p>
        </w:tc>
        <w:tc>
          <w:tcPr>
            <w:tcW w:w="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gridSpan w:val="2"/>
            <w:vMerge w:val="restart"/>
          </w:tcPr>
          <w:p>
            <w:pPr>
              <w:ind w:left="40"/>
              <w:spacing w:after="0" w:line="20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9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 (as of December 16, 2011)</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$ 11.02</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$ 8.57</w:t>
            </w:r>
          </w:p>
        </w:tc>
        <w:tc>
          <w:tcPr>
            <w:tcW w:w="46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10.13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11.52</w:t>
            </w: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11.30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13.05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11.21</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10.94</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9.15</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12.83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shares traded on the NASDAQ Global Select Market at $8.92 and $10.61 as of September 30, 2011 and September 30, 2010, respectively. Our NAV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 and $10.69, as of September 30, 2011 and September 30, 2010, respectively. The possibility that our shares of common stock will trade at a discount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 asset value or at a premium that is unsustainable over the long term is separate and distinct from the risk that our net asset value will decrease. It is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possible to predict whether our shares will trade at, above or below net asset value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89"/>
              </w:rPr>
              <w:t>Example 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20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30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8"/>
              </w:rPr>
              <w:t>at 20% Discount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8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Sale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9.52</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offering proceeds per share to</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issuer</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1,100,000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NAV per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34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(17.00)%</w:t>
            </w:r>
          </w:p>
        </w:tc>
        <w:tc>
          <w:tcPr>
            <w:tcW w:w="0" w:type="dxa"/>
            <w:vAlign w:val="bottom"/>
          </w:tcPr>
          <w:p>
            <w:pPr>
              <w:spacing w:after="0"/>
              <w:rPr>
                <w:sz w:val="1"/>
                <w:szCs w:val="1"/>
                <w:color w:val="auto"/>
              </w:rPr>
            </w:pPr>
          </w:p>
        </w:tc>
      </w:tr>
      <w:tr>
        <w:trPr>
          <w:trHeight w:val="363"/>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jc w:val="right"/>
              <w:ind w:right="257"/>
              <w:spacing w:after="0"/>
              <w:rPr>
                <w:sz w:val="20"/>
                <w:szCs w:val="20"/>
                <w:color w:val="auto"/>
              </w:rPr>
            </w:pPr>
            <w:r>
              <w:rPr>
                <w:rFonts w:ascii="Arial" w:cs="Arial" w:eastAsia="Arial" w:hAnsi="Arial"/>
                <w:sz w:val="18"/>
                <w:szCs w:val="18"/>
                <w:color w:val="auto"/>
                <w:w w:val="79"/>
              </w:rPr>
              <w:t>53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6"/>
              </w:rPr>
              <w:t>Example 1</w:t>
            </w:r>
          </w:p>
        </w:tc>
        <w:tc>
          <w:tcPr>
            <w:tcW w:w="100" w:type="dxa"/>
            <w:vAlign w:val="bottom"/>
          </w:tcPr>
          <w:p>
            <w:pPr>
              <w:spacing w:after="0"/>
              <w:rPr>
                <w:sz w:val="14"/>
                <w:szCs w:val="1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00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8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8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99,800</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96,700</w:t>
            </w:r>
          </w:p>
        </w:tc>
        <w:tc>
          <w:tcPr>
            <w:tcW w:w="42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by stockholder A (assumed to be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42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Investment per share held by stockholder A (assumed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to be $10.00 per share on shares held prior to sale)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Percentage dilution to stockholder A (dilution per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divided by investment per share)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 compared to the price they pay for their shares. Investors who are not currently stockholders and who participate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2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r>
      <w:tr>
        <w:trPr>
          <w:trHeight w:val="224"/>
        </w:trPr>
        <w:tc>
          <w:tcPr>
            <w:tcW w:w="35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r>
      <w:tr>
        <w:trPr>
          <w:trHeight w:val="161"/>
        </w:trPr>
        <w:tc>
          <w:tcPr>
            <w:tcW w:w="35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10.05</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1,050,000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NAV per share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(0.20)%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5,025</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63"/>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3</w:t>
            </w: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20% Offering</w:t>
            </w:r>
          </w:p>
        </w:tc>
      </w:t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20% Discount</w:t>
            </w:r>
          </w:p>
        </w:tc>
      </w:tr>
      <w:tr>
        <w:trPr>
          <w:trHeight w:val="224"/>
        </w:trPr>
        <w:tc>
          <w:tcPr>
            <w:tcW w:w="44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r>
      <w:tr>
        <w:trPr>
          <w:trHeight w:val="161"/>
        </w:trPr>
        <w:tc>
          <w:tcPr>
            <w:tcW w:w="44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6"/>
              </w:rPr>
              <w:t>Sale</w:t>
            </w: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9.91</w:t>
            </w:r>
          </w:p>
        </w:tc>
        <w:tc>
          <w:tcPr>
            <w:tcW w:w="44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10.05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9.52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8"/>
        </w:trPr>
        <w:tc>
          <w:tcPr>
            <w:tcW w:w="448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48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(0.07)</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0.39</w:t>
            </w:r>
          </w:p>
        </w:tc>
        <w:tc>
          <w:tcPr>
            <w:tcW w:w="4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4.10%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14.17%</w:t>
            </w:r>
          </w:p>
        </w:tc>
      </w:tr>
      <w:tr>
        <w:trPr>
          <w:trHeight w:val="363"/>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8"/>
              </w:rPr>
              <w:t>Record Dates</w:t>
            </w:r>
          </w:p>
        </w:tc>
        <w:tc>
          <w:tcPr>
            <w:tcW w:w="35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600" w:type="dxa"/>
            <w:vAlign w:val="bottom"/>
          </w:tcPr>
          <w:p>
            <w:pPr>
              <w:spacing w:after="0"/>
              <w:rPr>
                <w:sz w:val="14"/>
                <w:szCs w:val="14"/>
                <w:color w:val="auto"/>
              </w:rPr>
            </w:pPr>
          </w:p>
        </w:tc>
        <w:tc>
          <w:tcPr>
            <w:tcW w:w="78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December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2011</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15,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17,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14,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June 30, 2008</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March 31,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2007</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December 31, 2007</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8 to our Consolidated Financial Statements as of September 30,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323" w:lineRule="auto"/>
        <w:tabs>
          <w:tab w:leader="none" w:pos="249" w:val="left"/>
        </w:tabs>
        <w:numPr>
          <w:ilvl w:val="0"/>
          <w:numId w:val="66"/>
        </w:numPr>
        <w:rPr>
          <w:rFonts w:ascii="Arial" w:cs="Arial" w:eastAsia="Arial" w:hAnsi="Arial"/>
          <w:sz w:val="15"/>
          <w:szCs w:val="15"/>
          <w:color w:val="auto"/>
        </w:rPr>
      </w:pPr>
      <w:r>
        <w:rPr>
          <w:rFonts w:ascii="Arial" w:cs="Arial" w:eastAsia="Arial" w:hAnsi="Arial"/>
          <w:sz w:val="15"/>
          <w:szCs w:val="15"/>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See “Material U.S. Federal Income Tax Considerations” for more information.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as a RIC, under the Code.</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on July 30,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capital preservation, diversification and active management. Since our Investment Adviser’s inception in 2007, it has raised about $1.2 billion in debt and equity capital and has invested over $1.5 billion in more than 150 companies with more than 70 different financial sponsors through its managed funds.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mature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“Management’s Discussion and Analysis of Financial Condition and Results of Operations—Liquidity and Capital Resources” for more information.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These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Structurally, mezzanine debt, which we define to include second lien secured debt and subordinated debt, usually ranks subordinate in priority of payment to senior secured loans and will generally be unsecured.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Mezzanine debt may have interest-only payments in the early years, payable in cash or PIK payments with amortization of principal deferred to the later years of the mezzanine debt. In some cases, we may enter into mezzanine debt that, by its terms, converts into equity or additional debt securities or defers payments of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few years after our investment. Also, in some cases our mezzanine debt may be collateralized by a subordinated lien on some or all of the assets of the borrower. Typically, our mezzanine debt investments have maturities of three to ten years.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have invested:</w:t>
      </w:r>
    </w:p>
    <w:p>
      <w:pPr>
        <w:sectPr>
          <w:pgSz w:w="11900" w:h="16838" w:orient="portrait"/>
          <w:cols w:equalWidth="0" w:num="1">
            <w:col w:w="11380"/>
          </w:cols>
          <w:pgMar w:left="240" w:top="459" w:right="279" w:bottom="1440" w:gutter="0" w:footer="0" w:header="0"/>
        </w:sectPr>
      </w:pPr>
    </w:p>
    <w:p>
      <w:pPr>
        <w:spacing w:after="0" w:line="147" w:lineRule="exact"/>
        <w:rPr>
          <w:sz w:val="20"/>
          <w:szCs w:val="20"/>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300" w:right="100" w:hanging="429"/>
        <w:spacing w:after="0" w:line="268" w:lineRule="auto"/>
        <w:tabs>
          <w:tab w:leader="none" w:pos="11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60"/>
          </w:cols>
          <w:pgMar w:left="240" w:top="459" w:right="27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00" w:type="dxa"/>
            <w:vAlign w:val="bottom"/>
            <w:vMerge w:val="restart"/>
          </w:tcPr>
          <w:p>
            <w:pPr>
              <w:spacing w:after="0"/>
              <w:rPr>
                <w:sz w:val="14"/>
                <w:szCs w:val="14"/>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September 30,</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40" w:type="dxa"/>
            <w:vAlign w:val="bottom"/>
            <w:vMerge w:val="restart"/>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gridSpan w:val="2"/>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840" w:type="dxa"/>
            <w:vAlign w:val="bottom"/>
            <w:gridSpan w:val="2"/>
          </w:tcPr>
          <w:p>
            <w:pPr>
              <w:jc w:val="right"/>
              <w:ind w:right="22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Eureka Hunter Pipeline, LLC (Magnum Hunter</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Resources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9"/>
                <w:szCs w:val="19"/>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Last Mile Funding Corp. (3PD,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Veritext 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Kadmon Pharmaceuticals LLC (f/k/a Three River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ind w:left="220"/>
              <w:spacing w:after="0"/>
              <w:rPr>
                <w:sz w:val="20"/>
                <w:szCs w:val="20"/>
                <w:color w:val="auto"/>
              </w:rPr>
            </w:pPr>
            <w:r>
              <w:rPr>
                <w:rFonts w:ascii="Arial" w:cs="Arial" w:eastAsia="Arial" w:hAnsi="Arial"/>
                <w:sz w:val="18"/>
                <w:szCs w:val="18"/>
                <w:color w:val="auto"/>
              </w:rPr>
              <w:t>Pharmaceuticals LLC)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Da-Lite Screen Company,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LTI Flexible Products,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Sugarhouse HSP Gaming Properties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4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3840" w:type="dxa"/>
            <w:vAlign w:val="bottom"/>
            <w:gridSpan w:val="2"/>
            <w:vMerge w:val="restart"/>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84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Home and Office Furnishings, Housewares and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rPr>
              <w:t>Durable 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Accordingly, they may have obligations to investors in PennantPark Floating Rate Capital Ltd.,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30, 2011, our portfolio consisted of 48 companies and was invested 36% in senior secured loans, 20% in second lien secured debt, 37% in subordinated debt and 7% in preferred and common equity investments.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2011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5% or Less Owned</w:t>
            </w:r>
          </w:p>
        </w:tc>
        <w:tc>
          <w:tcPr>
            <w:tcW w:w="2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Preferred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Surgical Holdings, Inc. (AH Holdings, Inc.)</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Suite 250</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280" w:type="dxa"/>
            <w:vAlign w:val="bottom"/>
            <w:gridSpan w:val="3"/>
            <w:vMerge w:val="restart"/>
          </w:tcPr>
          <w:p>
            <w:pPr>
              <w:spacing w:after="0"/>
              <w:rPr>
                <w:sz w:val="20"/>
                <w:szCs w:val="20"/>
                <w:color w:val="auto"/>
              </w:rPr>
            </w:pPr>
            <w:r>
              <w:rPr>
                <w:rFonts w:ascii="Arial" w:cs="Arial" w:eastAsia="Arial" w:hAnsi="Arial"/>
                <w:sz w:val="14"/>
                <w:szCs w:val="14"/>
                <w:color w:val="auto"/>
              </w:rPr>
              <w:t>Houston, TX 77036-7852</w:t>
            </w:r>
          </w:p>
        </w:tc>
        <w:tc>
          <w:tcPr>
            <w:tcW w:w="3920" w:type="dxa"/>
            <w:vAlign w:val="bottom"/>
            <w:gridSpan w:val="2"/>
            <w:vMerge w:val="continue"/>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continue"/>
          </w:tcPr>
          <w:p>
            <w:pPr>
              <w:spacing w:after="0"/>
              <w:rPr>
                <w:sz w:val="10"/>
                <w:szCs w:val="10"/>
                <w:color w:val="auto"/>
              </w:rPr>
            </w:pPr>
          </w:p>
        </w:tc>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86"/>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5"/>
              </w:rPr>
              <w:t>Subordinated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Energy / Utilities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Services, Inc.</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2502 South Main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Kennesaw, GA 30144</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3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Broadcasting and Entertainment</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Common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CEVA Group PLC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Logistics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 St. George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London W1S 1FS</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United Kingdom</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80" w:type="dxa"/>
            <w:vAlign w:val="bottom"/>
            <w:gridSpan w:val="3"/>
          </w:tcPr>
          <w:p>
            <w:pPr>
              <w:spacing w:after="0"/>
              <w:rPr>
                <w:sz w:val="20"/>
                <w:szCs w:val="20"/>
                <w:color w:val="auto"/>
              </w:rPr>
            </w:pPr>
            <w:r>
              <w:rPr>
                <w:rFonts w:ascii="Arial" w:cs="Arial" w:eastAsia="Arial" w:hAnsi="Arial"/>
                <w:sz w:val="14"/>
                <w:szCs w:val="14"/>
                <w:color w:val="auto"/>
              </w:rPr>
              <w:t>Chester Downs and Marina, LLC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Hotels, Motels, Inns and Gaming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Harrah’s Blvd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Chester, PA 19103</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Columbus International, Inc.</w:t>
            </w:r>
          </w:p>
        </w:tc>
        <w:tc>
          <w:tcPr>
            <w:tcW w:w="200" w:type="dxa"/>
            <w:vAlign w:val="bottom"/>
            <w:tcBorders>
              <w:top w:val="single" w:sz="8" w:color="CCEEFF"/>
            </w:tcBorders>
            <w:shd w:val="clear" w:color="auto" w:fill="CCEEFF"/>
          </w:tcPr>
          <w:p>
            <w:pPr>
              <w:spacing w:after="0"/>
              <w:rPr>
                <w:sz w:val="11"/>
                <w:szCs w:val="11"/>
                <w:color w:val="auto"/>
              </w:rPr>
            </w:pPr>
          </w:p>
        </w:tc>
        <w:tc>
          <w:tcPr>
            <w:tcW w:w="3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First Lien Secured Debt</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293"/>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Roebuck &amp; Palmetto Sts.</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Bridgetown, Barbados, West Indies</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Consolidated Foundries, Inc. (CFHC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5"/>
              </w:rPr>
              <w:t>Aerospace and Defense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Subordinated Debt Preferred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4200 Valley Blvd.</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Pomona, CA 91766</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Covad Communications Group,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Telecommunications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2220 O’Toole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Jose, CA 95131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CT Technologies Intermediate Holdings,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LLC (CT Technologies Intermediate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3"/>
              </w:rPr>
              <w:t>Business Services</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875 North Michigan Avenue</w:t>
            </w:r>
          </w:p>
        </w:tc>
        <w:tc>
          <w:tcPr>
            <w:tcW w:w="392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Chicago, IL 60601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 (DirectBuy Investors, L.P.)</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8450 Broadway</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Merrillville, IN 46410</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Stock</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Diversitech Corporation</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Manufacturing/Basic Industry</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6650 Sugarloaf Parkway, Suite 100,</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Duluth, GA 30097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Eureka Hunter Pipeline, LLC (Magnum Hunter Resources Corporation)</w:t>
            </w:r>
          </w:p>
        </w:tc>
        <w:tc>
          <w:tcPr>
            <w:tcW w:w="3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9"/>
              </w:rPr>
              <w:t>Energy/Utilities Oil and Gas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777 Post Oak Blvd., Suite 650</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Equity Warrants</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Electronics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Good Sam Enterprises, LLC (f/k/a Affinity Group Holdings Inc.)</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2575 Vista Del Mar Drive</w:t>
            </w:r>
          </w:p>
        </w:tc>
        <w:tc>
          <w:tcPr>
            <w:tcW w:w="3920" w:type="dxa"/>
            <w:vAlign w:val="bottom"/>
            <w:gridSpan w:val="2"/>
            <w:vMerge w:val="continue"/>
            <w:shd w:val="clear" w:color="auto" w:fill="CCEEFF"/>
          </w:tcPr>
          <w:p>
            <w:pPr>
              <w:spacing w:after="0"/>
              <w:rPr>
                <w:sz w:val="12"/>
                <w:szCs w:val="12"/>
                <w:color w:val="auto"/>
              </w:rPr>
            </w:pPr>
          </w:p>
        </w:tc>
        <w:tc>
          <w:tcPr>
            <w:tcW w:w="246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Ventura, CA 93001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w w:val="96"/>
              </w:rPr>
              <w:t>Greatwide Logistics Services, L.L.C. (Transportation 100 HoldCo, LLC)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Cargo Transport</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12404 Park Central Dr., Ste. 300s</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Hanley-Wood,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Printing and Publishing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Suite 155,</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39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Home and Office Furnishings, Housewares and Durable Consumer</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Products</w:t>
            </w: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Palm Beach, FL 33401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Portfolio Company</w:t>
      </w:r>
    </w:p>
    <w:p>
      <w:pPr>
        <w:spacing w:after="0" w:line="17" w:lineRule="exact"/>
        <w:rPr>
          <w:sz w:val="20"/>
          <w:szCs w:val="20"/>
          <w:color w:val="auto"/>
        </w:rPr>
      </w:pPr>
    </w:p>
    <w:p>
      <w:pPr>
        <w:ind w:left="220" w:right="580" w:hanging="215"/>
        <w:spacing w:after="0" w:line="230" w:lineRule="auto"/>
        <w:rPr>
          <w:sz w:val="20"/>
          <w:szCs w:val="20"/>
          <w:color w:val="auto"/>
        </w:rPr>
      </w:pPr>
      <w:r>
        <w:rPr>
          <w:rFonts w:ascii="Arial" w:cs="Arial" w:eastAsia="Arial" w:hAnsi="Arial"/>
          <w:sz w:val="14"/>
          <w:szCs w:val="14"/>
          <w:color w:val="auto"/>
        </w:rPr>
        <w:t>Kadmon Pharmaceuticals, L.L.C. (f/k/a Three Rivers Pharmaceuticals, L.L.C.)</w:t>
      </w:r>
    </w:p>
    <w:p>
      <w:pPr>
        <w:spacing w:after="0" w:line="222" w:lineRule="auto"/>
        <w:rPr>
          <w:sz w:val="20"/>
          <w:szCs w:val="20"/>
          <w:color w:val="auto"/>
        </w:rPr>
      </w:pPr>
      <w:r>
        <w:rPr>
          <w:rFonts w:ascii="Arial" w:cs="Arial" w:eastAsia="Arial" w:hAnsi="Arial"/>
          <w:sz w:val="14"/>
          <w:szCs w:val="14"/>
          <w:color w:val="auto"/>
        </w:rPr>
        <w:t>Alexandria Center for Life Sciences</w:t>
      </w:r>
    </w:p>
    <w:p>
      <w:pPr>
        <w:spacing w:after="0" w:line="182" w:lineRule="auto"/>
        <w:rPr>
          <w:sz w:val="20"/>
          <w:szCs w:val="20"/>
          <w:color w:val="auto"/>
        </w:rPr>
      </w:pPr>
      <w:r>
        <w:rPr>
          <w:rFonts w:ascii="Arial" w:cs="Arial" w:eastAsia="Arial" w:hAnsi="Arial"/>
          <w:sz w:val="11"/>
          <w:szCs w:val="11"/>
          <w:color w:val="auto"/>
        </w:rPr>
        <w:t>450 East 29</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Street, 5</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Floor</w:t>
      </w:r>
    </w:p>
    <w:p>
      <w:pPr>
        <w:spacing w:after="0"/>
        <w:rPr>
          <w:sz w:val="20"/>
          <w:szCs w:val="20"/>
          <w:color w:val="auto"/>
        </w:rPr>
      </w:pPr>
      <w:r>
        <w:rPr>
          <w:rFonts w:ascii="Arial" w:cs="Arial" w:eastAsia="Arial" w:hAnsi="Arial"/>
          <w:sz w:val="14"/>
          <w:szCs w:val="14"/>
          <w:color w:val="auto"/>
        </w:rPr>
        <w:t>New York, NY 10016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r>
      <w:tr>
        <w:trPr>
          <w:trHeight w:val="334"/>
        </w:trPr>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Healthcare, Education and Childcare</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2.5%</w:t>
            </w:r>
          </w:p>
        </w:tc>
      </w:tr>
      <w:tr>
        <w:trPr>
          <w:trHeight w:val="172"/>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-333375</wp:posOffset>
            </wp:positionV>
            <wp:extent cx="7246620" cy="4889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3460" w:space="720"/>
            <w:col w:w="7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auto"/>
              </w:rPr>
              <w:t>Last Mile Funding, Corp. (3PD, Inc.)</w:t>
            </w:r>
          </w:p>
        </w:tc>
        <w:tc>
          <w:tcPr>
            <w:tcW w:w="3800" w:type="dxa"/>
            <w:vAlign w:val="bottom"/>
          </w:tcPr>
          <w:p>
            <w:pPr>
              <w:jc w:val="center"/>
              <w:ind w:left="12"/>
              <w:spacing w:after="0"/>
              <w:rPr>
                <w:sz w:val="20"/>
                <w:szCs w:val="20"/>
                <w:color w:val="auto"/>
              </w:rPr>
            </w:pPr>
            <w:r>
              <w:rPr>
                <w:rFonts w:ascii="Arial" w:cs="Arial" w:eastAsia="Arial" w:hAnsi="Arial"/>
                <w:sz w:val="14"/>
                <w:szCs w:val="14"/>
                <w:color w:val="auto"/>
                <w:w w:val="86"/>
              </w:rPr>
              <w:t>Cargo Transport</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 South Service Road, Suite 120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Melville, NY 11747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Learning Care Group (US),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Education</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Novi, MI 48375</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jc w:val="center"/>
              <w:ind w:left="92"/>
              <w:spacing w:after="0"/>
              <w:rPr>
                <w:sz w:val="20"/>
                <w:szCs w:val="20"/>
                <w:color w:val="auto"/>
              </w:rPr>
            </w:pPr>
            <w:r>
              <w:rPr>
                <w:rFonts w:ascii="Arial" w:cs="Arial" w:eastAsia="Arial" w:hAnsi="Arial"/>
                <w:sz w:val="14"/>
                <w:szCs w:val="14"/>
                <w:color w:val="auto"/>
                <w:w w:val="84"/>
              </w:rPr>
              <w:t>Warrants</w:t>
            </w: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LTI Flexible Products,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7"/>
              </w:rPr>
              <w:t>Chemical, Plastic and Rubber</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600 S. McClure Road,</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Stanislaus County, CA 95357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Printing and Publishing</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MedQuist,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Mt. Laurel, NJ 08054</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PAS Technologies, Inc. (PAS Tech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3"/>
              </w:rPr>
              <w:t>Aerospace and Defense</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North Kansas City, MO 64116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Preferred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8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2560" w:type="dxa"/>
            <w:vAlign w:val="bottom"/>
            <w:shd w:val="clear" w:color="auto" w:fill="CCEEFF"/>
          </w:tcPr>
          <w:p>
            <w:pPr>
              <w:jc w:val="center"/>
              <w:ind w:left="112"/>
              <w:spacing w:after="0" w:line="122"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8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Pre-Paid Legal Services, Inc. (MidOcean PPL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Pre-Paid Way</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5"/>
              </w:rPr>
              <w:t>Personal, Food and Miscellaneous Services</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Ada, OK 74820</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Mining, Steel, Iron and Non-Precious Metals</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East 44th Street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Questex Media Group LLC (QMG HoldCo, LLC)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0"/>
              </w:rPr>
              <w:t>Other Media</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Newton, MA 02466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RAM Energy Resources,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9"/>
              </w:rPr>
              <w:t>Oil and Gas</w:t>
            </w:r>
          </w:p>
        </w:tc>
        <w:tc>
          <w:tcPr>
            <w:tcW w:w="2560" w:type="dxa"/>
            <w:vAlign w:val="bottom"/>
          </w:tcPr>
          <w:p>
            <w:pPr>
              <w:jc w:val="center"/>
              <w:ind w:left="92"/>
              <w:spacing w:after="0"/>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5100 East Skelly Drive, Suite 650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Tulsa, OK 74135</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8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Buildings and Real Estate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ROC Finance LLC and ROC Finance 1</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20"/>
              <w:spacing w:after="0" w:line="149" w:lineRule="exact"/>
              <w:rPr>
                <w:sz w:val="20"/>
                <w:szCs w:val="20"/>
                <w:color w:val="auto"/>
              </w:rPr>
            </w:pPr>
            <w:r>
              <w:rPr>
                <w:rFonts w:ascii="Arial" w:cs="Arial" w:eastAsia="Arial" w:hAnsi="Arial"/>
                <w:sz w:val="14"/>
                <w:szCs w:val="14"/>
                <w:color w:val="auto"/>
              </w:rPr>
              <w:t>Corp.</w:t>
            </w:r>
          </w:p>
        </w:tc>
        <w:tc>
          <w:tcPr>
            <w:tcW w:w="380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256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Detroit, MI 48226</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TRAK Acquisition Corp.</w:t>
            </w:r>
          </w:p>
        </w:tc>
        <w:tc>
          <w:tcPr>
            <w:tcW w:w="30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0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296"/>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rPr>
                <w:sz w:val="20"/>
                <w:szCs w:val="20"/>
                <w:color w:val="auto"/>
              </w:rPr>
            </w:pPr>
            <w:r>
              <w:rPr>
                <w:rFonts w:ascii="Arial" w:cs="Arial" w:eastAsia="Arial" w:hAnsi="Arial"/>
                <w:sz w:val="14"/>
                <w:szCs w:val="14"/>
                <w:color w:val="auto"/>
              </w:rPr>
              <w:t>TransFirst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Financial Services</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Dallas, TX 75225</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(Trizetto Group, Inc.)</w:t>
            </w:r>
          </w:p>
        </w:tc>
        <w:tc>
          <w:tcPr>
            <w:tcW w:w="3900" w:type="dxa"/>
            <w:vAlign w:val="bottom"/>
            <w:gridSpan w:val="2"/>
            <w:shd w:val="clear" w:color="auto" w:fill="CCEEFF"/>
          </w:tcPr>
          <w:p>
            <w:pPr>
              <w:jc w:val="center"/>
              <w:ind w:right="300"/>
              <w:spacing w:after="0" w:line="138" w:lineRule="exact"/>
              <w:rPr>
                <w:sz w:val="20"/>
                <w:szCs w:val="20"/>
                <w:color w:val="auto"/>
              </w:rPr>
            </w:pPr>
            <w:r>
              <w:rPr>
                <w:rFonts w:ascii="Arial" w:cs="Arial" w:eastAsia="Arial" w:hAnsi="Arial"/>
                <w:sz w:val="14"/>
                <w:szCs w:val="14"/>
                <w:color w:val="auto"/>
                <w:w w:val="84"/>
              </w:rPr>
              <w:t>Insurance</w:t>
            </w:r>
          </w:p>
        </w:tc>
        <w:tc>
          <w:tcPr>
            <w:tcW w:w="242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4"/>
                <w:szCs w:val="14"/>
                <w:color w:val="auto"/>
                <w:w w:val="88"/>
              </w:rPr>
              <w:t>Preferred Equity</w:t>
            </w:r>
          </w:p>
        </w:tc>
        <w:tc>
          <w:tcPr>
            <w:tcW w:w="760" w:type="dxa"/>
            <w:vAlign w:val="bottom"/>
            <w:shd w:val="clear" w:color="auto" w:fill="CCEEFF"/>
          </w:tcPr>
          <w:p>
            <w:pPr>
              <w:jc w:val="right"/>
              <w:ind w:right="176"/>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UP Support Services, Inc. (Universal Pegasus International, Inc.)</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4848 Loop Central Drive</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Oil and Gas</w:t>
            </w:r>
          </w:p>
        </w:tc>
        <w:tc>
          <w:tcPr>
            <w:tcW w:w="24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Houston, TX 77081</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3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Veritext Corp. (VText Holdings, Inc.)</w:t>
            </w:r>
          </w:p>
        </w:tc>
        <w:tc>
          <w:tcPr>
            <w:tcW w:w="390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320"/>
              <w:spacing w:after="0" w:line="122"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6"/>
              <w:spacing w:after="0" w:line="12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 44113</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VPSI, Inc. (Verde Parent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Personal Transportation</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6"/>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Yonkers Racing Corp.</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Hotels, Motels, Inns and Gaming</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New York, NY 10704</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EnviroSolutions,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Environmental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205" w:lineRule="exact"/>
              <w:rPr>
                <w:sz w:val="20"/>
                <w:szCs w:val="20"/>
                <w:color w:val="auto"/>
              </w:rPr>
            </w:pPr>
            <w:r>
              <w:rPr>
                <w:rFonts w:ascii="Arial" w:cs="Arial" w:eastAsia="Arial" w:hAnsi="Arial"/>
                <w:sz w:val="23"/>
                <w:szCs w:val="23"/>
                <w:color w:val="auto"/>
                <w:vertAlign w:val="subscript"/>
              </w:rPr>
              <w:t>6.9%</w:t>
            </w:r>
            <w:r>
              <w:rPr>
                <w:rFonts w:ascii="Arial" w:cs="Arial" w:eastAsia="Arial" w:hAnsi="Arial"/>
                <w:sz w:val="10"/>
                <w:szCs w:val="10"/>
                <w:color w:val="auto"/>
              </w:rPr>
              <w:t>(2), (3)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11220 Asset Loop, Suite 201</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Manassas, VA 20109</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Performance Holdings, Inc. (NCP-Performance)</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One Performance Way</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Leisure, Amusement, Motion Pictures, Entertainment</w:t>
            </w: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Chapel Hill, NC 27514</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spacing w:after="0"/>
              <w:rPr>
                <w:sz w:val="20"/>
                <w:szCs w:val="20"/>
                <w:color w:val="auto"/>
              </w:rPr>
            </w:pPr>
            <w:r>
              <w:rPr>
                <w:rFonts w:ascii="Arial" w:cs="Arial" w:eastAsia="Arial" w:hAnsi="Arial"/>
                <w:sz w:val="14"/>
                <w:szCs w:val="14"/>
                <w:color w:val="auto"/>
              </w:rPr>
              <w:t>SuttonPark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100%</w:t>
            </w:r>
            <w:r>
              <w:rPr>
                <w:rFonts w:ascii="Arial" w:cs="Arial" w:eastAsia="Arial" w:hAnsi="Arial"/>
                <w:sz w:val="10"/>
                <w:szCs w:val="10"/>
                <w:color w:val="auto"/>
              </w:rPr>
              <w:t>(3), (4)</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New York, NY 10022</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7.6%.</w:t>
      </w:r>
    </w:p>
    <w:p>
      <w:pPr>
        <w:ind w:left="340" w:hanging="332"/>
        <w:spacing w:after="0" w:line="22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 of directors.</w:t>
      </w: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Eureka Hunter Pipeline, LLC (Magnum Hunter Resources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Eureka Hunter Pipeline, LLC is a wholly-owned subsidiary of Magnum Hunter Resources and a pipeline gathering system in the Marcellus Shale region.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 and September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900" w:type="dxa"/>
            <w:vAlign w:val="bottom"/>
          </w:tcPr>
          <w:p>
            <w:pPr>
              <w:spacing w:after="0"/>
              <w:rPr>
                <w:sz w:val="14"/>
                <w:szCs w:val="14"/>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8"/>
        </w:trPr>
        <w:tc>
          <w:tcPr>
            <w:tcW w:w="5440" w:type="dxa"/>
            <w:vAlign w:val="bottom"/>
            <w:gridSpan w:val="3"/>
            <w:vMerge w:val="continue"/>
          </w:tcPr>
          <w:p>
            <w:pPr>
              <w:spacing w:after="0"/>
              <w:rPr>
                <w:sz w:val="12"/>
                <w:szCs w:val="12"/>
                <w:color w:val="auto"/>
              </w:rPr>
            </w:pPr>
          </w:p>
        </w:tc>
        <w:tc>
          <w:tcPr>
            <w:tcW w:w="3720" w:type="dxa"/>
            <w:vAlign w:val="bottom"/>
            <w:gridSpan w:val="2"/>
          </w:tcPr>
          <w:p>
            <w:pPr>
              <w:jc w:val="right"/>
              <w:ind w:right="195"/>
              <w:spacing w:after="0" w:line="148" w:lineRule="exact"/>
              <w:rPr>
                <w:sz w:val="20"/>
                <w:szCs w:val="20"/>
                <w:color w:val="auto"/>
              </w:rPr>
            </w:pPr>
            <w:r>
              <w:rPr>
                <w:rFonts w:ascii="Arial" w:cs="Arial" w:eastAsia="Arial" w:hAnsi="Arial"/>
                <w:sz w:val="14"/>
                <w:szCs w:val="14"/>
                <w:b w:val="1"/>
                <w:bCs w:val="1"/>
                <w:color w:val="auto"/>
              </w:rPr>
              <w:t>2011</w:t>
            </w:r>
          </w:p>
        </w:tc>
        <w:tc>
          <w:tcPr>
            <w:tcW w:w="124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40" w:type="dxa"/>
            <w:vAlign w:val="bottom"/>
            <w:vMerge w:val="restart"/>
            <w:shd w:val="clear" w:color="auto" w:fill="CCEEFF"/>
          </w:tcPr>
          <w:p>
            <w:pPr>
              <w:spacing w:after="0" w:line="20" w:lineRule="exact"/>
              <w:rPr>
                <w:sz w:val="1"/>
                <w:szCs w:val="1"/>
                <w:color w:val="auto"/>
              </w:rPr>
            </w:pPr>
          </w:p>
        </w:tc>
        <w:tc>
          <w:tcPr>
            <w:tcW w:w="29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Home and Office Furnishings, Housewares &amp; Durable Consumer Products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00" w:type="dxa"/>
            <w:vAlign w:val="bottom"/>
          </w:tcPr>
          <w:p>
            <w:pPr>
              <w:jc w:val="right"/>
              <w:ind w:right="2453"/>
              <w:spacing w:after="0"/>
              <w:rPr>
                <w:sz w:val="20"/>
                <w:szCs w:val="20"/>
                <w:color w:val="auto"/>
              </w:rPr>
            </w:pPr>
            <w:r>
              <w:rPr>
                <w:rFonts w:ascii="Arial" w:cs="Arial" w:eastAsia="Arial" w:hAnsi="Arial"/>
                <w:sz w:val="18"/>
                <w:szCs w:val="18"/>
                <w:color w:val="auto"/>
              </w:rPr>
              <w:t>75</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980" w:type="dxa"/>
            <w:vAlign w:val="bottom"/>
            <w:vMerge w:val="restart"/>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Director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Age</w:t>
            </w:r>
          </w:p>
        </w:tc>
        <w:tc>
          <w:tcPr>
            <w:tcW w:w="4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0"/>
              </w:rPr>
              <w:t>Since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44</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Aviv Efrat</w:t>
            </w:r>
          </w:p>
        </w:tc>
        <w:tc>
          <w:tcPr>
            <w:tcW w:w="4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Guy F. Talarico</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Compliance Officer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Investment and PennantPark Floating Rate Capital Ltd. in February 2007 and March 2011,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Investment and PennantPark Floating Rate Capital Ltd. in February 2007 and March 2011,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Investment and PennantPark Floating Rate Capital Ltd. in February 2007 and March 2011,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Investment and PennantPark Floating Rate Capital Ltd. in February 2007 and March 2011,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Investment and PennantPark Floating Rate Capital Ltd. at their inception in January 2007 and March 2011, respectively. He also founded and became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Aviv Efrat (47), Chief Financial Officer and Treasurer. Mr. Efrat became PennantPark Investment’s and PennantPark Floating Rate Capital Ltd.’s Chief Financial Officer and Treasurer in February 2007 and March 2011,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Guy F. Talarico (56), Chief Compliance Officer. Mr. Talarico became PennantPark Investment’s and PennantPark Floating Rate Capital Ltd.’s Chief Compliance Officer in 2008 and 2011,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fiscal year ended September 30, 2011,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2011.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tcPr>
          <w:p>
            <w:pPr>
              <w:jc w:val="center"/>
              <w:ind w:right="420"/>
              <w:spacing w:after="0"/>
              <w:rPr>
                <w:sz w:val="20"/>
                <w:szCs w:val="20"/>
                <w:color w:val="auto"/>
              </w:rPr>
            </w:pPr>
            <w:r>
              <w:rPr>
                <w:rFonts w:ascii="Arial" w:cs="Arial" w:eastAsia="Arial" w:hAnsi="Arial"/>
                <w:sz w:val="14"/>
                <w:szCs w:val="14"/>
                <w:b w:val="1"/>
                <w:bCs w:val="1"/>
                <w:color w:val="auto"/>
                <w:w w:val="88"/>
              </w:rPr>
              <w:t>Pension or retirement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60" w:type="dxa"/>
            <w:vAlign w:val="bottom"/>
            <w:gridSpan w:val="3"/>
          </w:tcPr>
          <w:p>
            <w:pPr>
              <w:jc w:val="center"/>
              <w:ind w:right="980"/>
              <w:spacing w:after="0" w:line="135" w:lineRule="exact"/>
              <w:rPr>
                <w:sz w:val="20"/>
                <w:szCs w:val="20"/>
                <w:color w:val="auto"/>
              </w:rPr>
            </w:pPr>
            <w:r>
              <w:rPr>
                <w:rFonts w:ascii="Arial" w:cs="Arial" w:eastAsia="Arial" w:hAnsi="Arial"/>
                <w:sz w:val="14"/>
                <w:szCs w:val="14"/>
                <w:b w:val="1"/>
                <w:bCs w:val="1"/>
                <w:color w:val="auto"/>
                <w:w w:val="86"/>
              </w:rPr>
              <w:t>Aggregate</w:t>
            </w:r>
          </w:p>
        </w:tc>
        <w:tc>
          <w:tcPr>
            <w:tcW w:w="190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540" w:type="dxa"/>
            <w:vAlign w:val="bottom"/>
            <w:gridSpan w:val="3"/>
          </w:tcPr>
          <w:p>
            <w:pPr>
              <w:ind w:left="60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740" w:type="dxa"/>
            <w:vAlign w:val="bottom"/>
          </w:tcPr>
          <w:p>
            <w:pPr>
              <w:spacing w:after="0"/>
              <w:rPr>
                <w:sz w:val="15"/>
                <w:szCs w:val="15"/>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compensation</w:t>
            </w:r>
          </w:p>
        </w:tc>
        <w:tc>
          <w:tcPr>
            <w:tcW w:w="1900" w:type="dxa"/>
            <w:vAlign w:val="bottom"/>
          </w:tcPr>
          <w:p>
            <w:pPr>
              <w:jc w:val="center"/>
              <w:ind w:right="42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director / officer</w:t>
            </w: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Independent Directors have the option to receive their directors’ fees paid in shares of our common stock issued at a price per share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greater of net asset value or the market price at the time of payment. No compensation is expected to be paid to directors who are “interested persons.”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2011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Entity</w:t>
            </w:r>
          </w:p>
        </w:tc>
        <w:tc>
          <w:tcPr>
            <w:tcW w:w="440" w:type="dxa"/>
            <w:vAlign w:val="bottom"/>
          </w:tcPr>
          <w:p>
            <w:pPr>
              <w:spacing w:after="0"/>
              <w:rPr>
                <w:sz w:val="12"/>
                <w:szCs w:val="12"/>
                <w:color w:val="auto"/>
              </w:rPr>
            </w:pPr>
          </w:p>
        </w:tc>
        <w:tc>
          <w:tcPr>
            <w:tcW w:w="42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90"/>
        </w:trPr>
        <w:tc>
          <w:tcPr>
            <w:tcW w:w="2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PennantPark Floating Rate</w:t>
            </w:r>
          </w:p>
        </w:tc>
        <w:tc>
          <w:tcPr>
            <w:tcW w:w="10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Capital Ltd.</w:t>
            </w: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Business development</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Primarily floating rate loans, with an emphasis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company</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senior secured loans, in middle-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market leveraged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the December 2, 2011,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2, 2011,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940" w:type="dxa"/>
            <w:vAlign w:val="bottom"/>
            <w:vMerge w:val="restart"/>
          </w:tcPr>
          <w:p>
            <w:pPr>
              <w:spacing w:after="0"/>
              <w:rPr>
                <w:sz w:val="12"/>
                <w:szCs w:val="12"/>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2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90"/>
        </w:trPr>
        <w:tc>
          <w:tcPr>
            <w:tcW w:w="7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88,971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102,358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113,482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499,475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40,294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855,623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68,235 shares held by JAM Investments, LLC.</w:t>
      </w:r>
    </w:p>
    <w:p>
      <w:pPr>
        <w:ind w:left="460" w:right="4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309,791 shares held by PennantPark Investment Advisers, LLC.</w:t>
      </w: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2, 2011.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480" w:type="dxa"/>
            <w:vAlign w:val="bottom"/>
          </w:tcPr>
          <w:p>
            <w:pPr>
              <w:spacing w:after="0"/>
              <w:rPr>
                <w:sz w:val="22"/>
                <w:szCs w:val="22"/>
                <w:color w:val="auto"/>
              </w:rPr>
            </w:pPr>
          </w:p>
        </w:tc>
        <w:tc>
          <w:tcPr>
            <w:tcW w:w="3780" w:type="dxa"/>
            <w:vAlign w:val="bottom"/>
            <w:gridSpan w:val="6"/>
          </w:tcPr>
          <w:p>
            <w:pPr>
              <w:jc w:val="center"/>
              <w:ind w:left="154"/>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400" w:type="dxa"/>
            <w:vAlign w:val="bottom"/>
            <w:tcBorders>
              <w:top w:val="single" w:sz="8" w:color="auto"/>
            </w:tcBorders>
            <w:gridSpan w:val="3"/>
          </w:tcPr>
          <w:p>
            <w:pPr>
              <w:ind w:left="360"/>
              <w:spacing w:after="0" w:line="136" w:lineRule="exact"/>
              <w:rPr>
                <w:sz w:val="20"/>
                <w:szCs w:val="20"/>
                <w:color w:val="auto"/>
              </w:rPr>
            </w:pPr>
            <w:r>
              <w:rPr>
                <w:rFonts w:ascii="Arial" w:cs="Arial" w:eastAsia="Arial" w:hAnsi="Arial"/>
                <w:sz w:val="14"/>
                <w:szCs w:val="14"/>
                <w:b w:val="1"/>
                <w:bCs w:val="1"/>
                <w:color w:val="auto"/>
              </w:rPr>
              <w:t>PennantPark Investment</w:t>
            </w:r>
          </w:p>
        </w:tc>
        <w:tc>
          <w:tcPr>
            <w:tcW w:w="2860" w:type="dxa"/>
            <w:vAlign w:val="bottom"/>
            <w:tcBorders>
              <w:top w:val="single" w:sz="8" w:color="auto"/>
            </w:tcBorders>
            <w:gridSpan w:val="4"/>
          </w:tcPr>
          <w:p>
            <w:pPr>
              <w:jc w:val="center"/>
              <w:ind w:right="66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0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Rate Capital Ltd.</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tcPr>
          <w:p>
            <w:pPr>
              <w:jc w:val="right"/>
              <w:ind w:right="680"/>
              <w:spacing w:after="0"/>
              <w:rPr>
                <w:sz w:val="20"/>
                <w:szCs w:val="20"/>
                <w:color w:val="auto"/>
              </w:rPr>
            </w:pPr>
            <w:r>
              <w:rPr>
                <w:rFonts w:ascii="Arial" w:cs="Arial" w:eastAsia="Arial" w:hAnsi="Arial"/>
                <w:sz w:val="18"/>
                <w:szCs w:val="18"/>
                <w:color w:val="auto"/>
              </w:rPr>
              <w:t>$ 50,001–$100,000</w:t>
            </w:r>
          </w:p>
        </w:tc>
        <w:tc>
          <w:tcPr>
            <w:tcW w:w="1000" w:type="dxa"/>
            <w:vAlign w:val="bottom"/>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480" w:type="dxa"/>
            <w:vAlign w:val="bottom"/>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tcPr>
          <w:p>
            <w:pPr>
              <w:spacing w:after="0"/>
              <w:rPr>
                <w:sz w:val="18"/>
                <w:szCs w:val="18"/>
                <w:color w:val="auto"/>
              </w:rPr>
            </w:pPr>
          </w:p>
        </w:tc>
        <w:tc>
          <w:tcPr>
            <w:tcW w:w="1920" w:type="dxa"/>
            <w:vAlign w:val="bottom"/>
            <w:gridSpan w:val="3"/>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$100,001–$500,000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1–$ 10,000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480" w:type="dxa"/>
            <w:vAlign w:val="bottom"/>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Mr. Penn, our Chairman and Chief Executive Officer, is the managing member and a senior investment professional of, and has a financial and controlling interests in PennantPark Investment Advisers.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Our base management fee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2011, 2010 and 2009, the Investment Adviser earned base management fees, after fee waivers, if any, of $14.9 million, $11.6 million and $7.7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and adjusted for any share issuances or repurchases during the current quarter.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238760</wp:posOffset>
            </wp:positionV>
            <wp:extent cx="2470150" cy="4718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earned incentive fees of $13.2 million, $8.0 million and $5.7 million, respectively. For the fiscal years ended September 30, 2011, 2010 and 2009 our unrealized capital gains did not exceed our cumulative realized and unrealized capital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22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59"/>
        <w:spacing w:after="0"/>
        <w:tabs>
          <w:tab w:leader="none" w:pos="60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0.25%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w w:val="89"/>
              </w:rPr>
              <w:t>= 100% x “catch-up” + (20% x (Pre-Incentive Fee Net Investment Income – 21875%))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21875% - 1.75%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(100% x 0.4375%) + (20% x (2.30% - 2.1875%))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(20% x 0.1125%)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+ 0.0225%</w:t>
            </w:r>
          </w:p>
        </w:tc>
      </w:tr>
      <w:tr>
        <w:trPr>
          <w:trHeight w:val="222"/>
        </w:trPr>
        <w:tc>
          <w:tcPr>
            <w:tcW w:w="124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 0.46%</w:t>
            </w:r>
          </w:p>
        </w:tc>
        <w:tc>
          <w:tcPr>
            <w:tcW w:w="5300" w:type="dxa"/>
            <w:vAlign w:val="bottom"/>
          </w:tcPr>
          <w:p>
            <w:pPr>
              <w:spacing w:after="0"/>
              <w:rPr>
                <w:sz w:val="19"/>
                <w:szCs w:val="19"/>
                <w:color w:val="auto"/>
              </w:rPr>
            </w:pPr>
          </w:p>
        </w:tc>
      </w:tr>
      <w:tr>
        <w:trPr>
          <w:trHeight w:val="365"/>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tcPr>
          <w:p>
            <w:pPr>
              <w:jc w:val="right"/>
              <w:ind w:right="2672"/>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0219"/>
          </w:cols>
          <w:pgMar w:left="240" w:top="459" w:right="1440"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00"/>
          </w:cols>
          <w:pgMar w:left="240" w:top="460" w:right="25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-1%)</w:t>
      </w:r>
    </w:p>
    <w:p>
      <w:pPr>
        <w:spacing w:after="0" w:line="32" w:lineRule="exact"/>
        <w:rPr>
          <w:sz w:val="20"/>
          <w:szCs w:val="20"/>
          <w:color w:val="auto"/>
        </w:rPr>
      </w:pPr>
    </w:p>
    <w:p>
      <w:pPr>
        <w:sectPr>
          <w:pgSz w:w="11900" w:h="16838" w:orient="portrait"/>
          <w:cols w:equalWidth="0" w:num="2">
            <w:col w:w="2160" w:space="720"/>
            <w:col w:w="8520"/>
          </w:cols>
          <w:pgMar w:left="240" w:top="460" w:right="259" w:bottom="1440" w:gutter="0" w:footer="0" w:header="0"/>
          <w:type w:val="continuous"/>
        </w:sectPr>
      </w:pPr>
    </w:p>
    <w:p>
      <w:pPr>
        <w:ind w:left="3020" w:hanging="135"/>
        <w:spacing w:after="0"/>
        <w:tabs>
          <w:tab w:leader="none" w:pos="3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2011, 2010 and 2009, the Investment Adviser and Administrator were reimbursed $2.6 million, $2.1 million and $1.7 million, respectively.</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PennantPark Investment entered into an administration agreement with its controlled affiliate, SuttonPark Holdings, Inc. and its subsidiaries (“SPH”). Under the administration agreement with SPH, or the SPH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60" w:right="25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years ended September 30, 2011 and 2010, PennantPark Investment was reimbursed $0.5 million and $0.1 million, respectively,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In considering whether to re-approve the Investment Management Agreement, the board requests information from the Investment Adviser that enables it to evaluate a number of factors relevant to its determination. These factors include the nature, quality and extent of services performed by the Investment Adviser, our ability to effectively manage conflicts of interest, our short and long-term performance, our costs and profitability and any economies of scale.</w:t>
      </w:r>
    </w:p>
    <w:p>
      <w:pPr>
        <w:spacing w:after="0" w:line="118"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2011,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December 16, 2011 was $10.16 per share. As of September 30, 2011, we had 13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Amount Held by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6400" w:type="dxa"/>
            <w:vAlign w:val="bottom"/>
            <w:vMerge w:val="restart"/>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Amount</w:t>
            </w: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6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Authorized</w:t>
            </w:r>
          </w:p>
        </w:tc>
        <w:tc>
          <w:tcPr>
            <w:tcW w:w="16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Account</w:t>
            </w:r>
          </w:p>
        </w:tc>
        <w:tc>
          <w:tcPr>
            <w:tcW w:w="9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100,000,000</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w w:val="88"/>
              </w:rPr>
              <w:t>—</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45,689,781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580" w:hanging="5166"/>
        <w:spacing w:after="0" w:line="440" w:lineRule="auto"/>
        <w:tabs>
          <w:tab w:leader="none" w:pos="8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98</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excluding the SBA debentures due to SEC exemptive relief granted June 1,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60" w:right="2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900" w:right="44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net asset value per share, unless the requirements of Section 63 of the 1940 Act have been satisfied. Section 63 permits us to sell shares of common stock below our then current net asset value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net asset value per share in the 12 months preceding the offering and (3) the offering price closely approximates the market value of the common stock. If the Section 63 requirements are met, the price per share of common stock included in a unit may be below the Company’s then current net asset value per share. See “Sales of Common Stock Below Net Asset Value” for more information.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net asset value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net asset value per share of our common stock at the time of issuance of the unit (unless the Section 63 requirements are met).</w:t>
      </w:r>
    </w:p>
    <w:p>
      <w:pPr>
        <w:spacing w:after="0" w:line="8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We received exemptive relief from the SEC allowing us to modify the asset coverage requirement to exclude the SBA debentures from the calculation. For a discussion of the risks associated with leverage, see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“Risk Factors—Risks Relating to our Business and Structure—Regulations governing our operation as a business development company will affect our ability to, and the way in which we, raise additional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814-00736), filed on November 16,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8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SBIC LP is licensed under the SBA as a SBIC under Section 301(c) of the 1958 Act. SBIC LP received its license in July 2010.</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Small Business Investment Companies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LP has invested in a company, it may continue to make follow-on investments in the company, regardless of the size of the business, up and until the time a business offers its securities in a public market.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SBA prohibits an SBIC from financing small businesses in certain industries such as relending, gambling, oil and gas exploration and other passive businesses. Additional SBA prohibitions include investing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an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 Small Business Investment Company, whether through ownership, contractual arrangements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24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acts as our transfer agent, distribution paying agent and registrar.</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principal business address of American Stock Transfer &amp; Trust Company, LLC is P.O. Box 922, Wall Street Station, New York, New York 10269, telephone number: (800) 937-5449. American Stock Transfer &amp; Trust Company may also serve as trustee for offerings of our debt securities.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60" w:right="3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16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20" w:type="dxa"/>
            <w:vAlign w:val="bottom"/>
          </w:tcPr>
          <w:p>
            <w:pPr>
              <w:spacing w:after="0"/>
              <w:rPr>
                <w:sz w:val="19"/>
                <w:szCs w:val="19"/>
                <w:color w:val="auto"/>
              </w:rPr>
            </w:pPr>
          </w:p>
        </w:tc>
      </w:tr>
      <w:tr>
        <w:trPr>
          <w:trHeight w:val="419"/>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820" w:type="dxa"/>
            <w:vAlign w:val="bottom"/>
          </w:tcPr>
          <w:p>
            <w:pPr>
              <w:spacing w:after="0"/>
              <w:rPr>
                <w:sz w:val="24"/>
                <w:szCs w:val="24"/>
                <w:color w:val="auto"/>
              </w:rPr>
            </w:pPr>
          </w:p>
        </w:tc>
      </w:tr>
      <w:tr>
        <w:trPr>
          <w:trHeight w:val="324"/>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18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10">
              <w:r>
                <w:rPr>
                  <w:rFonts w:ascii="Arial" w:cs="Arial" w:eastAsia="Arial" w:hAnsi="Arial"/>
                  <w:sz w:val="18"/>
                  <w:szCs w:val="18"/>
                  <w:color w:val="0000EE"/>
                  <w:w w:val="89"/>
                </w:rPr>
                <w:t>Management’s Report on Internal Control over Financial Reporting</w:t>
              </w:r>
            </w:hyperlink>
          </w:p>
        </w:tc>
        <w:tc>
          <w:tcPr>
            <w:tcW w:w="474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 On Internal Control Over Financial Reporting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13">
              <w:r>
                <w:rPr>
                  <w:rFonts w:ascii="Arial" w:cs="Arial" w:eastAsia="Arial" w:hAnsi="Arial"/>
                  <w:sz w:val="18"/>
                  <w:szCs w:val="18"/>
                  <w:color w:val="0000EE"/>
                  <w:w w:val="87"/>
                </w:rPr>
                <w:t>Consolidated Statements of Assets and Liabilities as of September 30, 2011 and 2010</w:t>
              </w:r>
            </w:hyperlink>
          </w:p>
        </w:tc>
        <w:tc>
          <w:tcPr>
            <w:tcW w:w="1360" w:type="dxa"/>
            <w:vAlign w:val="bottom"/>
            <w:tcBorders>
              <w:top w:val="single" w:sz="8" w:color="0000EE"/>
            </w:tcBorders>
            <w:gridSpan w:val="3"/>
          </w:tcPr>
          <w:p>
            <w:pPr>
              <w:spacing w:after="0"/>
              <w:rPr>
                <w:sz w:val="24"/>
                <w:szCs w:val="24"/>
                <w:color w:val="auto"/>
              </w:rPr>
            </w:pPr>
          </w:p>
        </w:tc>
        <w:tc>
          <w:tcPr>
            <w:tcW w:w="212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67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Consolidated Statements of Operations for the years ended September 30, 2011, 2010 and 2009</w:t>
              </w:r>
            </w:hyperlink>
          </w:p>
        </w:tc>
        <w:tc>
          <w:tcPr>
            <w:tcW w:w="278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15">
              <w:r>
                <w:rPr>
                  <w:rFonts w:ascii="Arial" w:cs="Arial" w:eastAsia="Arial" w:hAnsi="Arial"/>
                  <w:sz w:val="18"/>
                  <w:szCs w:val="18"/>
                  <w:color w:val="0000EE"/>
                  <w:w w:val="87"/>
                </w:rPr>
                <w:t>Consolidated Statements of Changes in Net Assets for the years ended September 30, 2011, 2010 and 2009</w:t>
              </w:r>
            </w:hyperlink>
          </w:p>
        </w:tc>
        <w:tc>
          <w:tcPr>
            <w:tcW w:w="1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Consolidated Statements of Cash Flows for the years ended September 30, 2011, 2010 and 2009</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221">
              <w:r>
                <w:rPr>
                  <w:rFonts w:ascii="Arial" w:cs="Arial" w:eastAsia="Arial" w:hAnsi="Arial"/>
                  <w:sz w:val="18"/>
                  <w:szCs w:val="18"/>
                  <w:color w:val="0000EE"/>
                  <w:w w:val="86"/>
                </w:rPr>
                <w:t>Consolidated Schedules of Investments as of September 30, 2011 and 2010</w:t>
              </w:r>
            </w:hyperlink>
          </w:p>
        </w:tc>
        <w:tc>
          <w:tcPr>
            <w:tcW w:w="1460" w:type="dxa"/>
            <w:vAlign w:val="bottom"/>
            <w:tcBorders>
              <w:top w:val="single" w:sz="8" w:color="0000EE"/>
            </w:tcBorders>
            <w:gridSpan w:val="3"/>
          </w:tcPr>
          <w:p>
            <w:pPr>
              <w:spacing w:after="0"/>
              <w:rPr>
                <w:sz w:val="24"/>
                <w:szCs w:val="24"/>
                <w:color w:val="auto"/>
              </w:rPr>
            </w:pPr>
          </w:p>
        </w:tc>
        <w:tc>
          <w:tcPr>
            <w:tcW w:w="27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Notes to the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6"/>
          </w:tcPr>
          <w:p>
            <w:pPr>
              <w:jc w:val="center"/>
              <w:ind w:right="336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2011.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2011,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2011. This report appears on page F-3.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2011 and 2010, and the related consolidated statements of operations, changes in net assets, and cash flows for the years ended September 30, 2011, 2010 and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2011 and 2010, and the results of their operations and their cash flows for the years ended September 30, 2011, 2010 and 2009,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16, 2011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63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2011 and 2010, and the related statements of operations, changes in net assets, and cash flows for the years ended September 30, 2011, 2010 and 2009, and our report dated November 16, 2011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773,375,381</w:t>
            </w: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(cost—$816,078,311 and $631,280,755, respectively)</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(cost—$36,744,425 and $17,427,648,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40,673,133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(cost—$13,500,100 and $8,000,100,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13,500,001</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(cost—$866,322,836 and $656,708,503,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827,548,515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71,604,519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10,878,236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13,118,967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12,336,241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18,572,499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37,132,151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(cost—$240,900,000 and $233,100,000,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238,792,125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and $14,500,000, respectively), (See Notes 5 and 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687,362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3,773,829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466,081,018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324,918,623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Common stock, 45,689,781 and 36,158,772 shares are issued and outstanding, respectively.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80" w:type="dxa"/>
            <w:vAlign w:val="bottom"/>
            <w:gridSpan w:val="2"/>
          </w:tcPr>
          <w:p>
            <w:pPr>
              <w:spacing w:after="0"/>
              <w:rPr>
                <w:sz w:val="20"/>
                <w:szCs w:val="20"/>
                <w:color w:val="auto"/>
              </w:rPr>
            </w:pPr>
            <w:r>
              <w:rPr>
                <w:rFonts w:ascii="Arial" w:cs="Arial" w:eastAsia="Arial" w:hAnsi="Arial"/>
                <w:sz w:val="18"/>
                <w:szCs w:val="18"/>
                <w:color w:val="auto"/>
              </w:rPr>
              <w:t>Par value is $0.001 per share and 100,000,000 shares are authorized.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540,603,020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8,326,854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(49,651,922)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(65,911,544)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(38,774,321)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Years ended September 30,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83,632,455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57,467,862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43,613,233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4,726,387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1,069,514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2,217,320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1,392,381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91,738,495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60,139,757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45,118,771</w:t>
            </w:r>
          </w:p>
        </w:tc>
        <w:tc>
          <w:tcPr>
            <w:tcW w:w="0" w:type="dxa"/>
            <w:vAlign w:val="bottom"/>
          </w:tcPr>
          <w:p>
            <w:pPr>
              <w:spacing w:after="0"/>
              <w:rPr>
                <w:sz w:val="1"/>
                <w:szCs w:val="1"/>
                <w:color w:val="auto"/>
              </w:rPr>
            </w:pPr>
          </w:p>
        </w:tc>
      </w:tr>
      <w:tr>
        <w:trPr>
          <w:trHeight w:val="3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14,899,983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11,618,773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13,161,597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8,018,309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5,322,231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2,596,756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2,328,210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Expenses before income tax</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27,966,846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39,093,420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28,065,140</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52,645,075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32,074,617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22,718,915</w:t>
            </w:r>
          </w:p>
        </w:tc>
        <w:tc>
          <w:tcPr>
            <w:tcW w:w="0" w:type="dxa"/>
            <w:vAlign w:val="bottom"/>
          </w:tcPr>
          <w:p>
            <w:pPr>
              <w:spacing w:after="0"/>
              <w:rPr>
                <w:sz w:val="1"/>
                <w:szCs w:val="1"/>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16,259,622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(15,417,097)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(45,350,345)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36,275,341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(1,439,878)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(731,625)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(2,455,952)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5 and 11)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(11,851,000)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(35,665,745)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(58,641,223)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52,326,993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(42,381,601)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(15,539,126)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13,083,114</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10,263,474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16,535,491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35,802,029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52,645,075</w:t>
            </w:r>
          </w:p>
        </w:tc>
        <w:tc>
          <w:tcPr>
            <w:tcW w:w="1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32,074,617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gain(loss)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16,259,622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(15,417,097)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(46,790,223)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35,543,716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(11,851,000)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(35,665,745)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10,263,474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16,535,491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35,802,029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(46,347,691)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(32,264,036)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(20,226,021)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114,080,000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107,710,000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(5,986,500)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Reinvestment of dividends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76,081,973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85,994,955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48,056,008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(See Note 5)</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year balance</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300,580,268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462,657,196</w:t>
            </w:r>
          </w:p>
        </w:tc>
        <w:tc>
          <w:tcPr>
            <w:tcW w:w="1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386,575,223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1,800,646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10,790,000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Years ended September 30,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10,263,474</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16,535,491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35,802,029</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Adjustments to reconcile net increase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change in net unrealized depreciation (appreciation)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46,790,223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(35,543,716)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(44,498,373)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35,665,745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(16,259,622)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15,417,097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(4,203,920)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(2,890,687)</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(479,733,669)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(309,455,078)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(112,693,490)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(10,883,750)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(6,416,075)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(4,729,590)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304,008,543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145,237,359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27,956,008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(7,275,040)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507,143</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17,135,807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(27,528,767)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(34,212,501)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33,295,475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14,928,717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15,872,049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Increase (Decrease) in interest payable on credit facility and SBA debentures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142,347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(652,529)</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(90,927)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258,912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1,066,706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2,134,214</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1,534,818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730,847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1,385,131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(500,423)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(137,812,516)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(127,050,830)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(42,355,514)</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107,710,000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34,400,000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(5,986,500)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(39,582,741)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(27,919,260)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(20,226,021)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(4,450,875)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(686,625)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701,900,000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256,000,000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169,600,000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(694,100,000)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(248,000,000)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(146,500,000)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95,617,615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35,353,979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69,790,068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(31,433,215)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(7,001,535)</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33,247,666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1,814,451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4,149,149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3,161,048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5,014,055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98,294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3,829,990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920" w:type="dxa"/>
            <w:vAlign w:val="bottom"/>
          </w:tcPr>
          <w:p>
            <w:pPr>
              <w:spacing w:after="0"/>
              <w:rPr>
                <w:sz w:val="12"/>
                <w:szCs w:val="12"/>
                <w:color w:val="auto"/>
              </w:rPr>
            </w:pPr>
          </w:p>
        </w:tc>
        <w:tc>
          <w:tcPr>
            <w:tcW w:w="146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Coupon</w:t>
            </w: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—167.2%</w:t>
            </w:r>
            <w:r>
              <w:rPr>
                <w:rFonts w:ascii="Arial" w:cs="Arial" w:eastAsia="Arial" w:hAnsi="Arial"/>
                <w:sz w:val="20"/>
                <w:szCs w:val="20"/>
                <w:b w:val="1"/>
                <w:bCs w:val="1"/>
                <w:color w:val="auto"/>
                <w:vertAlign w:val="superscript"/>
              </w:rPr>
              <w:t>(1),(2)</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$20,300,000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$ 19,748,930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10/1/2016</w:t>
            </w:r>
          </w:p>
        </w:tc>
        <w:tc>
          <w:tcPr>
            <w:tcW w:w="92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8"/>
              </w:rPr>
              <w:t>Logistics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7,328,729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4/1/2018</w:t>
            </w:r>
          </w:p>
        </w:tc>
        <w:tc>
          <w:tcPr>
            <w:tcW w:w="9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88"/>
              </w:rPr>
              <w:t>Logistics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988,872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7/29/2016</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11,358,254</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11/20/2014</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Communications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11/3/2015</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6,475,000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6,362,696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9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9"/>
              </w:rPr>
              <w:t>12/1/2016</w:t>
            </w:r>
          </w:p>
        </w:tc>
        <w:tc>
          <w:tcPr>
            <w:tcW w:w="23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3/10/2014</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8,662,500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8/7/2014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Printing and Publishing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24,625,000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24,227,464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9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10/4/2016</w:t>
            </w: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Healthcare, Education</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Jacuzzi Brands Corp.</w:t>
            </w:r>
          </w:p>
        </w:tc>
        <w:tc>
          <w:tcPr>
            <w:tcW w:w="7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39" w:lineRule="exact"/>
              <w:rPr>
                <w:sz w:val="20"/>
                <w:szCs w:val="20"/>
                <w:color w:val="auto"/>
              </w:rPr>
            </w:pPr>
            <w:r>
              <w:rPr>
                <w:rFonts w:ascii="Arial" w:cs="Arial" w:eastAsia="Arial" w:hAnsi="Arial"/>
                <w:sz w:val="14"/>
                <w:szCs w:val="14"/>
                <w:color w:val="auto"/>
                <w:w w:val="87"/>
              </w:rPr>
              <w:t>Home and Office</w:t>
            </w:r>
          </w:p>
        </w:tc>
        <w:tc>
          <w:tcPr>
            <w:tcW w:w="8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2.51%</w:t>
            </w:r>
          </w:p>
        </w:tc>
        <w:tc>
          <w:tcPr>
            <w:tcW w:w="7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9,671,622</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9,671,622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6,866,851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Furnishings, Housewares</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and Durable Consumer</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6"/>
              </w:rPr>
              <w:t>Products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9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9/10/2015</w:t>
            </w: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Chemicals, Plastics and</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P+675</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18,952,500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18,002,959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color w:val="auto"/>
                <w:w w:val="87"/>
              </w:rPr>
              <w:t>Rubber</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Kadmon Pharmaceuticals, LLC</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39"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89"/>
              </w:rPr>
              <w:t>L+1,300</w:t>
            </w:r>
            <w:r>
              <w:rPr>
                <w:rFonts w:ascii="Arial" w:cs="Arial" w:eastAsia="Arial" w:hAnsi="Arial"/>
                <w:sz w:val="22"/>
                <w:szCs w:val="22"/>
                <w:color w:val="auto"/>
                <w:w w:val="89"/>
                <w:vertAlign w:val="superscript"/>
              </w:rPr>
              <w:t>(8)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(f/k/a Three Rivers Pharmaceutical, L.L.C.)</w:t>
            </w:r>
          </w:p>
        </w:tc>
        <w:tc>
          <w:tcPr>
            <w:tcW w:w="94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5"/>
              </w:rPr>
              <w:t>10/22/2011</w:t>
            </w:r>
          </w:p>
        </w:tc>
        <w:tc>
          <w:tcPr>
            <w:tcW w:w="238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7"/>
              </w:rPr>
              <w:t>and Childcare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w:t>
            </w: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29,066,987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27,940,332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94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9"/>
              </w:rPr>
              <w:t>4/27/2016</w:t>
            </w:r>
          </w:p>
        </w:tc>
        <w:tc>
          <w:tcPr>
            <w:tcW w:w="23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9"/>
              </w:rPr>
              <w:t>Education</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26,052,632</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25,555,967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8/1/2014</w:t>
            </w:r>
          </w:p>
        </w:tc>
        <w:tc>
          <w:tcPr>
            <w:tcW w:w="220" w:type="dxa"/>
            <w:vAlign w:val="bottom"/>
          </w:tcPr>
          <w:p>
            <w:pPr>
              <w:spacing w:after="0"/>
              <w:rPr>
                <w:sz w:val="12"/>
                <w:szCs w:val="12"/>
                <w:color w:val="auto"/>
              </w:rPr>
            </w:pP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37,779,699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32,241,162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Prepaid Legal Services, Inc., Tranche A</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12/30/2016</w:t>
            </w: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5"/>
              </w:rPr>
              <w:t>Personal, Food and</w:t>
            </w:r>
          </w:p>
        </w:tc>
        <w:tc>
          <w:tcPr>
            <w:tcW w:w="80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7.50%</w:t>
            </w:r>
            <w:r>
              <w:rPr>
                <w:rFonts w:ascii="Arial" w:cs="Arial" w:eastAsia="Arial" w:hAnsi="Arial"/>
                <w:sz w:val="19"/>
                <w:szCs w:val="19"/>
                <w:color w:val="auto"/>
                <w:vertAlign w:val="superscript"/>
              </w:rPr>
              <w:t>(6)</w:t>
            </w:r>
          </w:p>
        </w:tc>
        <w:tc>
          <w:tcPr>
            <w:tcW w:w="72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L+600</w:t>
            </w:r>
            <w:r>
              <w:rPr>
                <w:rFonts w:ascii="Arial" w:cs="Arial" w:eastAsia="Arial" w:hAnsi="Arial"/>
                <w:sz w:val="19"/>
                <w:szCs w:val="19"/>
                <w:color w:val="auto"/>
                <w:vertAlign w:val="superscript"/>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1,970,966</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Miscellaneous Services</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940" w:type="dxa"/>
            <w:vAlign w:val="bottom"/>
            <w:gridSpan w:val="3"/>
          </w:tcPr>
          <w:p>
            <w:pPr>
              <w:jc w:val="center"/>
              <w:spacing w:after="0" w:line="139" w:lineRule="exact"/>
              <w:rPr>
                <w:sz w:val="20"/>
                <w:szCs w:val="20"/>
                <w:color w:val="auto"/>
              </w:rPr>
            </w:pPr>
            <w:r>
              <w:rPr>
                <w:rFonts w:ascii="Arial" w:cs="Arial" w:eastAsia="Arial" w:hAnsi="Arial"/>
                <w:sz w:val="14"/>
                <w:szCs w:val="14"/>
                <w:color w:val="auto"/>
                <w:w w:val="88"/>
              </w:rPr>
              <w:t>12/30/2016</w:t>
            </w:r>
          </w:p>
        </w:tc>
        <w:tc>
          <w:tcPr>
            <w:tcW w:w="2380" w:type="dxa"/>
            <w:vAlign w:val="bottom"/>
            <w:gridSpan w:val="3"/>
          </w:tcPr>
          <w:p>
            <w:pPr>
              <w:jc w:val="center"/>
              <w:ind w:right="20"/>
              <w:spacing w:after="0" w:line="139" w:lineRule="exact"/>
              <w:rPr>
                <w:sz w:val="20"/>
                <w:szCs w:val="20"/>
                <w:color w:val="auto"/>
              </w:rPr>
            </w:pPr>
            <w:r>
              <w:rPr>
                <w:rFonts w:ascii="Arial" w:cs="Arial" w:eastAsia="Arial" w:hAnsi="Arial"/>
                <w:sz w:val="14"/>
                <w:szCs w:val="14"/>
                <w:color w:val="auto"/>
                <w:w w:val="85"/>
              </w:rPr>
              <w:t>Personal, Food and</w:t>
            </w: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3"/>
          </w:tcPr>
          <w:p>
            <w:pPr>
              <w:jc w:val="right"/>
              <w:ind w:right="80"/>
              <w:spacing w:after="0" w:line="139" w:lineRule="exact"/>
              <w:rPr>
                <w:sz w:val="20"/>
                <w:szCs w:val="20"/>
                <w:color w:val="auto"/>
              </w:rPr>
            </w:pPr>
            <w:r>
              <w:rPr>
                <w:rFonts w:ascii="Arial" w:cs="Arial" w:eastAsia="Arial" w:hAnsi="Arial"/>
                <w:sz w:val="14"/>
                <w:szCs w:val="14"/>
                <w:color w:val="auto"/>
              </w:rPr>
              <w:t>35,000,000</w:t>
            </w: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33,978,263</w:t>
            </w:r>
          </w:p>
        </w:tc>
        <w:tc>
          <w:tcPr>
            <w:tcW w:w="80" w:type="dxa"/>
            <w:vAlign w:val="bottom"/>
          </w:tcPr>
          <w:p>
            <w:pPr>
              <w:spacing w:after="0"/>
              <w:rPr>
                <w:sz w:val="12"/>
                <w:szCs w:val="12"/>
                <w:color w:val="auto"/>
              </w:rPr>
            </w:pP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240,485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VPSI, Inc.</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12/23/2015</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Personal Transportation</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17,302,083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17,047,133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7/15/2016</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4,391,231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289,742,323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2/1/2017</w:t>
            </w:r>
          </w:p>
        </w:tc>
        <w:tc>
          <w:tcPr>
            <w:tcW w:w="220" w:type="dxa"/>
            <w:vAlign w:val="bottom"/>
          </w:tcPr>
          <w:p>
            <w:pPr>
              <w:spacing w:after="0"/>
              <w:rPr>
                <w:sz w:val="12"/>
                <w:szCs w:val="12"/>
                <w:color w:val="auto"/>
              </w:rPr>
            </w:pP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8/16/2018</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Eureka Hunter Pipeline, LLC</w:t>
            </w:r>
            <w:r>
              <w:rPr>
                <w:rFonts w:ascii="Arial" w:cs="Arial" w:eastAsia="Arial" w:hAnsi="Arial"/>
                <w:sz w:val="17"/>
                <w:szCs w:val="17"/>
                <w:color w:val="auto"/>
                <w:vertAlign w:val="superscript"/>
              </w:rPr>
              <w:t>(9)</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8/15/2012</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12/15/2014</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1,990,370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9/13/2016</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10/15/2017</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9/1/2018</w:t>
            </w:r>
          </w:p>
        </w:tc>
        <w:tc>
          <w:tcPr>
            <w:tcW w:w="220" w:type="dxa"/>
            <w:vAlign w:val="bottom"/>
          </w:tcPr>
          <w:p>
            <w:pPr>
              <w:spacing w:after="0"/>
              <w:rPr>
                <w:sz w:val="12"/>
                <w:szCs w:val="12"/>
                <w:color w:val="auto"/>
              </w:rPr>
            </w:pP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15,726,668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16,160,000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6/15/2015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11,856,253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94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9"/>
              </w:rPr>
              <w:t>6/15/2015</w:t>
            </w:r>
          </w:p>
        </w:tc>
        <w:tc>
          <w:tcPr>
            <w:tcW w:w="238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tcBorders>
              <w:bottom w:val="single" w:sz="8" w:color="CCEEFF"/>
            </w:tcBorders>
            <w:gridSpan w:val="2"/>
          </w:tcPr>
          <w:p>
            <w:pPr>
              <w:jc w:val="right"/>
              <w:ind w:right="8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720" w:type="dxa"/>
            <w:vAlign w:val="bottom"/>
            <w:tcBorders>
              <w:bottom w:val="single" w:sz="8" w:color="CCEE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2"/>
              </w:rPr>
              <w:t>176,092,412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152,065,785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946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1974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2"/>
                <w:szCs w:val="12"/>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2"/>
                <w:szCs w:val="12"/>
                <w:color w:val="auto"/>
              </w:rPr>
            </w:pPr>
          </w:p>
        </w:tc>
        <w:tc>
          <w:tcPr>
            <w:tcW w:w="14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Coupon</w:t>
            </w:r>
          </w:p>
        </w:tc>
        <w:tc>
          <w:tcPr>
            <w:tcW w:w="50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60" w:type="dxa"/>
            <w:vAlign w:val="bottom"/>
          </w:tcPr>
          <w:p>
            <w:pPr>
              <w:spacing w:after="0"/>
              <w:rPr>
                <w:sz w:val="12"/>
                <w:szCs w:val="12"/>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Notes—65.0%</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11/15/2015</w:t>
            </w: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7"/>
              </w:rPr>
              <w:t>$26,345,000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$ 26,391,240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102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8"/>
              </w:rPr>
              <w:t>12/15/2016</w:t>
            </w: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Diversified / Conglomerate</w:t>
            </w:r>
          </w:p>
        </w:tc>
        <w:tc>
          <w:tcPr>
            <w:tcW w:w="8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11.13%</w:t>
            </w:r>
          </w:p>
        </w:tc>
        <w:tc>
          <w:tcPr>
            <w:tcW w:w="5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18,885,000</w:t>
            </w:r>
          </w:p>
        </w:tc>
        <w:tc>
          <w:tcPr>
            <w:tcW w:w="8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18,440,262</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5"/>
              </w:rPr>
              <w:t>Services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Consolidated Foundries,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4/17/2015</w:t>
            </w: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8,109,468</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7,997,216</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Diversitech Corporation</w:t>
            </w:r>
          </w:p>
        </w:tc>
        <w:tc>
          <w:tcPr>
            <w:tcW w:w="720" w:type="dxa"/>
            <w:vAlign w:val="bottom"/>
            <w:gridSpan w:val="2"/>
            <w:shd w:val="clear" w:color="auto" w:fill="CCEEFF"/>
          </w:tcPr>
          <w:p>
            <w:pPr>
              <w:jc w:val="center"/>
              <w:ind w:left="72"/>
              <w:spacing w:after="0" w:line="139" w:lineRule="exact"/>
              <w:rPr>
                <w:sz w:val="20"/>
                <w:szCs w:val="20"/>
                <w:color w:val="auto"/>
              </w:rPr>
            </w:pPr>
            <w:r>
              <w:rPr>
                <w:rFonts w:ascii="Arial" w:cs="Arial" w:eastAsia="Arial" w:hAnsi="Arial"/>
                <w:sz w:val="14"/>
                <w:szCs w:val="14"/>
                <w:color w:val="auto"/>
                <w:w w:val="86"/>
              </w:rPr>
              <w:t>1/29/2017</w:t>
            </w: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89"/>
              </w:rPr>
              <w:t>Manufacturing/Basic</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11,000,000</w:t>
            </w:r>
          </w:p>
        </w:tc>
        <w:tc>
          <w:tcPr>
            <w:tcW w:w="86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10,783,491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92"/>
              </w:rPr>
              <w:t>Industry</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6/1/2016</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Electronics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24,560,142</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Last Mile Funding, Corp.</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14.50%</w:t>
            </w:r>
            <w:r>
              <w:rPr>
                <w:rFonts w:ascii="Arial" w:cs="Arial" w:eastAsia="Arial" w:hAnsi="Arial"/>
                <w:sz w:val="22"/>
                <w:szCs w:val="22"/>
                <w:color w:val="auto"/>
                <w:vertAlign w:val="superscript"/>
              </w:rPr>
              <w:t>(6)</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(3PD, Inc.)</w:t>
            </w:r>
          </w:p>
        </w:tc>
        <w:tc>
          <w:tcPr>
            <w:tcW w:w="720" w:type="dxa"/>
            <w:vAlign w:val="bottom"/>
            <w:gridSpan w:val="2"/>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6"/>
              </w:rPr>
              <w:t>6/30/2016</w:t>
            </w:r>
          </w:p>
        </w:tc>
        <w:tc>
          <w:tcPr>
            <w:tcW w:w="300" w:type="dxa"/>
            <w:vAlign w:val="bottom"/>
            <w:shd w:val="clear" w:color="auto" w:fill="CCEEFF"/>
          </w:tcPr>
          <w:p>
            <w:pPr>
              <w:spacing w:after="0"/>
              <w:rPr>
                <w:sz w:val="13"/>
                <w:szCs w:val="13"/>
                <w:color w:val="auto"/>
              </w:rPr>
            </w:pPr>
          </w:p>
        </w:tc>
        <w:tc>
          <w:tcPr>
            <w:tcW w:w="222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44,456,391</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43,380,579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72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6/30/2016</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4,566,982</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LTI Flexible Products, Inc.</w:t>
            </w:r>
          </w:p>
        </w:tc>
        <w:tc>
          <w:tcPr>
            <w:tcW w:w="720" w:type="dxa"/>
            <w:vAlign w:val="bottom"/>
            <w:gridSpan w:val="2"/>
            <w:shd w:val="clear" w:color="auto" w:fill="CCEEFF"/>
          </w:tcPr>
          <w:p>
            <w:pPr>
              <w:jc w:val="center"/>
              <w:ind w:left="72"/>
              <w:spacing w:after="0" w:line="138" w:lineRule="exact"/>
              <w:rPr>
                <w:sz w:val="20"/>
                <w:szCs w:val="20"/>
                <w:color w:val="auto"/>
              </w:rPr>
            </w:pPr>
            <w:r>
              <w:rPr>
                <w:rFonts w:ascii="Arial" w:cs="Arial" w:eastAsia="Arial" w:hAnsi="Arial"/>
                <w:sz w:val="14"/>
                <w:szCs w:val="14"/>
                <w:color w:val="auto"/>
                <w:w w:val="86"/>
              </w:rPr>
              <w:t>1/26/2017</w:t>
            </w: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Chemical, Plastic and</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13.88%</w:t>
            </w:r>
            <w:r>
              <w:rPr>
                <w:rFonts w:ascii="Arial" w:cs="Arial" w:eastAsia="Arial" w:hAnsi="Arial"/>
                <w:sz w:val="15"/>
                <w:szCs w:val="15"/>
                <w:color w:val="auto"/>
                <w:vertAlign w:val="superscript"/>
              </w:rPr>
              <w:t>(6)</w:t>
            </w:r>
          </w:p>
        </w:tc>
        <w:tc>
          <w:tcPr>
            <w:tcW w:w="5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33,937,985</w:t>
            </w:r>
          </w:p>
        </w:tc>
        <w:tc>
          <w:tcPr>
            <w:tcW w:w="94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33,119,280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7"/>
              </w:rPr>
              <w:t>Rubber</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Mailsouth,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6/15/2017</w:t>
            </w:r>
          </w:p>
        </w:tc>
        <w:tc>
          <w:tcPr>
            <w:tcW w:w="300" w:type="dxa"/>
            <w:vAlign w:val="bottom"/>
          </w:tcPr>
          <w:p>
            <w:pPr>
              <w:spacing w:after="0"/>
              <w:rPr>
                <w:sz w:val="11"/>
                <w:szCs w:val="11"/>
                <w:color w:val="auto"/>
              </w:rPr>
            </w:pPr>
          </w:p>
        </w:tc>
        <w:tc>
          <w:tcPr>
            <w:tcW w:w="2220" w:type="dxa"/>
            <w:vAlign w:val="bottom"/>
            <w:gridSpan w:val="3"/>
          </w:tcPr>
          <w:p>
            <w:pPr>
              <w:jc w:val="center"/>
              <w:ind w:right="200"/>
              <w:spacing w:after="0" w:line="138" w:lineRule="exact"/>
              <w:rPr>
                <w:sz w:val="20"/>
                <w:szCs w:val="20"/>
                <w:color w:val="auto"/>
              </w:rPr>
            </w:pPr>
            <w:r>
              <w:rPr>
                <w:rFonts w:ascii="Arial" w:cs="Arial" w:eastAsia="Arial" w:hAnsi="Arial"/>
                <w:sz w:val="14"/>
                <w:szCs w:val="14"/>
                <w:color w:val="auto"/>
                <w:w w:val="88"/>
              </w:rPr>
              <w:t>Printing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14.50%</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15,000,000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14,579,991</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10/14/2016</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19,000,000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PAS Technologies,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5/12/2017</w:t>
            </w: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14.02%</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16,785,000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16,400,403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Prince Mineral Holdings Corp.</w:t>
            </w:r>
          </w:p>
        </w:tc>
        <w:tc>
          <w:tcPr>
            <w:tcW w:w="720" w:type="dxa"/>
            <w:vAlign w:val="bottom"/>
            <w:gridSpan w:val="2"/>
            <w:shd w:val="clear" w:color="auto" w:fill="CCEEFF"/>
          </w:tcPr>
          <w:p>
            <w:pPr>
              <w:jc w:val="center"/>
              <w:ind w:left="72"/>
              <w:spacing w:after="0" w:line="139" w:lineRule="exact"/>
              <w:rPr>
                <w:sz w:val="20"/>
                <w:szCs w:val="20"/>
                <w:color w:val="auto"/>
              </w:rPr>
            </w:pPr>
            <w:r>
              <w:rPr>
                <w:rFonts w:ascii="Arial" w:cs="Arial" w:eastAsia="Arial" w:hAnsi="Arial"/>
                <w:sz w:val="14"/>
                <w:szCs w:val="14"/>
                <w:color w:val="auto"/>
                <w:w w:val="86"/>
              </w:rPr>
              <w:t>12/3/2016</w:t>
            </w: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90"/>
              </w:rPr>
              <w:t>Mining, Steel, Iron</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26,169,195</w:t>
            </w:r>
          </w:p>
        </w:tc>
        <w:tc>
          <w:tcPr>
            <w:tcW w:w="86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25,667,843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and Non-Precious</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92"/>
              </w:rPr>
              <w:t>Metals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4/15/2018</w:t>
            </w:r>
          </w:p>
        </w:tc>
        <w:tc>
          <w:tcPr>
            <w:tcW w:w="300" w:type="dxa"/>
            <w:vAlign w:val="bottom"/>
          </w:tcPr>
          <w:p>
            <w:pPr>
              <w:spacing w:after="0"/>
              <w:rPr>
                <w:sz w:val="11"/>
                <w:szCs w:val="11"/>
                <w:color w:val="auto"/>
              </w:rPr>
            </w:pPr>
          </w:p>
        </w:tc>
        <w:tc>
          <w:tcPr>
            <w:tcW w:w="2220" w:type="dxa"/>
            <w:vAlign w:val="bottom"/>
            <w:gridSpan w:val="3"/>
          </w:tcPr>
          <w:p>
            <w:pPr>
              <w:jc w:val="center"/>
              <w:ind w:right="200"/>
              <w:spacing w:after="0" w:line="138" w:lineRule="exact"/>
              <w:rPr>
                <w:sz w:val="20"/>
                <w:szCs w:val="20"/>
                <w:color w:val="auto"/>
              </w:rPr>
            </w:pPr>
            <w:r>
              <w:rPr>
                <w:rFonts w:ascii="Arial" w:cs="Arial" w:eastAsia="Arial" w:hAnsi="Arial"/>
                <w:sz w:val="14"/>
                <w:szCs w:val="14"/>
                <w:color w:val="auto"/>
                <w:w w:val="87"/>
              </w:rPr>
              <w:t>Buildings and Real</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11.00%</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10,000,000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9,159,259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color w:val="auto"/>
                <w:w w:val="85"/>
              </w:rPr>
              <w:t>Estate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12/29/2015</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12,020,950</w:t>
            </w:r>
          </w:p>
        </w:tc>
        <w:tc>
          <w:tcPr>
            <w:tcW w:w="94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2/8/2015</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26,276,070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12/31/2015</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15,000,000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20" w:type="dxa"/>
            <w:vAlign w:val="bottom"/>
            <w:tcBorders>
              <w:bottom w:val="single" w:sz="8" w:color="CCEEFF"/>
            </w:tcBorders>
            <w:gridSpan w:val="3"/>
          </w:tcPr>
          <w:p>
            <w:pPr>
              <w:jc w:val="center"/>
              <w:ind w:right="160"/>
              <w:spacing w:after="0" w:line="149" w:lineRule="exact"/>
              <w:rPr>
                <w:sz w:val="20"/>
                <w:szCs w:val="20"/>
                <w:color w:val="auto"/>
              </w:rPr>
            </w:pPr>
            <w:r>
              <w:rPr>
                <w:rFonts w:ascii="Arial" w:cs="Arial" w:eastAsia="Arial" w:hAnsi="Arial"/>
                <w:sz w:val="14"/>
                <w:szCs w:val="14"/>
                <w:color w:val="auto"/>
                <w:w w:val="88"/>
              </w:rPr>
              <w:t>12/31/2012</w:t>
            </w:r>
          </w:p>
        </w:tc>
        <w:tc>
          <w:tcPr>
            <w:tcW w:w="2220" w:type="dxa"/>
            <w:vAlign w:val="bottom"/>
            <w:tcBorders>
              <w:bottom w:val="single" w:sz="8" w:color="CCEEFF"/>
            </w:tcBorders>
            <w:gridSpan w:val="3"/>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tcBorders>
              <w:bottom w:val="single" w:sz="8" w:color="CCEEFF"/>
            </w:tcBorders>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tcPr>
          <w:p>
            <w:pPr>
              <w:jc w:val="right"/>
              <w:ind w:right="100"/>
              <w:spacing w:after="0" w:line="149" w:lineRule="exact"/>
              <w:rPr>
                <w:sz w:val="20"/>
                <w:szCs w:val="20"/>
                <w:color w:val="auto"/>
              </w:rPr>
            </w:pPr>
            <w:r>
              <w:rPr>
                <w:rFonts w:ascii="Arial" w:cs="Arial" w:eastAsia="Arial" w:hAnsi="Arial"/>
                <w:sz w:val="14"/>
                <w:szCs w:val="14"/>
                <w:color w:val="auto"/>
                <w:w w:val="96"/>
              </w:rPr>
              <w:t>12,000,000</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316,401,098</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(7)</w:t>
            </w:r>
          </w:p>
        </w:tc>
        <w:tc>
          <w:tcPr>
            <w:tcW w:w="1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85"/>
              </w:rPr>
              <w:t>and Childcare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1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7,505</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4"/>
              </w:rPr>
              <w:t>Defense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909,248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tcPr>
          <w:p>
            <w:pPr>
              <w:ind w:left="200"/>
              <w:spacing w:after="0"/>
              <w:rPr>
                <w:sz w:val="20"/>
                <w:szCs w:val="20"/>
                <w:color w:val="auto"/>
              </w:rPr>
            </w:pPr>
            <w:r>
              <w:rPr>
                <w:rFonts w:ascii="Arial" w:cs="Arial" w:eastAsia="Arial" w:hAnsi="Arial"/>
                <w:sz w:val="14"/>
                <w:szCs w:val="14"/>
                <w:color w:val="auto"/>
              </w:rPr>
              <w:t>(PAS Technologies)</w:t>
            </w:r>
          </w:p>
        </w:tc>
        <w:tc>
          <w:tcPr>
            <w:tcW w:w="14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8.00%</w:t>
            </w:r>
          </w:p>
        </w:tc>
        <w:tc>
          <w:tcPr>
            <w:tcW w:w="500" w:type="dxa"/>
            <w:vAlign w:val="bottom"/>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1,980,000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686</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48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6.50%</w:t>
            </w:r>
          </w:p>
        </w:tc>
        <w:tc>
          <w:tcPr>
            <w:tcW w:w="5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1,312</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8.00%</w:t>
            </w: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101,175</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Borders>
              <w:bottom w:val="single" w:sz="8" w:color="CCEEFF"/>
            </w:tcBorders>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CCEEFF"/>
            </w:tcBorders>
            <w:gridSpan w:val="3"/>
          </w:tcPr>
          <w:p>
            <w:pPr>
              <w:jc w:val="center"/>
              <w:ind w:right="200"/>
              <w:spacing w:after="0" w:line="159" w:lineRule="exact"/>
              <w:rPr>
                <w:sz w:val="20"/>
                <w:szCs w:val="20"/>
                <w:color w:val="auto"/>
              </w:rPr>
            </w:pPr>
            <w:r>
              <w:rPr>
                <w:rFonts w:ascii="Arial" w:cs="Arial" w:eastAsia="Arial" w:hAnsi="Arial"/>
                <w:sz w:val="14"/>
                <w:szCs w:val="14"/>
                <w:color w:val="auto"/>
                <w:w w:val="86"/>
              </w:rPr>
              <w:t>Personal Transportation</w:t>
            </w:r>
          </w:p>
        </w:tc>
        <w:tc>
          <w:tcPr>
            <w:tcW w:w="800" w:type="dxa"/>
            <w:vAlign w:val="bottom"/>
            <w:tcBorders>
              <w:bottom w:val="single" w:sz="8" w:color="CCEEFF"/>
            </w:tcBorders>
            <w:gridSpan w:val="2"/>
          </w:tcPr>
          <w:p>
            <w:pPr>
              <w:jc w:val="right"/>
              <w:ind w:right="200"/>
              <w:spacing w:after="0" w:line="159" w:lineRule="exact"/>
              <w:rPr>
                <w:sz w:val="20"/>
                <w:szCs w:val="20"/>
                <w:color w:val="auto"/>
              </w:rPr>
            </w:pPr>
            <w:r>
              <w:rPr>
                <w:rFonts w:ascii="Arial" w:cs="Arial" w:eastAsia="Arial" w:hAnsi="Arial"/>
                <w:sz w:val="14"/>
                <w:szCs w:val="14"/>
                <w:color w:val="auto"/>
              </w:rPr>
              <w:t>8.00%</w:t>
            </w:r>
          </w:p>
        </w:tc>
        <w:tc>
          <w:tcPr>
            <w:tcW w:w="500" w:type="dxa"/>
            <w:vAlign w:val="bottom"/>
            <w:tcBorders>
              <w:bottom w:val="single" w:sz="8" w:color="CCEEFF"/>
            </w:tcBorders>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tcPr>
          <w:p>
            <w:pPr>
              <w:jc w:val="right"/>
              <w:ind w:right="100"/>
              <w:spacing w:after="0" w:line="159" w:lineRule="exact"/>
              <w:rPr>
                <w:sz w:val="20"/>
                <w:szCs w:val="20"/>
                <w:color w:val="auto"/>
              </w:rPr>
            </w:pPr>
            <w:r>
              <w:rPr>
                <w:rFonts w:ascii="Arial" w:cs="Arial" w:eastAsia="Arial" w:hAnsi="Arial"/>
                <w:sz w:val="14"/>
                <w:szCs w:val="14"/>
                <w:color w:val="auto"/>
              </w:rPr>
              <w:t>1,824,167</w:t>
            </w: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10,268,187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8,024,938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2"/>
                <w:szCs w:val="12"/>
                <w:color w:val="auto"/>
              </w:rPr>
            </w:pPr>
          </w:p>
        </w:tc>
        <w:tc>
          <w:tcPr>
            <w:tcW w:w="142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7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2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Equity/Warrants/Partnership Interests—7.0%</w:t>
            </w:r>
            <w:r>
              <w:rPr>
                <w:rFonts w:ascii="Arial" w:cs="Arial" w:eastAsia="Arial" w:hAnsi="Arial"/>
                <w:sz w:val="13"/>
                <w:szCs w:val="13"/>
                <w:b w:val="1"/>
                <w:bCs w:val="1"/>
                <w:color w:val="auto"/>
                <w:vertAlign w:val="superscript"/>
              </w:rPr>
              <w:t>(7)</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(American Surgical Holdings, Inc.) (Warrants)</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3/23/2021</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753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Broadcasting and Entertainment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(Consolidated Foundries, Inc.)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20" w:type="dxa"/>
            <w:vAlign w:val="bottom"/>
            <w:gridSpan w:val="2"/>
          </w:tcPr>
          <w:p>
            <w:pPr>
              <w:jc w:val="center"/>
              <w:ind w:right="900"/>
              <w:spacing w:after="0"/>
              <w:rPr>
                <w:sz w:val="20"/>
                <w:szCs w:val="20"/>
                <w:color w:val="auto"/>
              </w:rPr>
            </w:pPr>
            <w:r>
              <w:rPr>
                <w:rFonts w:ascii="Arial" w:cs="Arial" w:eastAsia="Arial" w:hAnsi="Arial"/>
                <w:sz w:val="14"/>
                <w:szCs w:val="14"/>
                <w:color w:val="auto"/>
                <w:w w:val="84"/>
              </w:rPr>
              <w:t>Defense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18,556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5,556</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2,277,209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Consumer Products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80" w:type="dxa"/>
            <w:vAlign w:val="bottom"/>
            <w:gridSpan w:val="3"/>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80" w:type="dxa"/>
            <w:vAlign w:val="bottom"/>
            <w:gridSpan w:val="3"/>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(Kadmon Pharmaceuticals, LLC)</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83"/>
              </w:rPr>
              <w:t>1,079,920</w:t>
            </w: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1,236,832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83"/>
              </w:rPr>
              <w:t>1,079,920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1,028,807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4/27/2020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3"/>
              </w:rPr>
              <w:t>1,221,932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3,239,999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10/14/2013</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122,193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(Pre-Paid LegalServices, Inc.)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color w:val="auto"/>
                <w:w w:val="85"/>
              </w:rPr>
              <w:t>Services</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 (PAS Technologies)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80" w:type="dxa"/>
            <w:vAlign w:val="bottom"/>
          </w:tcPr>
          <w:p>
            <w:pPr>
              <w:spacing w:after="0"/>
              <w:rPr>
                <w:sz w:val="13"/>
                <w:szCs w:val="13"/>
                <w:color w:val="auto"/>
              </w:rPr>
            </w:pPr>
          </w:p>
        </w:tc>
        <w:tc>
          <w:tcPr>
            <w:tcW w:w="7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4"/>
              </w:rPr>
              <w:t>12/29/2019</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Cargo Transport</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4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4"/>
              </w:rPr>
              <w:t>Insurance</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110,742</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 VPSI, Inc.)</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Personal Transportation</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1"/>
              </w:rPr>
              <w:t>23,574,291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Non-Affiliated Portfolio Companies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816,078,311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Companies—8.8%</w:t>
            </w:r>
            <w:r>
              <w:rPr>
                <w:rFonts w:ascii="Arial" w:cs="Arial" w:eastAsia="Arial" w:hAnsi="Arial"/>
                <w:sz w:val="18"/>
                <w:szCs w:val="18"/>
                <w:b w:val="1"/>
                <w:bCs w:val="1"/>
                <w:color w:val="auto"/>
                <w:vertAlign w:val="superscript"/>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7/29/2013</w:t>
            </w:r>
          </w:p>
        </w:tc>
        <w:tc>
          <w:tcPr>
            <w:tcW w:w="22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Environmental Services</w:t>
            </w: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2.72%</w:t>
            </w: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3"/>
              </w:rPr>
              <w:t>6,666,666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color w:val="auto"/>
                <w:w w:val="87"/>
              </w:rPr>
              <w:t>L+600</w:t>
            </w:r>
            <w:r>
              <w:rPr>
                <w:rFonts w:ascii="Arial" w:cs="Arial" w:eastAsia="Arial" w:hAnsi="Arial"/>
                <w:sz w:val="22"/>
                <w:szCs w:val="22"/>
                <w:color w:val="auto"/>
                <w:w w:val="87"/>
                <w:vertAlign w:val="superscript"/>
              </w:rPr>
              <w:t>(8)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7/29/2014</w:t>
            </w:r>
          </w:p>
        </w:tc>
        <w:tc>
          <w:tcPr>
            <w:tcW w:w="228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w w:val="88"/>
              </w:rPr>
              <w:t>Environmental Services</w:t>
            </w: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8.00%</w:t>
            </w:r>
          </w:p>
        </w:tc>
        <w:tc>
          <w:tcPr>
            <w:tcW w:w="6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83"/>
              </w:rPr>
              <w:t>5,870,416</w:t>
            </w: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5,870,416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5,870,416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ind w:left="120"/>
              <w:spacing w:after="0" w:line="212" w:lineRule="exact"/>
              <w:rPr>
                <w:sz w:val="20"/>
                <w:szCs w:val="20"/>
                <w:color w:val="auto"/>
              </w:rPr>
            </w:pPr>
            <w:r>
              <w:rPr>
                <w:rFonts w:ascii="Arial" w:cs="Arial" w:eastAsia="Arial" w:hAnsi="Arial"/>
                <w:sz w:val="14"/>
                <w:szCs w:val="14"/>
                <w:color w:val="auto"/>
                <w:w w:val="87"/>
              </w:rPr>
              <w:t>L+625</w:t>
            </w:r>
            <w:r>
              <w:rPr>
                <w:rFonts w:ascii="Arial" w:cs="Arial" w:eastAsia="Arial" w:hAnsi="Arial"/>
                <w:sz w:val="22"/>
                <w:szCs w:val="22"/>
                <w:color w:val="auto"/>
                <w:w w:val="87"/>
                <w:vertAlign w:val="superscript"/>
              </w:rPr>
              <w:t>(8)</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1/16/2015</w:t>
            </w: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66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7.25%</w:t>
            </w: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1"/>
                <w:szCs w:val="11"/>
                <w:color w:val="auto"/>
              </w:rPr>
            </w:pPr>
          </w:p>
        </w:tc>
        <w:tc>
          <w:tcPr>
            <w:tcW w:w="74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center"/>
              <w:ind w:right="60"/>
              <w:spacing w:after="0"/>
              <w:rPr>
                <w:sz w:val="20"/>
                <w:szCs w:val="20"/>
                <w:color w:val="auto"/>
              </w:rPr>
            </w:pPr>
            <w:r>
              <w:rPr>
                <w:rFonts w:ascii="Arial" w:cs="Arial" w:eastAsia="Arial" w:hAnsi="Arial"/>
                <w:sz w:val="14"/>
                <w:szCs w:val="14"/>
                <w:color w:val="auto"/>
                <w:w w:val="88"/>
              </w:rPr>
              <w:t>Motion Pictures and Entertainment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Total Second Lien Secured Debt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13,870,416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94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974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tcPr>
          <w:p>
            <w:pPr>
              <w:spacing w:after="0"/>
              <w:rPr>
                <w:sz w:val="12"/>
                <w:szCs w:val="12"/>
                <w:color w:val="auto"/>
              </w:rPr>
            </w:pPr>
          </w:p>
        </w:tc>
        <w:tc>
          <w:tcPr>
            <w:tcW w:w="142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4"/>
              </w:rPr>
              <w:t>Industry</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Notes—1.4%</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7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7/16/2015</w:t>
            </w: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auto"/>
                <w:w w:val="91"/>
              </w:rPr>
              <w:t>15.00%</w:t>
            </w:r>
            <w:r>
              <w:rPr>
                <w:rFonts w:ascii="Arial" w:cs="Arial" w:eastAsia="Arial" w:hAnsi="Arial"/>
                <w:sz w:val="22"/>
                <w:szCs w:val="22"/>
                <w:color w:val="auto"/>
                <w:w w:val="91"/>
                <w:vertAlign w:val="superscript"/>
              </w:rPr>
              <w:t>(6)</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Motion Pictures and Entertainment</w:t>
            </w:r>
          </w:p>
        </w:tc>
        <w:tc>
          <w:tcPr>
            <w:tcW w:w="800" w:type="dxa"/>
            <w:vAlign w:val="bottom"/>
            <w:gridSpan w:val="2"/>
            <w:vMerge w:val="continue"/>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6,775,991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6,617,860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37,382</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2,710,036</w:t>
            </w: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50,102</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3,129,447</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gridSpan w:val="2"/>
          </w:tcPr>
          <w:p>
            <w:pPr>
              <w:ind w:left="200"/>
              <w:spacing w:after="0"/>
              <w:rPr>
                <w:sz w:val="20"/>
                <w:szCs w:val="20"/>
                <w:color w:val="auto"/>
              </w:rPr>
            </w:pPr>
            <w:r>
              <w:rPr>
                <w:rFonts w:ascii="Arial" w:cs="Arial" w:eastAsia="Arial" w:hAnsi="Arial"/>
                <w:sz w:val="14"/>
                <w:szCs w:val="14"/>
                <w:color w:val="auto"/>
              </w:rPr>
              <w:t>(Performance Holdings, Inc.)</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Motion Pictures and Entertainment</w:t>
            </w:r>
          </w:p>
        </w:tc>
        <w:tc>
          <w:tcPr>
            <w:tcW w:w="8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375,000</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3,750,000</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w w:val="94"/>
              </w:rPr>
              <w:t>36,744,425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9,200,000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2,300,000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866,322,836</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Equivalents—15.5%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2"/>
              </w:rPr>
              <w:t>71,604,519</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71,604,519</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937,927,355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7"/>
              </w:rPr>
              <w:t>(436,495,838)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w:t>
      </w:r>
    </w:p>
    <w:p>
      <w:pPr>
        <w:ind w:left="340" w:hanging="332"/>
        <w:spacing w:after="0"/>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Current</w:t>
            </w: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800" w:type="dxa"/>
            <w:vAlign w:val="bottom"/>
          </w:tcPr>
          <w:p>
            <w:pPr>
              <w:spacing w:after="0"/>
              <w:rPr>
                <w:sz w:val="12"/>
                <w:szCs w:val="12"/>
                <w:color w:val="auto"/>
              </w:rPr>
            </w:pPr>
          </w:p>
        </w:tc>
        <w:tc>
          <w:tcPr>
            <w:tcW w:w="13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8"/>
              </w:rPr>
              <w:t>Coupon</w:t>
            </w: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14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shd w:val="clear" w:color="auto" w:fill="CCEEFF"/>
          </w:tcPr>
          <w:p>
            <w:pPr>
              <w:jc w:val="right"/>
              <w:ind w:right="3200"/>
              <w:spacing w:after="0" w:line="176" w:lineRule="exact"/>
              <w:rPr>
                <w:sz w:val="20"/>
                <w:szCs w:val="20"/>
                <w:color w:val="auto"/>
              </w:rPr>
            </w:pPr>
            <w:r>
              <w:rPr>
                <w:rFonts w:ascii="Arial" w:cs="Arial" w:eastAsia="Arial" w:hAnsi="Arial"/>
                <w:sz w:val="20"/>
                <w:szCs w:val="20"/>
                <w:b w:val="1"/>
                <w:bCs w:val="1"/>
                <w:color w:val="auto"/>
                <w:vertAlign w:val="subscript"/>
              </w:rPr>
              <w:t>165.9%</w:t>
            </w:r>
            <w:r>
              <w:rPr>
                <w:rFonts w:ascii="Arial" w:cs="Arial" w:eastAsia="Arial" w:hAnsi="Arial"/>
                <w:sz w:val="9"/>
                <w:szCs w:val="9"/>
                <w:b w:val="1"/>
                <w:bCs w:val="1"/>
                <w:color w:val="auto"/>
              </w:rPr>
              <w:t>(1),(2)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L+900</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Airvana Networks Solution,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8/27/2014</w:t>
            </w:r>
          </w:p>
        </w:tc>
        <w:tc>
          <w:tcPr>
            <w:tcW w:w="2100" w:type="dxa"/>
            <w:vAlign w:val="bottom"/>
            <w:gridSpan w:val="3"/>
          </w:tcPr>
          <w:p>
            <w:pPr>
              <w:jc w:val="center"/>
              <w:spacing w:after="0" w:line="122" w:lineRule="exact"/>
              <w:rPr>
                <w:sz w:val="20"/>
                <w:szCs w:val="20"/>
                <w:color w:val="auto"/>
              </w:rPr>
            </w:pPr>
            <w:r>
              <w:rPr>
                <w:rFonts w:ascii="Arial" w:cs="Arial" w:eastAsia="Arial" w:hAnsi="Arial"/>
                <w:sz w:val="14"/>
                <w:szCs w:val="14"/>
                <w:color w:val="auto"/>
                <w:w w:val="88"/>
              </w:rPr>
              <w:t>Communications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11.00%</w:t>
            </w:r>
          </w:p>
        </w:tc>
        <w:tc>
          <w:tcPr>
            <w:tcW w:w="780" w:type="dxa"/>
            <w:vAlign w:val="bottom"/>
            <w:gridSpan w:val="2"/>
            <w:vMerge w:val="continue"/>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$13,583,333</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w w:val="95"/>
              </w:rPr>
              <w:t>$ 13,316,337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$ 13,447,500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Birch Communications,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6/21/2015</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15.00%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w w:val="97"/>
              </w:rPr>
              <w:t>L+1,300</w:t>
            </w:r>
            <w:r>
              <w:rPr>
                <w:rFonts w:ascii="Arial" w:cs="Arial" w:eastAsia="Arial" w:hAnsi="Arial"/>
                <w:sz w:val="20"/>
                <w:szCs w:val="20"/>
                <w:color w:val="auto"/>
                <w:w w:val="97"/>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16,363,636</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15,786,257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1/31/2011</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3,636,364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0"/>
                <w:szCs w:val="10"/>
                <w:color w:val="auto"/>
              </w:rPr>
              <w:t>CEVA Group PLC</w:t>
            </w:r>
            <w:r>
              <w:rPr>
                <w:rFonts w:ascii="Arial" w:cs="Arial" w:eastAsia="Arial" w:hAnsi="Arial"/>
                <w:sz w:val="14"/>
                <w:szCs w:val="14"/>
                <w:color w:val="auto"/>
                <w:vertAlign w:val="superscript"/>
              </w:rPr>
              <w:t>(5),(10)</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10/1/2016</w:t>
            </w:r>
          </w:p>
        </w:tc>
        <w:tc>
          <w:tcPr>
            <w:tcW w:w="800" w:type="dxa"/>
            <w:vAlign w:val="bottom"/>
          </w:tcPr>
          <w:p>
            <w:pPr>
              <w:spacing w:after="0"/>
              <w:rPr>
                <w:sz w:val="10"/>
                <w:szCs w:val="10"/>
                <w:color w:val="auto"/>
              </w:rPr>
            </w:pPr>
          </w:p>
        </w:tc>
        <w:tc>
          <w:tcPr>
            <w:tcW w:w="1300" w:type="dxa"/>
            <w:vAlign w:val="bottom"/>
            <w:gridSpan w:val="2"/>
          </w:tcPr>
          <w:p>
            <w:pPr>
              <w:jc w:val="center"/>
              <w:ind w:right="760"/>
              <w:spacing w:after="0" w:line="122" w:lineRule="exact"/>
              <w:rPr>
                <w:sz w:val="20"/>
                <w:szCs w:val="20"/>
                <w:color w:val="auto"/>
              </w:rPr>
            </w:pPr>
            <w:r>
              <w:rPr>
                <w:rFonts w:ascii="Arial" w:cs="Arial" w:eastAsia="Arial" w:hAnsi="Arial"/>
                <w:sz w:val="14"/>
                <w:szCs w:val="14"/>
                <w:color w:val="auto"/>
                <w:w w:val="91"/>
              </w:rPr>
              <w:t>Logistics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11.63%</w:t>
            </w:r>
          </w:p>
        </w:tc>
        <w:tc>
          <w:tcPr>
            <w:tcW w:w="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7,305,603</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4/1/2018</w:t>
            </w:r>
          </w:p>
        </w:tc>
        <w:tc>
          <w:tcPr>
            <w:tcW w:w="800" w:type="dxa"/>
            <w:vAlign w:val="bottom"/>
          </w:tcPr>
          <w:p>
            <w:pPr>
              <w:spacing w:after="0"/>
              <w:rPr>
                <w:sz w:val="15"/>
                <w:szCs w:val="15"/>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color w:val="auto"/>
                <w:w w:val="91"/>
              </w:rPr>
              <w:t>Logistics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11.50%</w:t>
            </w:r>
          </w:p>
        </w:tc>
        <w:tc>
          <w:tcPr>
            <w:tcW w:w="78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987,774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gridSpan w:val="3"/>
          </w:tcPr>
          <w:p>
            <w:pPr>
              <w:spacing w:after="0" w:line="148" w:lineRule="exact"/>
              <w:rPr>
                <w:sz w:val="20"/>
                <w:szCs w:val="20"/>
                <w:color w:val="auto"/>
              </w:rPr>
            </w:pPr>
            <w:r>
              <w:rPr>
                <w:rFonts w:ascii="Arial" w:cs="Arial" w:eastAsia="Arial" w:hAnsi="Arial"/>
                <w:sz w:val="14"/>
                <w:szCs w:val="14"/>
                <w:color w:val="auto"/>
              </w:rPr>
              <w:t>Chester Downs and Marina, LLC</w:t>
            </w:r>
          </w:p>
        </w:tc>
        <w:tc>
          <w:tcPr>
            <w:tcW w:w="820" w:type="dxa"/>
            <w:vAlign w:val="bottom"/>
            <w:gridSpan w:val="3"/>
          </w:tcPr>
          <w:p>
            <w:pPr>
              <w:jc w:val="right"/>
              <w:ind w:right="100"/>
              <w:spacing w:after="0" w:line="148" w:lineRule="exact"/>
              <w:rPr>
                <w:sz w:val="20"/>
                <w:szCs w:val="20"/>
                <w:color w:val="auto"/>
              </w:rPr>
            </w:pPr>
            <w:r>
              <w:rPr>
                <w:rFonts w:ascii="Arial" w:cs="Arial" w:eastAsia="Arial" w:hAnsi="Arial"/>
                <w:sz w:val="14"/>
                <w:szCs w:val="14"/>
                <w:color w:val="auto"/>
              </w:rPr>
              <w:t>7/31/2016</w:t>
            </w:r>
          </w:p>
        </w:tc>
        <w:tc>
          <w:tcPr>
            <w:tcW w:w="2100" w:type="dxa"/>
            <w:vAlign w:val="bottom"/>
            <w:gridSpan w:val="3"/>
          </w:tcPr>
          <w:p>
            <w:pPr>
              <w:jc w:val="center"/>
              <w:spacing w:after="0" w:line="148"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12.38%</w:t>
            </w:r>
          </w:p>
        </w:tc>
        <w:tc>
          <w:tcPr>
            <w:tcW w:w="78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L+988</w:t>
            </w:r>
          </w:p>
        </w:tc>
        <w:tc>
          <w:tcPr>
            <w:tcW w:w="86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9,250,000</w:t>
            </w:r>
          </w:p>
        </w:tc>
        <w:tc>
          <w:tcPr>
            <w:tcW w:w="80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8,765,468</w:t>
            </w:r>
          </w:p>
        </w:tc>
        <w:tc>
          <w:tcPr>
            <w:tcW w:w="80" w:type="dxa"/>
            <w:vAlign w:val="bottom"/>
          </w:tcPr>
          <w:p>
            <w:pPr>
              <w:spacing w:after="0"/>
              <w:rPr>
                <w:sz w:val="12"/>
                <w:szCs w:val="12"/>
                <w:color w:val="auto"/>
              </w:rPr>
            </w:pP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11/20/2014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7/29/2013</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6,666,666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8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10/1/2014</w:t>
            </w:r>
          </w:p>
        </w:tc>
        <w:tc>
          <w:tcPr>
            <w:tcW w:w="8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780"/>
              <w:spacing w:after="0" w:line="122" w:lineRule="exact"/>
              <w:rPr>
                <w:sz w:val="20"/>
                <w:szCs w:val="20"/>
                <w:color w:val="auto"/>
              </w:rPr>
            </w:pPr>
            <w:r>
              <w:rPr>
                <w:rFonts w:ascii="Arial" w:cs="Arial" w:eastAsia="Arial" w:hAnsi="Arial"/>
                <w:sz w:val="14"/>
                <w:szCs w:val="14"/>
                <w:color w:val="auto"/>
                <w:w w:val="88"/>
              </w:rPr>
              <w:t>Grocery</w:t>
            </w:r>
          </w:p>
        </w:tc>
        <w:tc>
          <w:tcPr>
            <w:tcW w:w="9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4"/>
                <w:szCs w:val="14"/>
                <w:color w:val="auto"/>
              </w:rPr>
              <w:t>12.00%</w:t>
            </w:r>
          </w:p>
        </w:tc>
        <w:tc>
          <w:tcPr>
            <w:tcW w:w="7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11,905,025</w:t>
            </w:r>
          </w:p>
        </w:tc>
        <w:tc>
          <w:tcPr>
            <w:tcW w:w="88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11,650,744</w:t>
            </w:r>
          </w:p>
        </w:tc>
        <w:tc>
          <w:tcPr>
            <w:tcW w:w="8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2.62%</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8,752,500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2/7/2014</w:t>
            </w:r>
          </w:p>
        </w:tc>
        <w:tc>
          <w:tcPr>
            <w:tcW w:w="210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9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2.71%</w:t>
            </w: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9,744,595</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2"/>
          </w:tcPr>
          <w:p>
            <w:pPr>
              <w:jc w:val="center"/>
              <w:ind w:right="78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4/27/2016</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26,052,631</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1/18/2014</w:t>
            </w:r>
          </w:p>
        </w:tc>
        <w:tc>
          <w:tcPr>
            <w:tcW w:w="21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9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2.54%</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3,844,931</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78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9,829,738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66,801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200,404</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2920" w:type="dxa"/>
            <w:vAlign w:val="bottom"/>
            <w:gridSpan w:val="6"/>
          </w:tcPr>
          <w:p>
            <w:pPr>
              <w:jc w:val="right"/>
              <w:ind w:right="40"/>
              <w:spacing w:after="0" w:line="122" w:lineRule="exact"/>
              <w:rPr>
                <w:sz w:val="20"/>
                <w:szCs w:val="20"/>
                <w:color w:val="auto"/>
              </w:rPr>
            </w:pPr>
            <w:r>
              <w:rPr>
                <w:rFonts w:ascii="Arial" w:cs="Arial" w:eastAsia="Arial" w:hAnsi="Arial"/>
                <w:sz w:val="14"/>
                <w:szCs w:val="14"/>
                <w:color w:val="auto"/>
                <w:w w:val="92"/>
              </w:rPr>
              <w:t>10/22/2011   Healthcare, Education and Childcare</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15.25%</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w w:val="97"/>
              </w:rPr>
              <w:t>L+1,300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w w:val="94"/>
              </w:rPr>
              <w:t>P+1,200</w:t>
            </w:r>
            <w:r>
              <w:rPr>
                <w:rFonts w:ascii="Arial" w:cs="Arial" w:eastAsia="Arial" w:hAnsi="Arial"/>
                <w:sz w:val="21"/>
                <w:szCs w:val="21"/>
                <w:color w:val="auto"/>
                <w:w w:val="94"/>
                <w:vertAlign w:val="superscript"/>
              </w:rPr>
              <w:t>(8)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7/15/2016</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2/7/2015</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2/7/2015</w:t>
            </w:r>
          </w:p>
        </w:tc>
        <w:tc>
          <w:tcPr>
            <w:tcW w:w="2100" w:type="dxa"/>
            <w:vAlign w:val="bottom"/>
            <w:gridSpan w:val="3"/>
          </w:tcPr>
          <w:p>
            <w:pPr>
              <w:jc w:val="center"/>
              <w:spacing w:after="0" w:line="122" w:lineRule="exact"/>
              <w:rPr>
                <w:sz w:val="20"/>
                <w:szCs w:val="20"/>
                <w:color w:val="auto"/>
              </w:rPr>
            </w:pPr>
            <w:r>
              <w:rPr>
                <w:rFonts w:ascii="Arial" w:cs="Arial" w:eastAsia="Arial" w:hAnsi="Arial"/>
                <w:sz w:val="14"/>
                <w:szCs w:val="14"/>
                <w:color w:val="auto"/>
                <w:w w:val="92"/>
              </w:rPr>
              <w:t>Energy/Utilities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7.39%</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22" w:lineRule="exact"/>
              <w:rPr>
                <w:sz w:val="20"/>
                <w:szCs w:val="20"/>
                <w:color w:val="auto"/>
              </w:rPr>
            </w:pPr>
            <w:r>
              <w:rPr>
                <w:rFonts w:ascii="Arial" w:cs="Arial" w:eastAsia="Arial" w:hAnsi="Arial"/>
                <w:sz w:val="14"/>
                <w:szCs w:val="14"/>
                <w:color w:val="auto"/>
              </w:rPr>
              <w:t>11,776,589</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10,410,000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7/29/2014</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8"/>
              </w:rPr>
              <w:t>Environmental Services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L+600</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6,237,317</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6,237,317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Generics International (U.S.), Inc.</w:t>
            </w:r>
          </w:p>
        </w:tc>
        <w:tc>
          <w:tcPr>
            <w:tcW w:w="100" w:type="dxa"/>
            <w:vAlign w:val="bottom"/>
            <w:shd w:val="clear" w:color="auto" w:fill="CCEEFF"/>
          </w:tcPr>
          <w:p>
            <w:pPr>
              <w:spacing w:after="0"/>
              <w:rPr>
                <w:sz w:val="12"/>
                <w:szCs w:val="12"/>
                <w:color w:val="auto"/>
              </w:rPr>
            </w:pPr>
          </w:p>
        </w:tc>
        <w:tc>
          <w:tcPr>
            <w:tcW w:w="28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4/30/2015   Healthcare, Education and Childcare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7.79%</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11,958,469</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2,570,357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11/1/2017</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12/15/2014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3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3,219,319</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12/15/2015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1,773,703</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10/15/2017</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13.50%</w:t>
            </w:r>
          </w:p>
        </w:tc>
        <w:tc>
          <w:tcPr>
            <w:tcW w:w="32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22"/>
                <w:szCs w:val="22"/>
                <w:color w:val="auto"/>
                <w:vertAlign w:val="superscript"/>
              </w:rPr>
              <w:t>(5)</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5/15/2017</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8"/>
              </w:rPr>
              <w:t>Transportation</w:t>
            </w:r>
          </w:p>
        </w:tc>
        <w:tc>
          <w:tcPr>
            <w:tcW w:w="600" w:type="dxa"/>
            <w:vAlign w:val="bottom"/>
          </w:tcPr>
          <w:p>
            <w:pPr>
              <w:jc w:val="right"/>
              <w:spacing w:after="0"/>
              <w:rPr>
                <w:sz w:val="20"/>
                <w:szCs w:val="20"/>
                <w:color w:val="auto"/>
              </w:rPr>
            </w:pPr>
            <w:r>
              <w:rPr>
                <w:rFonts w:ascii="Arial" w:cs="Arial" w:eastAsia="Arial" w:hAnsi="Arial"/>
                <w:sz w:val="14"/>
                <w:szCs w:val="14"/>
                <w:color w:val="auto"/>
              </w:rPr>
              <w:t>12.50%</w:t>
            </w:r>
          </w:p>
        </w:tc>
        <w:tc>
          <w:tcPr>
            <w:tcW w:w="320" w:type="dxa"/>
            <w:vAlign w:val="bottom"/>
          </w:tcPr>
          <w:p>
            <w:pPr>
              <w:spacing w:after="0"/>
              <w:rPr>
                <w:sz w:val="24"/>
                <w:szCs w:val="2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17,039,991</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-3915410</wp:posOffset>
            </wp:positionV>
            <wp:extent cx="7246620" cy="946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-3538220</wp:posOffset>
            </wp:positionV>
            <wp:extent cx="7246620" cy="946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-1034415</wp:posOffset>
            </wp:positionV>
            <wp:extent cx="7246620" cy="946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4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2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3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4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Sheridan Holdings, Inc.</w:t>
            </w:r>
          </w:p>
        </w:tc>
        <w:tc>
          <w:tcPr>
            <w:tcW w:w="1520" w:type="dxa"/>
            <w:vAlign w:val="bottom"/>
            <w:gridSpan w:val="3"/>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6/15/2015</w:t>
            </w:r>
          </w:p>
        </w:tc>
        <w:tc>
          <w:tcPr>
            <w:tcW w:w="2160" w:type="dxa"/>
            <w:vAlign w:val="bottom"/>
            <w:gridSpan w:val="3"/>
            <w:shd w:val="clear" w:color="auto" w:fill="CCEEFF"/>
          </w:tcPr>
          <w:p>
            <w:pPr>
              <w:jc w:val="center"/>
              <w:spacing w:after="0" w:line="105" w:lineRule="exact"/>
              <w:rPr>
                <w:sz w:val="20"/>
                <w:szCs w:val="20"/>
                <w:color w:val="auto"/>
              </w:rPr>
            </w:pPr>
            <w:r>
              <w:rPr>
                <w:rFonts w:ascii="Arial" w:cs="Arial" w:eastAsia="Arial" w:hAnsi="Arial"/>
                <w:sz w:val="12"/>
                <w:szCs w:val="12"/>
                <w:color w:val="auto"/>
              </w:rPr>
              <w:t>Healthcare, Education and</w:t>
            </w:r>
          </w:p>
        </w:tc>
        <w:tc>
          <w:tcPr>
            <w:tcW w:w="620" w:type="dxa"/>
            <w:vAlign w:val="bottom"/>
            <w:shd w:val="clear" w:color="auto" w:fill="CCEEFF"/>
          </w:tcPr>
          <w:p>
            <w:pPr>
              <w:jc w:val="right"/>
              <w:spacing w:after="0" w:line="105" w:lineRule="exact"/>
              <w:rPr>
                <w:sz w:val="20"/>
                <w:szCs w:val="20"/>
                <w:color w:val="auto"/>
              </w:rPr>
            </w:pPr>
            <w:r>
              <w:rPr>
                <w:rFonts w:ascii="Arial" w:cs="Arial" w:eastAsia="Arial" w:hAnsi="Arial"/>
                <w:sz w:val="9"/>
                <w:szCs w:val="9"/>
                <w:color w:val="auto"/>
              </w:rPr>
              <w:t>6.05%</w:t>
            </w:r>
            <w:r>
              <w:rPr>
                <w:rFonts w:ascii="Arial" w:cs="Arial" w:eastAsia="Arial" w:hAnsi="Arial"/>
                <w:sz w:val="12"/>
                <w:szCs w:val="12"/>
                <w:color w:val="auto"/>
                <w:vertAlign w:val="superscript"/>
              </w:rPr>
              <w:t>(6)</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ind w:left="100"/>
              <w:spacing w:after="0" w:line="105" w:lineRule="exact"/>
              <w:rPr>
                <w:sz w:val="20"/>
                <w:szCs w:val="20"/>
                <w:color w:val="auto"/>
              </w:rPr>
            </w:pPr>
            <w:r>
              <w:rPr>
                <w:rFonts w:ascii="Arial" w:cs="Arial" w:eastAsia="Arial" w:hAnsi="Arial"/>
                <w:sz w:val="12"/>
                <w:szCs w:val="12"/>
                <w:color w:val="auto"/>
              </w:rPr>
              <w:t>L+575</w:t>
            </w:r>
          </w:p>
        </w:tc>
        <w:tc>
          <w:tcPr>
            <w:tcW w:w="16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60"/>
              <w:spacing w:after="0" w:line="105" w:lineRule="exact"/>
              <w:rPr>
                <w:sz w:val="20"/>
                <w:szCs w:val="20"/>
                <w:color w:val="auto"/>
              </w:rPr>
            </w:pPr>
            <w:r>
              <w:rPr>
                <w:rFonts w:ascii="Arial" w:cs="Arial" w:eastAsia="Arial" w:hAnsi="Arial"/>
                <w:sz w:val="12"/>
                <w:szCs w:val="12"/>
                <w:color w:val="auto"/>
              </w:rPr>
              <w:t>$21,500,000</w:t>
            </w:r>
          </w:p>
        </w:tc>
        <w:tc>
          <w:tcPr>
            <w:tcW w:w="880" w:type="dxa"/>
            <w:vAlign w:val="bottom"/>
            <w:gridSpan w:val="5"/>
            <w:shd w:val="clear" w:color="auto" w:fill="CCEEFF"/>
          </w:tcPr>
          <w:p>
            <w:pPr>
              <w:jc w:val="right"/>
              <w:ind w:right="80"/>
              <w:spacing w:after="0" w:line="105" w:lineRule="exact"/>
              <w:rPr>
                <w:sz w:val="20"/>
                <w:szCs w:val="20"/>
                <w:color w:val="auto"/>
              </w:rPr>
            </w:pPr>
            <w:r>
              <w:rPr>
                <w:rFonts w:ascii="Arial" w:cs="Arial" w:eastAsia="Arial" w:hAnsi="Arial"/>
                <w:sz w:val="12"/>
                <w:szCs w:val="12"/>
                <w:color w:val="auto"/>
              </w:rPr>
              <w:t>$ 19,211,412</w:t>
            </w:r>
          </w:p>
        </w:tc>
        <w:tc>
          <w:tcPr>
            <w:tcW w:w="8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2"/>
                <w:szCs w:val="12"/>
                <w:color w:val="auto"/>
              </w:rPr>
              <w:t>$ 19,887,500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800"/>
              <w:spacing w:after="0"/>
              <w:rPr>
                <w:sz w:val="20"/>
                <w:szCs w:val="20"/>
                <w:color w:val="auto"/>
              </w:rPr>
            </w:pPr>
            <w:r>
              <w:rPr>
                <w:rFonts w:ascii="Arial" w:cs="Arial" w:eastAsia="Arial" w:hAnsi="Arial"/>
                <w:sz w:val="14"/>
                <w:szCs w:val="14"/>
                <w:color w:val="auto"/>
                <w:w w:val="87"/>
              </w:rPr>
              <w:t>Childcare</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L+700</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6/15/2015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17,811,488</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151,611,934</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11/15/2015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12/15/2016</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18,885,000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4/17/2015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7,973,429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3/22/2014</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20,720,892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5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4/1/2015</w:t>
            </w:r>
          </w:p>
        </w:tc>
        <w:tc>
          <w:tcPr>
            <w:tcW w:w="21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12.50%</w:t>
            </w:r>
          </w:p>
        </w:tc>
        <w:tc>
          <w:tcPr>
            <w:tcW w:w="64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24,379,843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6"/>
              </w:rPr>
              <w:t>Products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6/6/2014</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23,283,292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6/30/2016</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3,947,368</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3,194,611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10/15/2016</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 xml:space="preserve">13.00% </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4/15/2015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12.38%</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9,055,731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12/29/2015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11,721,019</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11,361,858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10/1/2016</w:t>
            </w:r>
          </w:p>
        </w:tc>
        <w:tc>
          <w:tcPr>
            <w:tcW w:w="84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20,501,960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20,331,704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21,098,000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12/31/2015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14,636,487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12/31/2012</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213,271,563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12.00%</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797</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9.00%</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144,375</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144,376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8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13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800"/>
              <w:spacing w:after="0" w:line="15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tcPr>
          <w:p>
            <w:pPr>
              <w:spacing w:after="0"/>
              <w:rPr>
                <w:sz w:val="14"/>
                <w:szCs w:val="14"/>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8.00%</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91,608</w:t>
            </w: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Maturity</w:t>
            </w:r>
          </w:p>
        </w:tc>
      </w:tr>
      <w:tr>
        <w:trPr>
          <w:trHeight w:val="138"/>
        </w:trPr>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b w:val="1"/>
                <w:bCs w:val="1"/>
                <w:color w:val="auto"/>
              </w:rPr>
              <w:t>Common</w:t>
            </w:r>
          </w:p>
        </w:tc>
        <w:tc>
          <w:tcPr>
            <w:tcW w:w="3880" w:type="dxa"/>
            <w:vAlign w:val="bottom"/>
          </w:tcPr>
          <w:p>
            <w:pPr>
              <w:spacing w:after="0" w:line="138" w:lineRule="exact"/>
              <w:rPr>
                <w:sz w:val="20"/>
                <w:szCs w:val="20"/>
                <w:color w:val="auto"/>
              </w:rPr>
            </w:pPr>
            <w:r>
              <w:rPr>
                <w:rFonts w:ascii="Arial" w:cs="Arial" w:eastAsia="Arial" w:hAnsi="Arial"/>
                <w:sz w:val="10"/>
                <w:szCs w:val="10"/>
                <w:b w:val="1"/>
                <w:bCs w:val="1"/>
                <w:color w:val="auto"/>
              </w:rPr>
              <w:t>Equity/Warrants/Partnership Interests—9.9%</w:t>
            </w:r>
            <w:r>
              <w:rPr>
                <w:rFonts w:ascii="Arial" w:cs="Arial" w:eastAsia="Arial" w:hAnsi="Arial"/>
                <w:sz w:val="15"/>
                <w:szCs w:val="15"/>
                <w:b w:val="1"/>
                <w:bCs w:val="1"/>
                <w:color w:val="auto"/>
                <w:vertAlign w:val="superscript"/>
              </w:rPr>
              <w:t>(7)</w:t>
            </w:r>
          </w:p>
        </w:tc>
        <w:tc>
          <w:tcPr>
            <w:tcW w:w="2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(Consolidated Foundries,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32"/>
        </w:trPr>
        <w:tc>
          <w:tcPr>
            <w:tcW w:w="4640" w:type="dxa"/>
            <w:vAlign w:val="bottom"/>
            <w:gridSpan w:val="2"/>
          </w:tcPr>
          <w:p>
            <w:pPr>
              <w:spacing w:after="0" w:line="133" w:lineRule="exact"/>
              <w:rPr>
                <w:sz w:val="20"/>
                <w:szCs w:val="20"/>
                <w:color w:val="auto"/>
              </w:rPr>
            </w:pPr>
            <w:r>
              <w:rPr>
                <w:rFonts w:ascii="Arial" w:cs="Arial" w:eastAsia="Arial" w:hAnsi="Arial"/>
                <w:sz w:val="14"/>
                <w:szCs w:val="14"/>
                <w:color w:val="auto"/>
              </w:rPr>
              <w:t>EnviroSolutions, Inc. (Warrants)</w:t>
            </w:r>
          </w:p>
        </w:tc>
        <w:tc>
          <w:tcPr>
            <w:tcW w:w="280" w:type="dxa"/>
            <w:vAlign w:val="bottom"/>
          </w:tcPr>
          <w:p>
            <w:pPr>
              <w:spacing w:after="0"/>
              <w:rPr>
                <w:sz w:val="11"/>
                <w:szCs w:val="11"/>
                <w:color w:val="auto"/>
              </w:rPr>
            </w:pPr>
          </w:p>
        </w:tc>
        <w:tc>
          <w:tcPr>
            <w:tcW w:w="62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w:t>
            </w:r>
          </w:p>
        </w:tc>
      </w:tr>
      <w:tr>
        <w:trPr>
          <w:trHeight w:val="165"/>
        </w:trPr>
        <w:tc>
          <w:tcPr>
            <w:tcW w:w="4640" w:type="dxa"/>
            <w:vAlign w:val="bottom"/>
            <w:gridSpan w:val="2"/>
          </w:tcPr>
          <w:p>
            <w:pPr>
              <w:spacing w:after="0" w:line="165" w:lineRule="exact"/>
              <w:rPr>
                <w:sz w:val="20"/>
                <w:szCs w:val="20"/>
                <w:color w:val="auto"/>
              </w:rPr>
            </w:pPr>
            <w:r>
              <w:rPr>
                <w:rFonts w:ascii="Arial" w:cs="Arial" w:eastAsia="Arial" w:hAnsi="Arial"/>
                <w:sz w:val="12"/>
                <w:szCs w:val="12"/>
                <w:color w:val="auto"/>
              </w:rPr>
              <w:t xml:space="preserve">i2 Holdings Ltd. </w:t>
            </w:r>
            <w:r>
              <w:rPr>
                <w:rFonts w:ascii="Arial" w:cs="Arial" w:eastAsia="Arial" w:hAnsi="Arial"/>
                <w:sz w:val="19"/>
                <w:szCs w:val="19"/>
                <w:color w:val="auto"/>
                <w:vertAlign w:val="superscript"/>
              </w:rPr>
              <w:t>(10)</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A</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640" w:type="dxa"/>
            <w:vAlign w:val="bottom"/>
            <w:gridSpan w:val="2"/>
          </w:tcPr>
          <w:p>
            <w:pPr>
              <w:ind w:left="220"/>
              <w:spacing w:after="0"/>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4/27/2020</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12/29/2019</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(Greatwide Logistics Services, L.L.C)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VText Holdings, Inc.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46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4640" w:type="dxa"/>
            <w:vAlign w:val="bottom"/>
            <w:gridSpan w:val="2"/>
          </w:tcPr>
          <w:p>
            <w:pPr>
              <w:spacing w:after="0" w:line="167" w:lineRule="exact"/>
              <w:rPr>
                <w:sz w:val="20"/>
                <w:szCs w:val="20"/>
                <w:color w:val="auto"/>
              </w:rPr>
            </w:pPr>
            <w:r>
              <w:rPr>
                <w:rFonts w:ascii="Arial" w:cs="Arial" w:eastAsia="Arial" w:hAnsi="Arial"/>
                <w:sz w:val="12"/>
                <w:szCs w:val="12"/>
                <w:b w:val="1"/>
                <w:bCs w:val="1"/>
                <w:color w:val="auto"/>
              </w:rPr>
              <w:t>Investments in Non-Controlled, Affiliated Portfolio Companies—4.0%</w:t>
            </w:r>
            <w:r>
              <w:rPr>
                <w:rFonts w:ascii="Arial" w:cs="Arial" w:eastAsia="Arial" w:hAnsi="Arial"/>
                <w:sz w:val="19"/>
                <w:szCs w:val="19"/>
                <w:b w:val="1"/>
                <w:bCs w:val="1"/>
                <w:color w:val="auto"/>
                <w:vertAlign w:val="superscript"/>
              </w:rPr>
              <w:t>(1),(2)</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46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Second Lien Secured Debt—2.0%</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1/16/2015</w:t>
            </w:r>
          </w:p>
        </w:tc>
      </w:tr>
      <w:tr>
        <w:trPr>
          <w:trHeight w:val="300"/>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Subordinated Debt/Corporate Notes—1.5%</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7/16/2015</w:t>
            </w:r>
          </w:p>
        </w:tc>
      </w:tr>
      <w:tr>
        <w:trPr>
          <w:trHeight w:val="408"/>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Common Equity/Partnership Interest—0.5%</w:t>
            </w:r>
            <w:r>
              <w:rPr>
                <w:rFonts w:ascii="Arial" w:cs="Arial" w:eastAsia="Arial" w:hAnsi="Arial"/>
                <w:sz w:val="22"/>
                <w:szCs w:val="22"/>
                <w:b w:val="1"/>
                <w:bCs w:val="1"/>
                <w:color w:val="auto"/>
                <w:vertAlign w:val="superscript"/>
              </w:rPr>
              <w:t>(7)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NCP-Performance (Performance Holdings, Inc.)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Industry</w:t>
            </w:r>
          </w:p>
        </w:tc>
        <w:tc>
          <w:tcPr>
            <w:tcW w:w="700" w:type="dxa"/>
            <w:vAlign w:val="bottom"/>
          </w:tcPr>
          <w:p>
            <w:pPr>
              <w:spacing w:after="0"/>
              <w:rPr>
                <w:sz w:val="16"/>
                <w:szCs w:val="16"/>
                <w:color w:val="auto"/>
              </w:rPr>
            </w:pPr>
          </w:p>
        </w:tc>
        <w:tc>
          <w:tcPr>
            <w:tcW w:w="48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3"/>
              </w:rPr>
              <w:t>Coupon</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Cost</w:t>
            </w:r>
          </w:p>
        </w:tc>
        <w:tc>
          <w:tcPr>
            <w:tcW w:w="3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8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Broadcasting and Entertainment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1,333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  3,000,000</w:t>
            </w:r>
          </w:p>
        </w:tc>
        <w:tc>
          <w:tcPr>
            <w:tcW w:w="0" w:type="dxa"/>
            <w:vAlign w:val="bottom"/>
          </w:tcPr>
          <w:p>
            <w:pPr>
              <w:spacing w:after="0"/>
              <w:rPr>
                <w:sz w:val="1"/>
                <w:szCs w:val="1"/>
                <w:color w:val="auto"/>
              </w:rPr>
            </w:pPr>
          </w:p>
        </w:tc>
      </w:tr>
      <w:tr>
        <w:trPr>
          <w:trHeight w:val="297"/>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5"/>
              </w:rPr>
              <w:t>Aerospace and Defense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16,271</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27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5,556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3,200,000</w:t>
            </w: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Environmental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24,375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Environmental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3,027,906</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Aerospace and Defense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457,322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8,999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1,780,693</w:t>
            </w: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7"/>
              </w:rPr>
              <w:t>Childcare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8,999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857,339</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Education</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7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1,055,932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2,464,999</w:t>
            </w: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297"/>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4,325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1,306,167</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27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531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7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Cargo Transport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137,923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2,111,588</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color w:val="auto"/>
                <w:w w:val="84"/>
              </w:rPr>
              <w:t>Insurance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9,843</w:t>
            </w: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35,526</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4,050,000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1"/>
              </w:rPr>
              <w:t>24,595,148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2"/>
              </w:rPr>
              <w:t>631,280,755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641,290,626</w:t>
            </w:r>
          </w:p>
        </w:tc>
        <w:tc>
          <w:tcPr>
            <w:tcW w:w="0" w:type="dxa"/>
            <w:vAlign w:val="bottom"/>
          </w:tcPr>
          <w:p>
            <w:pPr>
              <w:spacing w:after="0"/>
              <w:rPr>
                <w:sz w:val="1"/>
                <w:szCs w:val="1"/>
                <w:color w:val="auto"/>
              </w:rPr>
            </w:pPr>
          </w:p>
        </w:tc>
      </w:tr>
      <w:tr>
        <w:trPr>
          <w:trHeight w:val="44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7.50%</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w w:val="90"/>
              </w:rPr>
              <w:t>L+650</w:t>
            </w:r>
            <w:r>
              <w:rPr>
                <w:rFonts w:ascii="Arial" w:cs="Arial" w:eastAsia="Arial" w:hAnsi="Arial"/>
                <w:sz w:val="22"/>
                <w:szCs w:val="22"/>
                <w:color w:val="auto"/>
                <w:w w:val="90"/>
                <w:vertAlign w:val="superscript"/>
              </w:rPr>
              <w:t>(8)</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8,000,000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2"/>
              </w:rPr>
              <w:t>15.00%</w:t>
            </w:r>
            <w:r>
              <w:rPr>
                <w:rFonts w:ascii="Arial" w:cs="Arial" w:eastAsia="Arial" w:hAnsi="Arial"/>
                <w:sz w:val="22"/>
                <w:szCs w:val="22"/>
                <w:color w:val="auto"/>
                <w:w w:val="82"/>
                <w:vertAlign w:val="superscript"/>
              </w:rPr>
              <w:t>(6)</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5,848,176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5,677,648</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37,500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-3661410</wp:posOffset>
            </wp:positionV>
            <wp:extent cx="7246620" cy="946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-3472815</wp:posOffset>
            </wp:positionV>
            <wp:extent cx="724662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-3094990</wp:posOffset>
            </wp:positionV>
            <wp:extent cx="7246620" cy="946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-2906395</wp:posOffset>
            </wp:positionV>
            <wp:extent cx="7246620" cy="946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-2614930</wp:posOffset>
            </wp:positionV>
            <wp:extent cx="7246620"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-2331720</wp:posOffset>
            </wp:positionV>
            <wp:extent cx="7246620" cy="946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-2049145</wp:posOffset>
            </wp:positionV>
            <wp:extent cx="724662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-1765935</wp:posOffset>
            </wp:positionV>
            <wp:extent cx="724662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-1482725</wp:posOffset>
            </wp:positionV>
            <wp:extent cx="7246620" cy="946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-1276985</wp:posOffset>
            </wp:positionV>
            <wp:extent cx="7246620" cy="946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-1054100</wp:posOffset>
            </wp:positionV>
            <wp:extent cx="7246620" cy="946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-865505</wp:posOffset>
            </wp:positionV>
            <wp:extent cx="724662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-565150</wp:posOffset>
            </wp:positionV>
            <wp:extent cx="724662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-196850</wp:posOffset>
            </wp:positionV>
            <wp:extent cx="724662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40" w:space="200"/>
            <w:col w:w="568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17,427,648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15,433,680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Companies—2.1%</w:t>
            </w:r>
            <w:r>
              <w:rPr>
                <w:rFonts w:ascii="Arial" w:cs="Arial" w:eastAsia="Arial" w:hAnsi="Arial"/>
                <w:sz w:val="17"/>
                <w:szCs w:val="17"/>
                <w:b w:val="1"/>
                <w:bCs w:val="1"/>
                <w:color w:val="auto"/>
                <w:vertAlign w:val="superscript"/>
              </w:rPr>
              <w:t>(1),(2)</w:t>
            </w:r>
          </w:p>
        </w:tc>
        <w:tc>
          <w:tcPr>
            <w:tcW w:w="1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13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6/30/2020</w:t>
            </w:r>
          </w:p>
        </w:tc>
        <w:tc>
          <w:tcPr>
            <w:tcW w:w="1540" w:type="dxa"/>
            <w:vAlign w:val="bottom"/>
          </w:tcPr>
          <w:p>
            <w:pPr>
              <w:ind w:left="300"/>
              <w:spacing w:after="0" w:line="149" w:lineRule="exact"/>
              <w:rPr>
                <w:sz w:val="20"/>
                <w:szCs w:val="20"/>
                <w:color w:val="auto"/>
              </w:rPr>
            </w:pPr>
            <w:r>
              <w:rPr>
                <w:rFonts w:ascii="Arial" w:cs="Arial" w:eastAsia="Arial" w:hAnsi="Arial"/>
                <w:sz w:val="14"/>
                <w:szCs w:val="14"/>
                <w:color w:val="auto"/>
              </w:rPr>
              <w:t>Business Services</w:t>
            </w:r>
          </w:p>
        </w:tc>
        <w:tc>
          <w:tcPr>
            <w:tcW w:w="980" w:type="dxa"/>
            <w:vAlign w:val="bottom"/>
            <w:vMerge w:val="continue"/>
          </w:tcPr>
          <w:p>
            <w:pPr>
              <w:spacing w:after="0"/>
              <w:rPr>
                <w:sz w:val="12"/>
                <w:szCs w:val="12"/>
                <w:color w:val="auto"/>
              </w:rPr>
            </w:pP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4,800,000</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4,800,000</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52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5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380" w:type="dxa"/>
            <w:vAlign w:val="bottom"/>
          </w:tcPr>
          <w:p>
            <w:pPr>
              <w:spacing w:after="0"/>
              <w:rPr>
                <w:sz w:val="12"/>
                <w:szCs w:val="12"/>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520" w:type="dxa"/>
            <w:vAlign w:val="bottom"/>
          </w:tcPr>
          <w:p>
            <w:pPr>
              <w:spacing w:after="0"/>
              <w:rPr>
                <w:sz w:val="12"/>
                <w:szCs w:val="12"/>
                <w:color w:val="auto"/>
              </w:rPr>
            </w:pPr>
          </w:p>
        </w:tc>
        <w:tc>
          <w:tcPr>
            <w:tcW w:w="56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9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Notes—0.3%</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6/30/2020</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1,200,000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1,142,398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2,000,000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8,000,100</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Investments—172.0%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2"/>
              </w:rPr>
              <w:t>656,708,503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664,724,406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1,814,451</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Equivalents—172.5%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658,522,954</w:t>
            </w: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666,538,857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 to our wholly owned, consolidated Small Business Investment Company, or SBIC, PennantPark SBIC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or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During the year ended September 30, 2011, PennantPark Investment sold 9.2 million shares in a follow-on public offering including the overallotment, resulting in net proceeds of $108.3 million.</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externally managed by PennantPark Investment Advisers, LLC, the Investment Adviser or PennantPark Investment Advisers. PennantPark Investment Administration, LLC, or the Administrator or PennantPark Investment Administration provides the administrative services necessary for us to operate.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SBIC LP, or either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or SBA, to operate as a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For more information, See Note 3 to the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300" w:hanging="446"/>
        <w:spacing w:after="0" w:line="33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$0.2 million for the fiscal year ended September 30, 2011.</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8 to the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those fiscal years. The amendments of ASU 2011-04, when adopted, are not expected to have a material impact on our consolidated financial statements and the company is currently evaluating the impact on its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Investment’s Management Agreement with the Investment Adviser, was re-approved by our board of directors, including a majority of our directors who are not interested persons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base management fee is calculated at an annual rate of 2.00% on PennantPark Investment’s “average adjusted gross assets” (net of U.S. Treasury Bills and/or temporary draws, if any, on the Credit Facility, as defined in Note 11).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fiscal years ended September 30, 2011, 2010 and 2009, the Investment Adviser earned a net base management fee of $14.9 million, $11.6 million and $7.7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received an incentive fee of $13.2 million, $8.0 million and $5.7 million, respectively, from us.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the Administration Agreement PennantPark Investment Administration provides administrative services for PennantPark Investment. TheAdministrator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years ended September 30, 2011 and 2010, PennantPark Investment was reimbursed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2011, 2010 and 2009 totaled $490.6 million, $315.8 million and $117.4 million, respectively. Sales and repayments of long-term investments for the fiscal years ended September 30, 2011, 2010 and 2009 totaled $304.0 million, $145.2 million and $28.0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September 30, 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$ 305,608,989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$ 296,488,131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234,595,683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lien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189,962,828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165,272,201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325,318,958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Preferred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12,268,187</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9,762,932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866,322,836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827,548,515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664,724,406</w:t>
            </w: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$ 937,927,355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$ 899,153,034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 2011 and September 30,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6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5640" w:type="dxa"/>
            <w:vAlign w:val="bottom"/>
            <w:vMerge w:val="continue"/>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40" w:type="dxa"/>
            <w:vAlign w:val="bottom"/>
          </w:tcPr>
          <w:p>
            <w:pPr>
              <w:ind w:left="278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impacting Level 3 of the fair value hierarchy are reported as transfers in or out of the Level 3 category as of the end of the quarter in which the reclassifications occur. During fiscal year ended September 30, 2011, our ability to observe valuation inputs has resulted in a reclassification of assets from Level 3 to Level 2. There were no investments transferred between Levels 1 and 2 during the fical year ended September 30, 2011.</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2011 and 2010,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$771,089,501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38,395,050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899,153,034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75,649,114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2010</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49,488,268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666,538,857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6,164,891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gridSpan w:val="2"/>
          </w:tcPr>
          <w:p>
            <w:pPr>
              <w:jc w:val="right"/>
              <w:ind w:right="1758"/>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Year Ended September 30, 2011</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615,236,138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45,137,828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660,373,966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10,194,422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6,065,196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16,259,618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(48,568,848)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2,904,075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486,512,694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9,969,861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496,482,555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(292,284,905)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(11,723,632)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(304,008,537)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Ending Balance, September 30, 2011</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732,694,451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52,353,328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785,047,779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(24,916,057)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2,186,601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(22,729,456)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2010</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442,128,049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27,632,024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469,760,073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(12,411,934)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(3,005,163)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31,964,795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304,625,814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12,984,260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317,610,074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(138,765,449)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(138,772,371)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(12,305,137)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5,840,149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Ending Balance, September 30, 2010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615,236,138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45,137,828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660,373,966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(1,311,683)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(Cost—$227,900,000)</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407,500,000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2011, at fair value,</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(Cost—$240,900,000)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238,792,125</w:t>
            </w:r>
          </w:p>
        </w:tc>
        <w:tc>
          <w:tcPr>
            <w:tcW w:w="120" w:type="dxa"/>
            <w:vAlign w:val="bottom"/>
          </w:tcPr>
          <w:p>
            <w:pPr>
              <w:spacing w:after="0"/>
              <w:rPr>
                <w:sz w:val="19"/>
                <w:szCs w:val="19"/>
                <w:color w:val="auto"/>
              </w:rPr>
            </w:pPr>
          </w:p>
        </w:tc>
      </w:tr>
      <w:tr>
        <w:trPr>
          <w:trHeight w:val="466"/>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 (Cost—$218,100,000)</w:t>
            </w:r>
          </w:p>
        </w:tc>
        <w:tc>
          <w:tcPr>
            <w:tcW w:w="18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168,475,380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177,700,000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(167,900,000)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2010, at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(Cost—$227,900,000)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2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219,141,125</w:t>
            </w:r>
          </w:p>
        </w:tc>
        <w:tc>
          <w:tcPr>
            <w:tcW w:w="1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 affiliated company is a company in which we own 5% or more of the portfolio company’s voting securities. A controlled affiliate is a company in which we own 25% or more of a portfolio company’s voting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securities. Advances to and distributions from affiliates are included in the Consolidated Statements of Cash Flow under purchases. Transactions related to our investments with both controlled and non-controlled affiliates for the fiscal year ended September 30, 2011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Fair Value at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Name of Investment</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affiliates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4"/>
                <w:szCs w:val="14"/>
                <w:color w:val="auto"/>
              </w:rPr>
            </w:pPr>
          </w:p>
        </w:tc>
        <w:tc>
          <w:tcPr>
            <w:tcW w:w="700" w:type="dxa"/>
            <w:vAlign w:val="bottom"/>
          </w:tcPr>
          <w:p>
            <w:pPr>
              <w:jc w:val="right"/>
              <w:ind w:right="59"/>
              <w:spacing w:after="0" w:line="148" w:lineRule="exact"/>
              <w:rPr>
                <w:sz w:val="20"/>
                <w:szCs w:val="20"/>
                <w:color w:val="auto"/>
              </w:rPr>
            </w:pPr>
            <w:r>
              <w:rPr>
                <w:rFonts w:ascii="Arial" w:cs="Arial" w:eastAsia="Arial" w:hAnsi="Arial"/>
                <w:sz w:val="14"/>
                <w:szCs w:val="14"/>
                <w:b w:val="1"/>
                <w:bCs w:val="1"/>
                <w:color w:val="auto"/>
                <w:w w:val="87"/>
              </w:rPr>
              <w:t>Received</w:t>
            </w:r>
          </w:p>
        </w:tc>
        <w:tc>
          <w:tcPr>
            <w:tcW w:w="1080" w:type="dxa"/>
            <w:vAlign w:val="bottom"/>
            <w:gridSpan w:val="2"/>
          </w:tcPr>
          <w:p>
            <w:pPr>
              <w:jc w:val="center"/>
              <w:ind w:left="116"/>
              <w:spacing w:after="0" w:line="148"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$5,500,000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785,167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1,537,489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14,932,921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18,631,503</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1,305,502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25,740,212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42,065,283</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6,805,502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3,081,976</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54,173,134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5"/>
              </w:rPr>
              <w:t>Class and Year</w:t>
            </w:r>
          </w:p>
        </w:tc>
        <w:tc>
          <w:tcPr>
            <w:tcW w:w="7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ind w:left="7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10,263,474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16,535,491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35,802,029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42,196,076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21,092,334*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2011 and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(98,294)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98,294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and 2010, the cost of investments for federal income tax purposes was $865.8 million and $659.4 million, respectively, resulting in a gross unrealized appreciation of $31.3 million and $28.8 million, respectively, and gross unrealized depreciation of $69.6 million and $23.5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Years ended 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2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$ 10,263,474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$16,535,491</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$ 35,802,029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gain(loss) on investments not taxable</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(16,259,622)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15,417,097</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 and Credit Facility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58,641,223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(52,326,993)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(3,178,194)</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(321,805)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827,527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$ 49,695,705</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31,752,812</w:t>
            </w:r>
          </w:p>
        </w:tc>
        <w:tc>
          <w:tcPr>
            <w:tcW w:w="4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$ 23,546,442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1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17,639,482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(47,030,821)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(54,591,911)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(11,250,568)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(8,645,354)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(39,331,872)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(12,477,778)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(9,651,137)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(36,122,397)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19,300,499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22,096,807</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(77,991,514)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(42,136,121)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(26,505,872)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September 30, 2011, the capital loss carry forward of $47.0 million expires, if not utilized against future capital gains, as follows: $3.7 million in 2017 and $43.3 million in 2018.</w:t>
      </w:r>
    </w:p>
    <w:p>
      <w:pPr>
        <w:ind w:left="460" w:hanging="452"/>
        <w:spacing w:after="0"/>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2011 and 2010 were solely from ordinary income and totaled $46.3 million, or $1.10 per share, and $32.3 million, or $1.09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2011, cash equivalents consisted of $71.6 million, including amounts in money market funds.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(Dilutive) offering costs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Accretive (Dilutive) effect of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1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45,689,781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25,368,772</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21,068,772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Credit Facility related expenses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total expenses to average net assets</w:t>
            </w:r>
            <w:r>
              <w:rPr>
                <w:rFonts w:ascii="Arial" w:cs="Arial" w:eastAsia="Arial" w:hAnsi="Arial"/>
                <w:sz w:val="11"/>
                <w:szCs w:val="11"/>
                <w:color w:val="auto"/>
                <w:w w:val="98"/>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net investment income to average net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462,657,196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278,294,433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119,472,732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40.89%</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 annualized for a period of less than a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340" w:right="140" w:hanging="332"/>
        <w:spacing w:after="0" w:line="286" w:lineRule="auto"/>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Credit Facility. Upon our adoption Net Asset Value increased $41.8 million, or $1.99 per share, due to the fair value adjustment related to our Credit Facility.</w:t>
      </w: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and may differ from amounts determined under GAAP.</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340" w:right="320" w:hanging="332"/>
        <w:spacing w:after="0" w:line="250"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7.38%,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8.55%, 9.15% and (1.75%), respectively.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40" w:lineRule="exact"/>
        <w:rPr>
          <w:sz w:val="20"/>
          <w:szCs w:val="20"/>
          <w:color w:val="auto"/>
        </w:rPr>
      </w:pPr>
    </w:p>
    <w:p>
      <w:pPr>
        <w:ind w:left="460" w:right="7520" w:hanging="452"/>
        <w:spacing w:after="0" w:line="391" w:lineRule="auto"/>
        <w:tabs>
          <w:tab w:leader="none" w:pos="257"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CREDIT FACILITY AND SBA DEBENTURES Credit Facility</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or the Credit Facility, among us, various lenders and SunTrust Bank, as administrative agent for the lenders. As of September 30, 2011 and 2010, there was $240.9 million and $233.1 million in outstanding borrowings under the Credit Facility (including a $5.2 million temporary draw), with a weighted average interest rate at the time of 1.27% and 1.34% exclusive of the fee on undrawn commitment of 0.20%, respectively.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our Credit Facility, the lenders agreed to extend credit to PennantPark Investment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 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ratio was 294%, 266%, 271%, 204% and 2,804%, respectively. As of September 30, 2011, we have excluded the SBA debentures from our asset coverage ratio pursuant to an SEC exemptive relief. For a complete list of such covenants, see our report on Form 8-K, filed June 28, 2007 and on Form 10-Q, filed May 5, 2010. As of September 30, 2011, we were in compliance with our covenants relating to our Credit Facility.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Notes. SBA current regulations limit the amount that SBIC LP may borrow to a maximum of $150 million, which is up to twice its potential regulatory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the SBIC LP has accessed the maximum borrowing with its $75.0 million in regulatory capital.</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As of September 30, 2011</w:t>
            </w:r>
          </w:p>
        </w:tc>
        <w:tc>
          <w:tcPr>
            <w:tcW w:w="18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w w:val="97"/>
              </w:rPr>
              <w:t>As of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ind w:right="5"/>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Coupon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6"/>
              </w:rPr>
              <w:t>Coupon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Issuance Dates</w:t>
            </w:r>
          </w:p>
        </w:tc>
        <w:tc>
          <w:tcPr>
            <w:tcW w:w="5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2"/>
          </w:tcPr>
          <w:p>
            <w:pPr>
              <w:ind w:left="114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ind w:left="6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w w:val="87"/>
              </w:rPr>
              <w:t>Principal Balance</w:t>
            </w:r>
          </w:p>
        </w:tc>
        <w:tc>
          <w:tcPr>
            <w:tcW w:w="180" w:type="dxa"/>
            <w:vAlign w:val="bottom"/>
          </w:tcPr>
          <w:p>
            <w:pPr>
              <w:spacing w:after="0"/>
              <w:rPr>
                <w:sz w:val="15"/>
                <w:szCs w:val="15"/>
                <w:color w:val="auto"/>
              </w:rPr>
            </w:pPr>
          </w:p>
        </w:tc>
        <w:tc>
          <w:tcPr>
            <w:tcW w:w="500" w:type="dxa"/>
            <w:vAlign w:val="bottom"/>
          </w:tcPr>
          <w:p>
            <w:pPr>
              <w:ind w:left="4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70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Fixed SBA Debentures</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22, 2010</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2020</w:t>
            </w:r>
          </w:p>
        </w:tc>
        <w:tc>
          <w:tcPr>
            <w:tcW w:w="520" w:type="dxa"/>
            <w:vAlign w:val="bottom"/>
          </w:tcPr>
          <w:p>
            <w:pPr>
              <w:ind w:left="60"/>
              <w:spacing w:after="0"/>
              <w:rPr>
                <w:sz w:val="20"/>
                <w:szCs w:val="20"/>
                <w:color w:val="auto"/>
              </w:rPr>
            </w:pPr>
            <w:r>
              <w:rPr>
                <w:rFonts w:ascii="Arial" w:cs="Arial" w:eastAsia="Arial" w:hAnsi="Arial"/>
                <w:sz w:val="18"/>
                <w:szCs w:val="18"/>
                <w:color w:val="auto"/>
                <w:w w:val="86"/>
              </w:rPr>
              <w:t>3.50%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29, 2011</w:t>
            </w:r>
          </w:p>
        </w:tc>
        <w:tc>
          <w:tcPr>
            <w:tcW w:w="3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1, 2021</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44,500,000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21, 2011</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2021</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3.38%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105,000,000</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Interim SBA Debentures</w:t>
            </w: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0.84%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0.93%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gridSpan w:val="5"/>
            <w:vMerge w:val="restart"/>
          </w:tcPr>
          <w:p>
            <w:pPr>
              <w:spacing w:after="0"/>
              <w:rPr>
                <w:sz w:val="20"/>
                <w:szCs w:val="20"/>
                <w:color w:val="auto"/>
              </w:rPr>
            </w:pPr>
            <w:r>
              <w:rPr>
                <w:rFonts w:ascii="Arial" w:cs="Arial" w:eastAsia="Arial" w:hAnsi="Arial"/>
                <w:sz w:val="18"/>
                <w:szCs w:val="18"/>
                <w:color w:val="auto"/>
              </w:rPr>
              <w:t>SBA Commitment</w:t>
            </w: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20" w:type="dxa"/>
            <w:vAlign w:val="bottom"/>
            <w:gridSpan w:val="5"/>
            <w:vMerge w:val="continue"/>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September 30, 2011, SBIC LP was in compliance with our requirements relating to our SBA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60"/>
          </w:cols>
          <w:pgMar w:left="240" w:top="460" w:right="399" w:bottom="1440" w:gutter="0" w:footer="0" w:header="0"/>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503555</wp:posOffset>
            </wp:positionV>
            <wp:extent cx="2470150" cy="523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9,000,000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551180</wp:posOffset>
            </wp:positionV>
            <wp:extent cx="40563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198755</wp:posOffset>
            </wp:positionV>
            <wp:extent cx="40563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Bookrunners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Morgan Stanley</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Goldman, Sachs &amp; Co.</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J.P. Morgan</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SunTrust Robinson Humphrey</w:t>
      </w:r>
    </w:p>
    <w:p>
      <w:pPr>
        <w:spacing w:after="0" w:line="8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Credit Suisse</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RBC Capital Markets</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Stifel Nicolaus Weisel</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Evercore Partners</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FBR</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Janney Montgomery Scott</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Ladenburg Thalmann &amp; Co. Inc.</w:t>
      </w:r>
    </w:p>
    <w:p>
      <w:pPr>
        <w:spacing w:after="0" w:line="1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lowerLetter"/>
      <w:start w:val="2"/>
    </w:lvl>
    <w:lvl w:ilvl="1">
      <w:lvlJc w:val="left"/>
      <w:lvlText w:val="•"/>
      <w:numFmt w:val="bullet"/>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decimal"/>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1)"/>
      <w:numFmt w:val="decimal"/>
      <w:start w:val="1"/>
    </w:lvl>
  </w:abstractNum>
  <w:abstractNum w:abstractNumId="11">
    <w:nsid w:val="42C296BD"/>
    <w:multiLevelType w:val="hybridMultilevel"/>
    <w:lvl w:ilvl="0">
      <w:lvlJc w:val="left"/>
      <w:lvlText w:val="(%1)"/>
      <w:numFmt w:val="decimal"/>
      <w:start w:val="5"/>
    </w:lvl>
  </w:abstractNum>
  <w:abstractNum w:abstractNumId="12">
    <w:nsid w:val="168E121F"/>
    <w:multiLevelType w:val="hybridMultilevel"/>
    <w:lvl w:ilvl="0">
      <w:lvlJc w:val="left"/>
      <w:lvlText w:val="(%1)"/>
      <w:numFmt w:val="decimal"/>
      <w:start w:val="2"/>
    </w:lvl>
  </w:abstractNum>
  <w:abstractNum w:abstractNumId="13">
    <w:nsid w:val="1EBA5D23"/>
    <w:multiLevelType w:val="hybridMultilevel"/>
    <w:lvl w:ilvl="0">
      <w:lvlJc w:val="left"/>
      <w:lvlText w:val="(%1)"/>
      <w:numFmt w:val="lowerLetter"/>
      <w:start w:val="1"/>
    </w:lvl>
  </w:abstractNum>
  <w:abstractNum w:abstractNumId="14">
    <w:nsid w:val="661E3F1E"/>
    <w:multiLevelType w:val="hybridMultilevel"/>
    <w:lvl w:ilvl="0">
      <w:lvlJc w:val="left"/>
      <w:lvlText w:val="(%1)"/>
      <w:numFmt w:val="decimal"/>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1)"/>
      <w:numFmt w:val="lowerLetter"/>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1)"/>
      <w:numFmt w:val="lowerLetter"/>
      <w:start w:val="1"/>
    </w:lvl>
  </w:abstractNum>
  <w:abstractNum w:abstractNumId="22">
    <w:nsid w:val="42963E5A"/>
    <w:multiLevelType w:val="hybridMultilevel"/>
    <w:lvl w:ilvl="0">
      <w:lvlJc w:val="left"/>
      <w:lvlText w:val="(%1)"/>
      <w:numFmt w:val="decimal"/>
      <w:start w:val="1"/>
    </w:lvl>
  </w:abstractNum>
  <w:abstractNum w:abstractNumId="23">
    <w:nsid w:val="A0382C5"/>
    <w:multiLevelType w:val="hybridMultilevel"/>
    <w:lvl w:ilvl="0">
      <w:lvlJc w:val="left"/>
      <w:lvlText w:val="(%1)"/>
      <w:numFmt w:val="decimal"/>
      <w:start w:val="4"/>
    </w:lvl>
  </w:abstractNum>
  <w:abstractNum w:abstractNumId="24">
    <w:nsid w:val="8F2B15E"/>
    <w:multiLevelType w:val="hybridMultilevel"/>
    <w:lvl w:ilvl="0">
      <w:lvlJc w:val="left"/>
      <w:lvlText w:val="(%1)"/>
      <w:numFmt w:val="lowerLetter"/>
      <w:start w:val="2"/>
    </w:lvl>
  </w:abstractNum>
  <w:abstractNum w:abstractNumId="25">
    <w:nsid w:val="1A32234B"/>
    <w:multiLevelType w:val="hybridMultilevel"/>
    <w:lvl w:ilvl="0">
      <w:lvlJc w:val="left"/>
      <w:lvlText w:val="(%1)"/>
      <w:numFmt w:val="lowerLetter"/>
      <w:start w:val="3"/>
    </w:lvl>
  </w:abstractNum>
  <w:abstractNum w:abstractNumId="26">
    <w:nsid w:val="3B0FD379"/>
    <w:multiLevelType w:val="hybridMultilevel"/>
    <w:lvl w:ilvl="0">
      <w:lvlJc w:val="left"/>
      <w:lvlText w:val="(%1)"/>
      <w:numFmt w:val="lowerLetter"/>
      <w:start w:val="4"/>
    </w:lvl>
  </w:abstractNum>
  <w:abstractNum w:abstractNumId="27">
    <w:nsid w:val="68EB2F63"/>
    <w:multiLevelType w:val="hybridMultilevel"/>
    <w:lvl w:ilvl="0">
      <w:lvlJc w:val="left"/>
      <w:lvlText w:val="(%1)"/>
      <w:numFmt w:val="lowerLetter"/>
      <w:start w:val="5"/>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1."/>
      <w:numFmt w:val="decimal"/>
      <w:start w:val="10"/>
    </w:lvl>
  </w:abstractNum>
  <w:abstractNum w:abstractNumId="30">
    <w:nsid w:val="6A5EE64"/>
    <w:multiLevelType w:val="hybridMultilevel"/>
    <w:lvl w:ilvl="0">
      <w:lvlJc w:val="left"/>
      <w:lvlText w:val="(%1)"/>
      <w:numFmt w:val="decimal"/>
      <w:start w:val="1"/>
    </w:lvl>
  </w:abstractNum>
  <w:abstractNum w:abstractNumId="31">
    <w:nsid w:val="14330624"/>
    <w:multiLevelType w:val="hybridMultilevel"/>
    <w:lvl w:ilvl="0">
      <w:lvlJc w:val="left"/>
      <w:lvlText w:val="(%1)"/>
      <w:numFmt w:val="decimal"/>
      <w:start w:val="7"/>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decimal"/>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1)"/>
      <w:numFmt w:val="decimal"/>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1)"/>
      <w:numFmt w:val="decimal"/>
      <w:start w:val="1"/>
    </w:lvl>
  </w:abstractNum>
  <w:abstractNum w:abstractNumId="52">
    <w:nsid w:val="57FC4FBB"/>
    <w:multiLevelType w:val="hybridMultilevel"/>
    <w:lvl w:ilvl="0">
      <w:lvlJc w:val="left"/>
      <w:lvlText w:val="(%1)"/>
      <w:numFmt w:val="decimal"/>
      <w:start w:val="4"/>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5"/>
    </w:lvl>
  </w:abstractNum>
  <w:abstractNum w:abstractNumId="55">
    <w:nsid w:val="60EF0119"/>
    <w:multiLevelType w:val="hybridMultilevel"/>
    <w:lvl w:ilvl="0">
      <w:lvlJc w:val="left"/>
      <w:lvlText w:val="(%1)"/>
      <w:numFmt w:val="decimal"/>
      <w:start w:val="2"/>
    </w:lvl>
  </w:abstractNum>
  <w:abstractNum w:abstractNumId="56">
    <w:nsid w:val="26F324BA"/>
    <w:multiLevelType w:val="hybridMultilevel"/>
    <w:lvl w:ilvl="0">
      <w:lvlJc w:val="left"/>
      <w:lvlText w:val="(%1)"/>
      <w:numFmt w:val="upperLetter"/>
      <w:start w:val="2"/>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1)"/>
      <w:numFmt w:val="decimal"/>
      <w:start w:val="3"/>
    </w:lvl>
  </w:abstractNum>
  <w:abstractNum w:abstractNumId="59">
    <w:nsid w:val="7055A5F5"/>
    <w:multiLevelType w:val="hybridMultilevel"/>
    <w:lvl w:ilvl="0">
      <w:lvlJc w:val="left"/>
      <w:lvlText w:val="(%1)"/>
      <w:numFmt w:val="decimal"/>
      <w:start w:val="1"/>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1)"/>
      <w:numFmt w:val="decimal"/>
      <w:start w:val="1"/>
    </w:lvl>
  </w:abstractNum>
  <w:abstractNum w:abstractNumId="65">
    <w:nsid w:val="7672BD23"/>
    <w:multiLevelType w:val="hybridMultilevel"/>
    <w:lvl w:ilvl="0">
      <w:lvlJc w:val="left"/>
      <w:lvlText w:val="(%1)"/>
      <w:numFmt w:val="decimal"/>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lowerLetter"/>
      <w:start w:val="2"/>
    </w:lvl>
    <w:lvl w:ilvl="1">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lvl w:ilvl="1">
      <w:lvlJc w:val="left"/>
      <w:lvlText w:val="="/>
      <w:numFmt w:val="bullet"/>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
      <w:numFmt w:val="bullet"/>
      <w:start w:val="1"/>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
      <w:numFmt w:val="bullet"/>
      <w:start w:val="1"/>
    </w:lvl>
  </w:abstractNum>
  <w:abstractNum w:abstractNumId="110">
    <w:nsid w:val="3DB012B3"/>
    <w:multiLevelType w:val="hybridMultilevel"/>
    <w:lvl w:ilvl="0">
      <w:lvlJc w:val="left"/>
      <w:lvlText w:val="(%1)"/>
      <w:numFmt w:val="decimal"/>
      <w:start w:val="1"/>
    </w:lvl>
    <w:lvl w:ilvl="1">
      <w:lvlJc w:val="left"/>
      <w:lvlText w:val="(%2)"/>
      <w:numFmt w:val="lowerLetter"/>
      <w:start w:val="1"/>
    </w:lvl>
  </w:abstractNum>
  <w:abstractNum w:abstractNumId="111">
    <w:nsid w:val="2708C9AF"/>
    <w:multiLevelType w:val="hybridMultilevel"/>
    <w:lvl w:ilvl="0">
      <w:lvlJc w:val="left"/>
      <w:lvlText w:val="(%1)"/>
      <w:numFmt w:val="decimal"/>
      <w:start w:val="4"/>
    </w:lvl>
  </w:abstractNum>
  <w:abstractNum w:abstractNumId="112">
    <w:nsid w:val="5B25ACE2"/>
    <w:multiLevelType w:val="hybridMultilevel"/>
    <w:lvl w:ilvl="0">
      <w:lvlJc w:val="left"/>
      <w:lvlText w:val="•"/>
      <w:numFmt w:val="bullet"/>
      <w:start w:val="1"/>
    </w:lvl>
  </w:abstractNum>
  <w:abstractNum w:abstractNumId="113">
    <w:nsid w:val="175DFCF0"/>
    <w:multiLevelType w:val="hybridMultilevel"/>
    <w:lvl w:ilvl="0">
      <w:lvlJc w:val="left"/>
      <w:lvlText w:val="•"/>
      <w:numFmt w:val="bullet"/>
      <w:start w:val="1"/>
    </w:lvl>
  </w:abstractNum>
  <w:abstractNum w:abstractNumId="114">
    <w:nsid w:val="4F97E3E4"/>
    <w:multiLevelType w:val="hybridMultilevel"/>
    <w:lvl w:ilvl="0">
      <w:lvlJc w:val="left"/>
      <w:lvlText w:val="•"/>
      <w:numFmt w:val="bullet"/>
      <w:start w:val="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
      <w:numFmt w:val="bullet"/>
      <w:start w:val="1"/>
    </w:lvl>
    <w:lvl w:ilvl="1">
      <w:lvlJc w:val="left"/>
      <w:lvlText w:val="%2)"/>
      <w:numFmt w:val="decimal"/>
      <w:start w:val="1"/>
    </w:lvl>
  </w:abstractNum>
  <w:abstractNum w:abstractNumId="117">
    <w:nsid w:val="5915FF32"/>
    <w:multiLevelType w:val="hybridMultilevel"/>
    <w:lvl w:ilvl="0">
      <w:lvlJc w:val="left"/>
      <w:lvlText w:val="(%1)"/>
      <w:numFmt w:val="decimal"/>
      <w:start w:val="3"/>
    </w:lvl>
  </w:abstractNum>
  <w:abstractNum w:abstractNumId="118">
    <w:nsid w:val="56438D15"/>
    <w:multiLevelType w:val="hybridMultilevel"/>
    <w:lvl w:ilvl="0">
      <w:lvlJc w:val="left"/>
      <w:lvlText w:val="•"/>
      <w:numFmt w:val="bullet"/>
      <w:start w:val="1"/>
    </w:lvl>
  </w:abstractNum>
  <w:abstractNum w:abstractNumId="119">
    <w:nsid w:val="519E3149"/>
    <w:multiLevelType w:val="hybridMultilevel"/>
    <w:lvl w:ilvl="0">
      <w:lvlJc w:val="left"/>
      <w:lvlText w:val="(%1)"/>
      <w:numFmt w:val="decimal"/>
      <w:start w:val="1"/>
    </w:lvl>
  </w:abstractNum>
  <w:abstractNum w:abstractNumId="120">
    <w:nsid w:val="2C6E4AFD"/>
    <w:multiLevelType w:val="hybridMultilevel"/>
    <w:lvl w:ilvl="0">
      <w:lvlJc w:val="left"/>
      <w:lvlText w:val="(%1)"/>
      <w:numFmt w:val="decimal"/>
      <w:start w:val="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decimal"/>
      <w:start w:val="4"/>
    </w:lvl>
  </w:abstractNum>
  <w:abstractNum w:abstractNumId="124">
    <w:nsid w:val="5D888A08"/>
    <w:multiLevelType w:val="hybridMultilevel"/>
    <w:lvl w:ilvl="0">
      <w:lvlJc w:val="left"/>
      <w:lvlText w:val="(%1)"/>
      <w:numFmt w:val="lowerLetter"/>
      <w:start w:val="2"/>
    </w:lvl>
  </w:abstractNum>
  <w:abstractNum w:abstractNumId="125">
    <w:nsid w:val="2A082C70"/>
    <w:multiLevelType w:val="hybridMultilevel"/>
    <w:lvl w:ilvl="0">
      <w:lvlJc w:val="left"/>
      <w:lvlText w:val="(%1)"/>
      <w:numFmt w:val="lowerLetter"/>
      <w:start w:val="3"/>
    </w:lvl>
  </w:abstractNum>
  <w:abstractNum w:abstractNumId="126">
    <w:nsid w:val="5EC6AFD4"/>
    <w:multiLevelType w:val="hybridMultilevel"/>
    <w:lvl w:ilvl="0">
      <w:lvlJc w:val="left"/>
      <w:lvlText w:val="(%1)"/>
      <w:numFmt w:val="lowerLetter"/>
      <w:start w:val="4"/>
    </w:lvl>
  </w:abstractNum>
  <w:abstractNum w:abstractNumId="127">
    <w:nsid w:val="19E21BB2"/>
    <w:multiLevelType w:val="hybridMultilevel"/>
    <w:lvl w:ilvl="0">
      <w:lvlJc w:val="left"/>
      <w:lvlText w:val="(%1)"/>
      <w:numFmt w:val="lowerLetter"/>
      <w:start w:val="5"/>
    </w:lvl>
  </w:abstractNum>
  <w:abstractNum w:abstractNumId="128">
    <w:nsid w:val="75E0858A"/>
    <w:multiLevelType w:val="hybridMultilevel"/>
    <w:lvl w:ilvl="0">
      <w:lvlJc w:val="left"/>
      <w:lvlText w:val="(%1)"/>
      <w:numFmt w:val="lowerLetter"/>
      <w:start w:val="6"/>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2019-12-09T18:39:05Z</dcterms:created>
  <dcterms:modified xsi:type="dcterms:W3CDTF">2019-12-09T18:39:05Z</dcterms:modified>
</cp:coreProperties>
</file>