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708062104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L.P.</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4.87%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IA — Investment Adviser</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LLC</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4.87%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CHARLES I. CLOUGH, JR.</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4.87%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JAMES E. CANTY</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4.87%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5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w w:val="97"/>
              </w:rPr>
              <w:t>NAME OF REPORTING PERSONS / I.R.S. IDENTIFICATION</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ERIC A. BROCK</w:t>
            </w: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40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1,765,917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4.87% (see Item 4)</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9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PennantPark Investment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700" w:hanging="24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(c)   Name and Domicile/Citizenship of Persons Filing:</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117" w:lineRule="exact"/>
        <w:rPr>
          <w:rFonts w:ascii="Arial" w:cs="Arial" w:eastAsia="Arial" w:hAnsi="Arial"/>
          <w:sz w:val="18"/>
          <w:szCs w:val="18"/>
          <w:color w:val="auto"/>
        </w:rPr>
      </w:pPr>
    </w:p>
    <w:p>
      <w:pPr>
        <w:jc w:val="both"/>
        <w:ind w:left="900" w:right="6440" w:hanging="446"/>
        <w:spacing w:after="0" w:line="381"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Each of the Reporting Persons has a business address of: One Post Office Square, 40th Floor, Boston, MA 02109.</w:t>
      </w:r>
    </w:p>
    <w:p>
      <w:pPr>
        <w:spacing w:after="0" w:line="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CUSIP Number: 708062104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ITEM 3. IF THIS STATEMENT IS FILED PURSUANT TO RULE 13D-1(B), OR 13D-2(B) OR (C), CHECK WHETHER THE PERSON FILING IS A:</w:t>
      </w:r>
    </w:p>
    <w:p>
      <w:pPr>
        <w:spacing w:after="0" w:line="12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7" w:lineRule="exact"/>
        <w:rPr>
          <w:rFonts w:ascii="Arial" w:cs="Arial" w:eastAsia="Arial" w:hAnsi="Arial"/>
          <w:sz w:val="18"/>
          <w:szCs w:val="18"/>
          <w:color w:val="auto"/>
        </w:rPr>
      </w:pPr>
    </w:p>
    <w:p>
      <w:pPr>
        <w:ind w:left="800" w:hanging="346"/>
        <w:spacing w:after="0" w:line="207" w:lineRule="exact"/>
        <w:tabs>
          <w:tab w:leader="none" w:pos="8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or under the laws of any State</w:t>
      </w:r>
    </w:p>
    <w:p>
      <w:pPr>
        <w:spacing w:after="0" w:line="163" w:lineRule="exact"/>
        <w:rPr>
          <w:rFonts w:ascii="Arial" w:cs="Arial" w:eastAsia="Arial" w:hAnsi="Arial"/>
          <w:sz w:val="18"/>
          <w:szCs w:val="18"/>
          <w:color w:val="auto"/>
        </w:rPr>
      </w:pPr>
    </w:p>
    <w:p>
      <w:pPr>
        <w:ind w:left="1000" w:right="840" w:hanging="546"/>
        <w:spacing w:after="0" w:line="277" w:lineRule="auto"/>
        <w:tabs>
          <w:tab w:leader="none" w:pos="784" w:val="left"/>
        </w:tabs>
        <w:numPr>
          <w:ilvl w:val="0"/>
          <w:numId w:val="6"/>
        </w:numPr>
        <w:rPr>
          <w:rFonts w:ascii="Arial" w:cs="Arial" w:eastAsia="Arial" w:hAnsi="Arial"/>
          <w:sz w:val="18"/>
          <w:szCs w:val="18"/>
          <w:color w:val="auto"/>
        </w:rPr>
      </w:pPr>
      <w:r>
        <w:rPr>
          <w:rFonts w:ascii="Arial" w:cs="Arial" w:eastAsia="Arial" w:hAnsi="Arial"/>
          <w:sz w:val="18"/>
          <w:szCs w:val="18"/>
          <w:color w:val="auto"/>
        </w:rPr>
        <w:t>o Employee Benefit Plan, Pension fund which is subject to the provisions of the Employee Retirement Income Security Act of 1974 or Endowment Fund; see Section 240.13d-1(b)(1)(ii)(F)</w:t>
      </w:r>
    </w:p>
    <w:p>
      <w:pPr>
        <w:spacing w:after="0" w:line="43" w:lineRule="exact"/>
        <w:rPr>
          <w:rFonts w:ascii="Arial" w:cs="Arial" w:eastAsia="Arial" w:hAnsi="Arial"/>
          <w:sz w:val="18"/>
          <w:szCs w:val="18"/>
          <w:color w:val="auto"/>
        </w:rPr>
      </w:pPr>
    </w:p>
    <w:p>
      <w:pPr>
        <w:ind w:left="800" w:hanging="346"/>
        <w:spacing w:after="0" w:line="207" w:lineRule="exact"/>
        <w:tabs>
          <w:tab w:leader="none" w:pos="8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240.13d-1(b)(ii)(G) (Note: See Item 7)</w:t>
      </w:r>
    </w:p>
    <w:p>
      <w:pPr>
        <w:spacing w:after="0" w:line="163"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 of 1940</w:t>
      </w:r>
    </w:p>
    <w:p>
      <w:pPr>
        <w:spacing w:after="0" w:line="153"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Beneficially Owned: 1,765,917*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4.87%*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3"/>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1,765,917*</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1,765,917*</w:t>
      </w:r>
    </w:p>
    <w:p>
      <w:pPr>
        <w:spacing w:after="0" w:line="387" w:lineRule="exact"/>
        <w:rPr>
          <w:rFonts w:ascii="Arial" w:cs="Arial" w:eastAsia="Arial" w:hAnsi="Arial"/>
          <w:sz w:val="18"/>
          <w:szCs w:val="18"/>
          <w:color w:val="auto"/>
        </w:rPr>
      </w:pPr>
    </w:p>
    <w:p>
      <w:pPr>
        <w:ind w:left="460" w:right="520" w:hanging="459"/>
        <w:spacing w:after="0" w:line="29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shares reported above include shares beneficially owned by investment companies, pooled investment vehicles and other accounts for which Clough Capital Partners L.P. serves as investment adviser. Such shares may be deemed beneficially owner by (a) Clough Capital Partners L.P.,</w:t>
      </w:r>
    </w:p>
    <w:p>
      <w:pPr>
        <w:ind w:left="460" w:firstLine="7"/>
        <w:spacing w:after="0" w:line="255" w:lineRule="auto"/>
        <w:tabs>
          <w:tab w:leader="none" w:pos="715" w:val="left"/>
        </w:tabs>
        <w:numPr>
          <w:ilvl w:val="2"/>
          <w:numId w:val="7"/>
        </w:numPr>
        <w:rPr>
          <w:rFonts w:ascii="Arial" w:cs="Arial" w:eastAsia="Arial" w:hAnsi="Arial"/>
          <w:sz w:val="18"/>
          <w:szCs w:val="18"/>
          <w:color w:val="auto"/>
        </w:rPr>
      </w:pPr>
      <w:r>
        <w:rPr>
          <w:rFonts w:ascii="Arial" w:cs="Arial" w:eastAsia="Arial" w:hAnsi="Arial"/>
          <w:sz w:val="18"/>
          <w:szCs w:val="18"/>
          <w:color w:val="auto"/>
        </w:rPr>
        <w:t>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-744220</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share holding and percent of class data set forth above is reported as of the date of the filing of this statement on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ind w:right="480" w:firstLine="225"/>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40" w:right="60" w:hanging="728"/>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17" w:lineRule="exact"/>
        <w:rPr>
          <w:sz w:val="20"/>
          <w:szCs w:val="20"/>
          <w:color w:val="auto"/>
        </w:rPr>
      </w:pPr>
    </w:p>
    <w:p>
      <w:pPr>
        <w:jc w:val="both"/>
        <w:ind w:right="140" w:firstLine="22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6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2011</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Clough Capital Partners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Charles I. Clough, Jr.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Charles I. Clough, Jr.,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James E. Canty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E. Canty,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Eric A. Brock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Eric A. Brock,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 w:name="page11"/>
    <w:bookmarkEnd w:id="10"/>
    <w:p>
      <w:pPr>
        <w:ind w:left="10760"/>
        <w:spacing w:after="0"/>
        <w:rPr>
          <w:sz w:val="20"/>
          <w:szCs w:val="20"/>
          <w:color w:val="auto"/>
        </w:rPr>
      </w:pPr>
      <w:r>
        <w:rPr>
          <w:rFonts w:ascii="Arial" w:cs="Arial" w:eastAsia="Arial" w:hAnsi="Arial"/>
          <w:sz w:val="17"/>
          <w:szCs w:val="17"/>
          <w:color w:val="auto"/>
        </w:rPr>
        <w:t>Exhibit 1</w:t>
      </w:r>
    </w:p>
    <w:p>
      <w:pPr>
        <w:spacing w:after="0" w:line="129"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This statement on Schedule 13G (and any amendments hereto) is filed by (a) Clough Capital Partners L.P., (b) Clough Capital Partners LLC, the general partner of Clough Capital Partners L.P., and (c) each of Charles I. Clough, Jr., James E. Canty and Eric A. Brock, the managing members of Clough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Joint Filing Agreement, dated as of February 9, 2011,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PennantPark Investment Corporation., a Maryland corporation, beneficially owned by them from time to time.</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gridSpan w:val="2"/>
          </w:tcPr>
          <w:p>
            <w:pPr>
              <w:spacing w:after="0"/>
              <w:rPr>
                <w:sz w:val="20"/>
                <w:szCs w:val="20"/>
                <w:color w:val="auto"/>
              </w:rPr>
            </w:pPr>
            <w:r>
              <w:rPr>
                <w:rFonts w:ascii="Arial" w:cs="Arial" w:eastAsia="Arial" w:hAnsi="Arial"/>
                <w:sz w:val="18"/>
                <w:szCs w:val="18"/>
                <w:color w:val="auto"/>
              </w:rPr>
              <w:t>Clough Capital Partners LLC,</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I. Clough, Jr.</w:t>
            </w:r>
          </w:p>
        </w:tc>
      </w:tr>
      <w:tr>
        <w:trPr>
          <w:trHeight w:val="224"/>
        </w:trPr>
        <w:tc>
          <w:tcPr>
            <w:tcW w:w="40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980" w:type="dxa"/>
            <w:vAlign w:val="bottom"/>
            <w:gridSpan w:val="2"/>
          </w:tcPr>
          <w:p>
            <w:pPr>
              <w:spacing w:after="0"/>
              <w:rPr>
                <w:sz w:val="20"/>
                <w:szCs w:val="20"/>
                <w:color w:val="auto"/>
              </w:rPr>
            </w:pPr>
            <w:r>
              <w:rPr>
                <w:rFonts w:ascii="Arial" w:cs="Arial" w:eastAsia="Arial" w:hAnsi="Arial"/>
                <w:sz w:val="18"/>
                <w:szCs w:val="18"/>
                <w:color w:val="auto"/>
              </w:rPr>
              <w:t>Charles I. Clough, Jr., individually</w:t>
            </w:r>
          </w:p>
        </w:tc>
      </w:tr>
      <w:tr>
        <w:trPr>
          <w:trHeight w:val="431"/>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gridSpan w:val="2"/>
          </w:tcPr>
          <w:p>
            <w:pPr>
              <w:spacing w:after="0"/>
              <w:rPr>
                <w:sz w:val="20"/>
                <w:szCs w:val="20"/>
                <w:color w:val="auto"/>
              </w:rPr>
            </w:pPr>
            <w:r>
              <w:rPr>
                <w:rFonts w:ascii="Arial" w:cs="Arial" w:eastAsia="Arial" w:hAnsi="Arial"/>
                <w:sz w:val="18"/>
                <w:szCs w:val="18"/>
                <w:color w:val="auto"/>
              </w:rPr>
              <w:t>/s/ James E. Canty</w:t>
            </w:r>
          </w:p>
        </w:tc>
        <w:tc>
          <w:tcPr>
            <w:tcW w:w="3980" w:type="dxa"/>
            <w:vAlign w:val="bottom"/>
            <w:gridSpan w:val="2"/>
          </w:tcPr>
          <w:p>
            <w:pPr>
              <w:spacing w:after="0"/>
              <w:rPr>
                <w:sz w:val="20"/>
                <w:szCs w:val="20"/>
                <w:color w:val="auto"/>
              </w:rPr>
            </w:pPr>
            <w:r>
              <w:rPr>
                <w:rFonts w:ascii="Arial" w:cs="Arial" w:eastAsia="Arial" w:hAnsi="Arial"/>
                <w:sz w:val="18"/>
                <w:szCs w:val="18"/>
                <w:color w:val="auto"/>
              </w:rPr>
              <w:t>/s/ James E. Canty</w:t>
            </w:r>
          </w:p>
        </w:tc>
      </w:tr>
      <w:tr>
        <w:trPr>
          <w:trHeight w:val="209"/>
        </w:trPr>
        <w:tc>
          <w:tcPr>
            <w:tcW w:w="40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 individually</w:t>
            </w:r>
          </w:p>
        </w:tc>
      </w:tr>
      <w:tr>
        <w:trPr>
          <w:trHeight w:val="230"/>
        </w:trPr>
        <w:tc>
          <w:tcPr>
            <w:tcW w:w="40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A. Brock</w:t>
            </w:r>
          </w:p>
        </w:tc>
      </w:tr>
      <w:tr>
        <w:trPr>
          <w:trHeight w:val="224"/>
        </w:trPr>
        <w:tc>
          <w:tcPr>
            <w:tcW w:w="6300" w:type="dxa"/>
            <w:vAlign w:val="bottom"/>
            <w:gridSpan w:val="3"/>
          </w:tcPr>
          <w:p>
            <w:pPr>
              <w:spacing w:after="0"/>
              <w:rPr>
                <w:sz w:val="20"/>
                <w:szCs w:val="20"/>
                <w:color w:val="auto"/>
              </w:rPr>
            </w:pPr>
            <w:r>
              <w:rPr>
                <w:rFonts w:ascii="Arial" w:cs="Arial" w:eastAsia="Arial" w:hAnsi="Arial"/>
                <w:sz w:val="18"/>
                <w:szCs w:val="18"/>
                <w:color w:val="auto"/>
              </w:rPr>
              <w:t>CLOUGH CAPITAL PARTNERS LLC</w:t>
            </w:r>
          </w:p>
        </w:tc>
        <w:tc>
          <w:tcPr>
            <w:tcW w:w="3980" w:type="dxa"/>
            <w:vAlign w:val="bottom"/>
            <w:gridSpan w:val="2"/>
          </w:tcPr>
          <w:p>
            <w:pPr>
              <w:spacing w:after="0"/>
              <w:rPr>
                <w:sz w:val="20"/>
                <w:szCs w:val="20"/>
                <w:color w:val="auto"/>
              </w:rPr>
            </w:pPr>
            <w:r>
              <w:rPr>
                <w:rFonts w:ascii="Arial" w:cs="Arial" w:eastAsia="Arial" w:hAnsi="Arial"/>
                <w:sz w:val="18"/>
                <w:szCs w:val="18"/>
                <w:color w:val="auto"/>
              </w:rPr>
              <w:t>Eric A. Brock, individually</w:t>
            </w:r>
          </w:p>
        </w:tc>
      </w:tr>
      <w:tr>
        <w:trPr>
          <w:trHeight w:val="431"/>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gridSpan w:val="2"/>
          </w:tcPr>
          <w:p>
            <w:pPr>
              <w:spacing w:after="0"/>
              <w:rPr>
                <w:sz w:val="20"/>
                <w:szCs w:val="20"/>
                <w:color w:val="auto"/>
              </w:rPr>
            </w:pPr>
            <w:r>
              <w:rPr>
                <w:rFonts w:ascii="Arial" w:cs="Arial" w:eastAsia="Arial" w:hAnsi="Arial"/>
                <w:sz w:val="18"/>
                <w:szCs w:val="18"/>
                <w:color w:val="auto"/>
              </w:rPr>
              <w:t>/s/ James E. Canty</w:t>
            </w: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2019-12-11T04:47:44Z</dcterms:created>
  <dcterms:modified xsi:type="dcterms:W3CDTF">2019-12-11T04:47:44Z</dcterms:modified>
</cp:coreProperties>
</file>