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nnt-20230630.htm"/>
      <w:bookmarkStart w:id="1" w:name="kspnnt20230630"/>
      <w:bookmarkEnd w:id="0"/>
      <w:bookmarkEnd w:id="1"/>
      <w:r>
        <w:rPr/>
        <w:t> </w:t>
      </w:r>
    </w:p>
    <w:p>
      <w:pPr>
        <w:pStyle w:val="TextBody"/>
        <w:pBdr>
          <w:bottom w:val="double" w:sz="6" w:space="1" w:color="000000"/>
        </w:pBdr>
        <w:bidi w:val="0"/>
        <w:spacing w:before="0" w:after="0"/>
        <w:jc w:val="center"/>
        <w:rPr>
          <w:rFonts w:ascii="Times New Roman;serif" w:hAnsi="Times New Roman;serif"/>
          <w:b w:val="false"/>
          <w:sz w:val="2"/>
        </w:rPr>
      </w:pPr>
      <w:r>
        <w:rPr>
          <w:rFonts w:ascii="Times New Roman;serif" w:hAnsi="Times New Roman;serif"/>
          <w:b w:val="false"/>
          <w:sz w:val="2"/>
        </w:rPr>
        <w:t>]`</w:t>
      </w:r>
    </w:p>
    <w:p>
      <w:pPr>
        <w:pStyle w:val="TextBody"/>
        <w:bidi w:val="0"/>
        <w:spacing w:before="40" w:after="0"/>
        <w:jc w:val="center"/>
        <w:rPr>
          <w:rFonts w:ascii="Times New Roman;serif" w:hAnsi="Times New Roman;serif"/>
          <w:b/>
          <w:sz w:val="36"/>
        </w:rPr>
      </w:pPr>
      <w:r>
        <w:rPr>
          <w:rFonts w:ascii="Times New Roman;serif" w:hAnsi="Times New Roman;serif"/>
          <w:b/>
          <w:sz w:val="36"/>
        </w:rPr>
        <w:t>UNITED STATES</w:t>
      </w:r>
    </w:p>
    <w:p>
      <w:pPr>
        <w:pStyle w:val="TextBody"/>
        <w:bidi w:val="0"/>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bidi w:val="0"/>
        <w:spacing w:before="8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40" w:after="0"/>
        <w:jc w:val="left"/>
        <w:rPr>
          <w:rFonts w:ascii="Times New Roman;serif" w:hAnsi="Times New Roman;serif"/>
          <w:b/>
          <w:sz w:val="20"/>
        </w:rPr>
      </w:pPr>
      <w:r>
        <w:rPr>
          <w:rFonts w:ascii="Times New Roman;serif" w:hAnsi="Times New Roman;serif"/>
          <w:b/>
          <w:sz w:val="20"/>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4"/>
              </w:rPr>
            </w:pPr>
            <w:r>
              <w:rPr>
                <w:rFonts w:ascii="Times New Roman;serif" w:hAnsi="Times New Roman;serif"/>
                <w:b/>
                <w:sz w:val="24"/>
              </w:rPr>
              <w:t>QUARTERLY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FOR THE QUARTERLY PERIOD ENDED JUNE 30, 2023</w:t>
      </w:r>
    </w:p>
    <w:p>
      <w:pPr>
        <w:pStyle w:val="TextBody"/>
        <w:bidi w:val="0"/>
        <w:spacing w:before="60" w:after="0"/>
        <w:jc w:val="center"/>
        <w:rPr>
          <w:rFonts w:ascii="Times New Roman;serif" w:hAnsi="Times New Roman;serif"/>
          <w:b/>
          <w:sz w:val="20"/>
        </w:rPr>
      </w:pPr>
      <w:r>
        <w:rPr>
          <w:rFonts w:ascii="Times New Roman;serif" w:hAnsi="Times New Roman;serif"/>
          <w:b/>
          <w:sz w:val="20"/>
        </w:rPr>
        <w:t>OR</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serif" w:hAnsi="Times New Roman;serif"/>
                <w:b/>
                <w:sz w:val="24"/>
              </w:rPr>
            </w:pPr>
            <w:r>
              <w:rPr>
                <w:rFonts w:ascii="Times New Roman;serif" w:hAnsi="Times New Roman;serif"/>
                <w:b/>
                <w:sz w:val="24"/>
              </w:rPr>
              <w:t>TRANSITION REPORT PURSUANT TO SECTION 13 OR 15(d) OF THE SECURITIES EXCHANGE ACT OF 1934</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bidi w:val="0"/>
        <w:spacing w:before="80" w:after="0"/>
        <w:jc w:val="center"/>
        <w:rPr>
          <w:rFonts w:ascii="Times New Roman;serif" w:hAnsi="Times New Roman;serif"/>
          <w:b/>
          <w:sz w:val="20"/>
        </w:rPr>
      </w:pPr>
      <w:r>
        <w:rPr>
          <w:rFonts w:ascii="Times New Roman;serif" w:hAnsi="Times New Roman;serif"/>
          <w:b/>
          <w:sz w:val="20"/>
        </w:rPr>
        <w:t>COMMISSION FILE NUMBER: 814-00736</w:t>
      </w:r>
    </w:p>
    <w:p>
      <w:pPr>
        <w:pStyle w:val="TextBody"/>
        <w:bidi w:val="0"/>
        <w:spacing w:before="60" w:after="0"/>
        <w:jc w:val="center"/>
        <w:rPr>
          <w:rFonts w:ascii="Times New Roman;serif" w:hAnsi="Times New Roman;serif"/>
          <w:b/>
          <w:sz w:val="48"/>
        </w:rPr>
      </w:pPr>
      <w:r>
        <w:rPr>
          <w:rFonts w:ascii="Times New Roman;serif" w:hAnsi="Times New Roman;serif"/>
          <w:b/>
          <w:sz w:val="48"/>
        </w:rPr>
        <w:t>PENNANTPARK INVESTMENT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(Exact name of registrant as specified in its charter)</w:t>
      </w:r>
    </w:p>
    <w:p>
      <w:pPr>
        <w:pStyle w:val="TextBody"/>
        <w:pBdr>
          <w:bottom w:val="single" w:sz="6" w:space="1" w:color="000000"/>
        </w:pBdr>
        <w:bidi w:val="0"/>
        <w:spacing w:before="0" w:after="0"/>
        <w:jc w:val="center"/>
        <w:rPr/>
      </w:pPr>
      <w:r>
        <w:rPr/>
        <w:t> </w:t>
      </w:r>
    </w:p>
    <w:tbl>
      <w:tblPr>
        <w:tblW w:w="7416" w:type="dxa"/>
        <w:jc w:val="left"/>
        <w:tblInd w:w="0" w:type="dxa"/>
        <w:tblLayout w:type="fixed"/>
        <w:tblCellMar>
          <w:top w:w="28" w:type="dxa"/>
          <w:left w:w="28" w:type="dxa"/>
          <w:bottom w:w="28" w:type="dxa"/>
          <w:right w:w="28" w:type="dxa"/>
        </w:tblCellMar>
      </w:tblPr>
      <w:tblGrid>
        <w:gridCol w:w="4561"/>
        <w:gridCol w:w="109"/>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MARYLAND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20-8250744</w:t>
            </w:r>
          </w:p>
        </w:tc>
      </w:tr>
      <w:tr>
        <w:trPr/>
        <w:tc>
          <w:tcPr>
            <w:tcW w:w="456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 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 Identification No.)</w:t>
            </w:r>
          </w:p>
        </w:tc>
      </w:tr>
      <w:tr>
        <w:trPr/>
        <w:tc>
          <w:tcPr>
            <w:tcW w:w="4561" w:type="dxa"/>
            <w:tcBorders/>
            <w:vAlign w:val="center"/>
          </w:tcPr>
          <w:p>
            <w:pPr>
              <w:pStyle w:val="TableContents"/>
              <w:bidi w:val="0"/>
              <w:spacing w:before="0" w:after="0"/>
              <w:ind w:left="0" w:right="0" w:hanging="0"/>
              <w:jc w:val="center"/>
              <w:rPr/>
            </w:pPr>
            <w:r>
              <w:rPr/>
              <w:t> </w:t>
            </w:r>
          </w:p>
        </w:tc>
        <w:tc>
          <w:tcPr>
            <w:tcW w:w="2855" w:type="dxa"/>
            <w:gridSpan w:val="2"/>
            <w:tcBorders/>
            <w:vAlign w:val="center"/>
          </w:tcPr>
          <w:p>
            <w:pPr>
              <w:pStyle w:val="TableContents"/>
              <w:bidi w:val="0"/>
              <w:spacing w:before="0" w:after="0"/>
              <w:ind w:left="0" w:right="0" w:hanging="0"/>
              <w:jc w:val="center"/>
              <w:rPr/>
            </w:pPr>
            <w:r>
              <w:rPr/>
              <w:t> </w:t>
            </w:r>
          </w:p>
        </w:tc>
      </w:tr>
      <w:tr>
        <w:trPr/>
        <w:tc>
          <w:tcPr>
            <w:tcW w:w="45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1691 Michigan Avenue,</w:t>
            </w:r>
            <w:r>
              <w:rPr>
                <w:rFonts w:ascii="Times New Roman" w:hAnsi="Times New Roman"/>
                <w:sz w:val="20"/>
              </w:rPr>
              <w:t xml:space="preserve"> </w:t>
            </w:r>
          </w:p>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Miami Beach, Florida</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33139</w:t>
            </w:r>
          </w:p>
        </w:tc>
      </w:tr>
      <w:tr>
        <w:trPr/>
        <w:tc>
          <w:tcPr>
            <w:tcW w:w="456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74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(786) 297-9500</w:t>
      </w:r>
    </w:p>
    <w:p>
      <w:pPr>
        <w:pStyle w:val="TextBody"/>
        <w:bidi w:val="0"/>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None</w:t>
      </w:r>
    </w:p>
    <w:p>
      <w:pPr>
        <w:pStyle w:val="TextBody"/>
        <w:bidi w:val="0"/>
        <w:spacing w:before="0" w:after="0"/>
        <w:jc w:val="center"/>
        <w:rPr>
          <w:rFonts w:ascii="Times New Roman;serif" w:hAnsi="Times New Roman;serif"/>
          <w:b/>
          <w:sz w:val="16"/>
        </w:rPr>
      </w:pPr>
      <w:r>
        <w:rPr>
          <w:rFonts w:ascii="Times New Roman;serif" w:hAnsi="Times New Roman;serif"/>
          <w:b/>
          <w:sz w:val="16"/>
        </w:rPr>
        <w:t>(Former name, former address and former fiscal year, if changed since last report)</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Securities registered pursuant to Section 12(b) of the Act:</w:t>
      </w:r>
    </w:p>
    <w:p>
      <w:pPr>
        <w:pStyle w:val="TextBody"/>
        <w:bidi w:val="0"/>
        <w:spacing w:before="0" w:after="0"/>
        <w:jc w:val="both"/>
        <w:rPr/>
      </w:pPr>
      <w:r>
        <w:rPr/>
        <w:t> </w:t>
      </w:r>
    </w:p>
    <w:tbl>
      <w:tblPr>
        <w:tblW w:w="8433" w:type="dxa"/>
        <w:jc w:val="left"/>
        <w:tblInd w:w="0" w:type="dxa"/>
        <w:tblLayout w:type="fixed"/>
        <w:tblCellMar>
          <w:top w:w="28" w:type="dxa"/>
          <w:left w:w="28" w:type="dxa"/>
          <w:bottom w:w="28" w:type="dxa"/>
          <w:right w:w="28" w:type="dxa"/>
        </w:tblCellMar>
      </w:tblPr>
      <w:tblGrid>
        <w:gridCol w:w="3196"/>
        <w:gridCol w:w="1561"/>
        <w:gridCol w:w="3676"/>
      </w:tblGrid>
      <w:tr>
        <w:trPr/>
        <w:tc>
          <w:tcPr>
            <w:tcW w:w="319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Title of Each Class</w:t>
            </w:r>
          </w:p>
        </w:tc>
        <w:tc>
          <w:tcPr>
            <w:tcW w:w="1561"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Trading Symbol(s)</w:t>
            </w:r>
          </w:p>
        </w:tc>
        <w:tc>
          <w:tcPr>
            <w:tcW w:w="3676" w:type="dxa"/>
            <w:tcBorders/>
            <w:vAlign w:val="center"/>
          </w:tcPr>
          <w:p>
            <w:pPr>
              <w:pStyle w:val="TableContents"/>
              <w:bidi w:val="0"/>
              <w:spacing w:before="0" w:after="0"/>
              <w:ind w:left="0" w:right="0" w:hanging="0"/>
              <w:jc w:val="center"/>
              <w:rPr>
                <w:rFonts w:ascii="Times New Roman;serif" w:hAnsi="Times New Roman;serif"/>
                <w:b/>
                <w:sz w:val="18"/>
              </w:rPr>
            </w:pPr>
            <w:r>
              <w:rPr>
                <w:rFonts w:ascii="Times New Roman;serif" w:hAnsi="Times New Roman;serif"/>
                <w:b/>
                <w:sz w:val="18"/>
              </w:rPr>
              <w:t>Name of Each Exchange on Which Registered</w:t>
            </w:r>
          </w:p>
        </w:tc>
      </w:tr>
      <w:tr>
        <w:trPr/>
        <w:tc>
          <w:tcPr>
            <w:tcW w:w="319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Common Stock, par value $0.001 per share</w:t>
            </w:r>
          </w:p>
        </w:tc>
        <w:tc>
          <w:tcPr>
            <w:tcW w:w="1561"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PNNT</w:t>
            </w:r>
          </w:p>
        </w:tc>
        <w:tc>
          <w:tcPr>
            <w:tcW w:w="3676" w:type="dxa"/>
            <w:tcBorders/>
            <w:vAlign w:val="center"/>
          </w:tcPr>
          <w:p>
            <w:pPr>
              <w:pStyle w:val="TableContents"/>
              <w:bidi w:val="0"/>
              <w:spacing w:before="0" w:after="0"/>
              <w:ind w:left="0" w:right="0" w:hanging="0"/>
              <w:jc w:val="center"/>
              <w:rPr>
                <w:rFonts w:ascii="Times New Roman;serif" w:hAnsi="Times New Roman;serif"/>
                <w:b w:val="false"/>
                <w:sz w:val="18"/>
              </w:rPr>
            </w:pPr>
            <w:r>
              <w:rPr>
                <w:rFonts w:ascii="Times New Roman;serif" w:hAnsi="Times New Roman;serif"/>
                <w:b w:val="false"/>
                <w:sz w:val="18"/>
              </w:rPr>
              <w:t>The New York Stock Exchange</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bidi w:val="0"/>
        <w:spacing w:before="8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tbl>
      <w:tblPr>
        <w:tblW w:w="5257" w:type="dxa"/>
        <w:jc w:val="left"/>
        <w:tblInd w:w="0" w:type="dxa"/>
        <w:tblLayout w:type="fixed"/>
        <w:tblCellMar>
          <w:top w:w="28" w:type="dxa"/>
          <w:left w:w="28" w:type="dxa"/>
          <w:bottom w:w="28" w:type="dxa"/>
          <w:right w:w="28" w:type="dxa"/>
        </w:tblCellMar>
      </w:tblPr>
      <w:tblGrid>
        <w:gridCol w:w="2056"/>
        <w:gridCol w:w="146"/>
        <w:gridCol w:w="37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0"/>
              <w:ind w:left="0" w:right="0" w:hanging="0"/>
              <w:jc w:val="left"/>
              <w:rPr/>
            </w:pPr>
            <w:r>
              <w:rPr/>
              <w:t xml:space="preserve">☑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vAlign w:val="center"/>
          </w:tcPr>
          <w:p>
            <w:pPr>
              <w:pStyle w:val="TableContents"/>
              <w:bidi w:val="0"/>
              <w:spacing w:before="0" w:after="0"/>
              <w:ind w:left="0" w:right="0" w:hanging="0"/>
              <w:jc w:val="left"/>
              <w:rPr/>
            </w:pPr>
            <w:r>
              <w:rPr/>
              <w:t> </w:t>
            </w:r>
          </w:p>
        </w:tc>
        <w:tc>
          <w:tcPr>
            <w:tcW w:w="37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0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bidi w:val="0"/>
        <w:spacing w:before="80" w:after="0"/>
        <w:jc w:val="left"/>
        <w:rPr>
          <w:rFonts w:ascii="Times New Roman;serif" w:hAnsi="Times New Roman;serif"/>
          <w:b w:val="false"/>
          <w:sz w:val="18"/>
        </w:rPr>
      </w:pPr>
      <w:r>
        <w:rPr>
          <w:rFonts w:ascii="Times New Roman;serif" w:hAnsi="Times New Roman;serif"/>
          <w:b w:val="false"/>
          <w:sz w:val="18"/>
        </w:rPr>
        <w:t>The number of shares of the registrant’s common stock, $0.001 par value per share, outstanding as of August 9, 2023 was 65,224,500.</w:t>
      </w:r>
    </w:p>
    <w:p>
      <w:pPr>
        <w:pStyle w:val="TextBody"/>
        <w:pBdr>
          <w:bottom w:val="double" w:sz="6" w:space="1" w:color="000000"/>
        </w:pBdr>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w:t>
      </w:r>
    </w:p>
    <w:p>
      <w:pPr>
        <w:pStyle w:val="TextBody"/>
        <w:bidi w:val="0"/>
        <w:spacing w:before="0" w:after="0"/>
        <w:jc w:val="center"/>
        <w:rPr>
          <w:rFonts w:ascii="Times New Roman;serif" w:hAnsi="Times New Roman;serif"/>
          <w:b/>
          <w:sz w:val="16"/>
        </w:rPr>
      </w:pPr>
      <w:r>
        <w:rPr>
          <w:rFonts w:ascii="Times New Roman;serif" w:hAnsi="Times New Roman;serif"/>
          <w:b/>
          <w:sz w:val="16"/>
        </w:rPr>
        <w:t>FORM 10-Q FOR THE QUARTER ENDED 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TABLE OF CONTENTS</w:t>
      </w:r>
    </w:p>
    <w:p>
      <w:pPr>
        <w:pStyle w:val="TextBody"/>
        <w:bidi w:val="0"/>
        <w:spacing w:before="0" w:after="0"/>
        <w:jc w:val="center"/>
        <w:rPr/>
      </w:pPr>
      <w:r>
        <w:rPr/>
        <w:t> </w:t>
      </w:r>
    </w:p>
    <w:tbl>
      <w:tblPr>
        <w:tblW w:w="9625" w:type="dxa"/>
        <w:jc w:val="left"/>
        <w:tblInd w:w="0" w:type="dxa"/>
        <w:tblLayout w:type="fixed"/>
        <w:tblCellMar>
          <w:top w:w="28" w:type="dxa"/>
          <w:left w:w="28" w:type="dxa"/>
          <w:bottom w:w="28" w:type="dxa"/>
          <w:right w:w="28" w:type="dxa"/>
        </w:tblCellMar>
      </w:tblPr>
      <w:tblGrid>
        <w:gridCol w:w="8716"/>
        <w:gridCol w:w="146"/>
        <w:gridCol w:w="763"/>
      </w:tblGrid>
      <w:tr>
        <w:trPr/>
        <w:tc>
          <w:tcPr>
            <w:tcW w:w="8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
              <w:r>
                <w:rPr>
                  <w:rStyle w:val="InternetLink"/>
                  <w:rFonts w:ascii="Times New Roman;serif" w:hAnsi="Times New Roman;serif"/>
                  <w:b/>
                  <w:sz w:val="16"/>
                  <w:u w:val="single"/>
                </w:rPr>
                <w:t>PART I. CONSOLIDATED FINANCIAL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1_consolidated_financial_statements">
              <w:r>
                <w:rPr>
                  <w:rStyle w:val="InternetLink"/>
                  <w:rFonts w:ascii="Times New Roman;serif" w:hAnsi="Times New Roman;serif"/>
                  <w:b/>
                  <w:sz w:val="16"/>
                  <w:u w:val="single"/>
                </w:rPr>
                <w:t>Item 1.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consolidated_statements_of_assets_liabi">
              <w:r>
                <w:rPr>
                  <w:rStyle w:val="InternetLink"/>
                  <w:rFonts w:ascii="Times New Roman;serif" w:hAnsi="Times New Roman;serif"/>
                  <w:b w:val="false"/>
                  <w:sz w:val="16"/>
                  <w:u w:val="single"/>
                </w:rPr>
                <w:t>Consolidated Statements of Assets and Liabilities as of June 30, 2023 (unaudited) and September 30, 2022</w:t>
              </w:r>
            </w:hyperlink>
            <w:hyperlink w:anchor="consolidated_statements_of_assets_liabi">
              <w:r>
                <w:rPr>
                  <w:rStyle w:val="InternetLink"/>
                  <w:rFonts w:ascii="Times New Roman" w:hAnsi="Times New Roman"/>
                  <w:sz w:val="16"/>
                </w:rPr>
                <w:t xml:space="preserve"> </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consolidated_statements_operations">
              <w:r>
                <w:rPr>
                  <w:rStyle w:val="InternetLink"/>
                  <w:rFonts w:ascii="Times New Roman;serif" w:hAnsi="Times New Roman;serif"/>
                  <w:b w:val="false"/>
                  <w:sz w:val="16"/>
                  <w:u w:val="single"/>
                </w:rPr>
                <w:t>Consolidated Statements of Operations for the three and nine months ended June 30, 2023 and 2022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consolidated_statements_changes_in_net_a">
              <w:r>
                <w:rPr>
                  <w:rStyle w:val="InternetLink"/>
                  <w:rFonts w:ascii="Times New Roman;serif" w:hAnsi="Times New Roman;serif"/>
                  <w:b w:val="false"/>
                  <w:sz w:val="16"/>
                  <w:u w:val="single"/>
                </w:rPr>
                <w:t>Consolidated Statements of Changes in Net Assets for the three and nine months ended June 30, 2023 and 2022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consolidated_statements_cash_flows">
              <w:r>
                <w:rPr>
                  <w:rStyle w:val="InternetLink"/>
                  <w:rFonts w:ascii="Times New Roman;serif" w:hAnsi="Times New Roman;serif"/>
                  <w:b w:val="false"/>
                  <w:sz w:val="16"/>
                  <w:u w:val="single"/>
                </w:rPr>
                <w:t>Consolidated Statements of Cash Flows for the nine months ended June 30, 2023 and 2022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consolidated_schedule_investments">
              <w:r>
                <w:rPr>
                  <w:rStyle w:val="InternetLink"/>
                  <w:rFonts w:ascii="Times New Roman;serif" w:hAnsi="Times New Roman;serif"/>
                  <w:b w:val="false"/>
                  <w:sz w:val="16"/>
                  <w:u w:val="single"/>
                </w:rPr>
                <w:t>Consolidated Schedules of Investments as of June 30, 2023 (unaudited) and September 30,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notes_to_consolidated_financial">
              <w:r>
                <w:rPr>
                  <w:rStyle w:val="InternetLink"/>
                  <w:rFonts w:ascii="Times New Roman;serif" w:hAnsi="Times New Roman;serif"/>
                  <w:b w:val="false"/>
                  <w:sz w:val="16"/>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572"/>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396" w:right="0" w:hanging="176"/>
              <w:jc w:val="left"/>
              <w:rPr/>
            </w:pPr>
            <w:hyperlink w:anchor="report_independent_registered_public_acc">
              <w:r>
                <w:rPr>
                  <w:rStyle w:val="InternetLink"/>
                  <w:rFonts w:ascii="Times New Roman;serif" w:hAnsi="Times New Roman;serif"/>
                  <w:b w:val="false"/>
                  <w:sz w:val="16"/>
                  <w:u w:val="single"/>
                </w:rPr>
                <w:t>Report of Independent Registered Public Accounting Firm (PCAOB ID 49)</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2_managements_discussion_analysis_f">
              <w:r>
                <w:rPr>
                  <w:rStyle w:val="InternetLink"/>
                  <w:rFonts w:ascii="Times New Roman;serif" w:hAnsi="Times New Roman;serif"/>
                  <w:b/>
                  <w:sz w:val="16"/>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3_quantitative_qualitative_disclosu">
              <w:r>
                <w:rPr>
                  <w:rStyle w:val="InternetLink"/>
                  <w:rFonts w:ascii="Times New Roman;serif" w:hAnsi="Times New Roman;serif"/>
                  <w:b/>
                  <w:sz w:val="16"/>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4_controls_procedures">
              <w:r>
                <w:rPr>
                  <w:rStyle w:val="InternetLink"/>
                  <w:rFonts w:ascii="Times New Roman;serif" w:hAnsi="Times New Roman;serif"/>
                  <w:b/>
                  <w:sz w:val="16"/>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_or_information">
              <w:r>
                <w:rPr>
                  <w:rStyle w:val="InternetLink"/>
                  <w:rFonts w:ascii="Times New Roman;serif" w:hAnsi="Times New Roman;serif"/>
                  <w:b/>
                  <w:sz w:val="16"/>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1_legal_proceedings">
              <w:r>
                <w:rPr>
                  <w:rStyle w:val="InternetLink"/>
                  <w:rFonts w:ascii="Times New Roman;serif" w:hAnsi="Times New Roman;serif"/>
                  <w:b/>
                  <w:sz w:val="16"/>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1a_risk_factors">
              <w:r>
                <w:rPr>
                  <w:rStyle w:val="InternetLink"/>
                  <w:rFonts w:ascii="Times New Roman;serif" w:hAnsi="Times New Roman;serif"/>
                  <w:b/>
                  <w:sz w:val="16"/>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2_unregistered_sales_equity_securit">
              <w:r>
                <w:rPr>
                  <w:rStyle w:val="InternetLink"/>
                  <w:rFonts w:ascii="Times New Roman;serif" w:hAnsi="Times New Roman;serif"/>
                  <w:b/>
                  <w:sz w:val="16"/>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3_defaults_upon_senior_securities">
              <w:r>
                <w:rPr>
                  <w:rStyle w:val="InternetLink"/>
                  <w:rFonts w:ascii="Times New Roman;serif" w:hAnsi="Times New Roman;serif"/>
                  <w:b/>
                  <w:sz w:val="16"/>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4_mine_safety_disclosures">
              <w:r>
                <w:rPr>
                  <w:rStyle w:val="InternetLink"/>
                  <w:rFonts w:ascii="Times New Roman;serif" w:hAnsi="Times New Roman;serif"/>
                  <w:b/>
                  <w:sz w:val="16"/>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5_other_information">
              <w:r>
                <w:rPr>
                  <w:rStyle w:val="InternetLink"/>
                  <w:rFonts w:ascii="Times New Roman;serif" w:hAnsi="Times New Roman;serif"/>
                  <w:b/>
                  <w:sz w:val="16"/>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item_6_exhibits">
              <w:r>
                <w:rPr>
                  <w:rStyle w:val="InternetLink"/>
                  <w:rFonts w:ascii="Times New Roman;serif" w:hAnsi="Times New Roman;serif"/>
                  <w:b/>
                  <w:sz w:val="16"/>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r>
      <w:tr>
        <w:trPr/>
        <w:tc>
          <w:tcPr>
            <w:tcW w:w="87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firstLine="176"/>
              <w:jc w:val="right"/>
              <w:rPr/>
            </w:pPr>
            <w:r>
              <w:rPr/>
              <w:t> </w:t>
            </w:r>
          </w:p>
        </w:tc>
      </w:tr>
      <w:tr>
        <w:trPr/>
        <w:tc>
          <w:tcPr>
            <w:tcW w:w="8716" w:type="dxa"/>
            <w:tcBorders/>
            <w:tcMar>
              <w:top w:w="0" w:type="dxa"/>
              <w:left w:w="0" w:type="dxa"/>
              <w:bottom w:w="0" w:type="dxa"/>
              <w:right w:w="0" w:type="dxa"/>
            </w:tcMar>
            <w:vAlign w:val="center"/>
          </w:tcPr>
          <w:p>
            <w:pPr>
              <w:pStyle w:val="TableContents"/>
              <w:pBdr/>
              <w:bidi w:val="0"/>
              <w:spacing w:before="0" w:after="0"/>
              <w:ind w:left="0" w:right="0" w:hanging="176"/>
              <w:jc w:val="left"/>
              <w:rPr/>
            </w:pPr>
            <w:hyperlink w:anchor="signatures">
              <w:r>
                <w:rPr>
                  <w:rStyle w:val="InternetLink"/>
                  <w:rFonts w:ascii="Times New Roman;serif" w:hAnsi="Times New Roman;serif"/>
                  <w:b/>
                  <w:sz w:val="16"/>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76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bookmarkStart w:id="2" w:name="part_i"/>
      <w:bookmarkEnd w:id="2"/>
      <w:r>
        <w:rPr>
          <w:rFonts w:ascii="Times New Roman;serif" w:hAnsi="Times New Roman;serif"/>
          <w:b/>
          <w:sz w:val="16"/>
        </w:rPr>
        <w:t>PART I—CONSOLIDATED F</w:t>
      </w:r>
      <w:bookmarkStart w:id="3" w:name="part_iconsolidated_financial_information"/>
      <w:bookmarkEnd w:id="3"/>
      <w:r>
        <w:rPr>
          <w:rFonts w:ascii="Times New Roman;serif" w:hAnsi="Times New Roman;serif"/>
          <w:b/>
          <w:sz w:val="16"/>
        </w:rPr>
        <w:t>INANCIAL INFORMATION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subsidiaries,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our consolidated subsidiaries.</w:t>
      </w:r>
      <w:r>
        <w:rPr>
          <w:rFonts w:ascii="Times New Roman" w:hAnsi="Times New Roman"/>
          <w:sz w:val="20"/>
        </w:rPr>
        <w:t xml:space="preserve">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3</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bookmarkStart w:id="4" w:name="item_1_consolidated_financial_statements"/>
      <w:bookmarkEnd w:id="4"/>
      <w:r>
        <w:rPr>
          <w:rFonts w:ascii="Times New Roman;serif" w:hAnsi="Times New Roman;serif"/>
          <w:b/>
          <w:sz w:val="16"/>
        </w:rPr>
        <w:t>Item 1. Consolidated Financial Statements</w:t>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bookmarkStart w:id="5" w:name="consolidated_statements_of_assets_liabi"/>
      <w:bookmarkEnd w:id="5"/>
      <w:r>
        <w:rPr>
          <w:rFonts w:ascii="Times New Roman;serif" w:hAnsi="Times New Roman;serif"/>
          <w:b/>
          <w:sz w:val="16"/>
        </w:rPr>
        <w:t>CONSOLIDATED STATEMENTS OF ASSETS AND LIABILITIES</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and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219"/>
        <w:gridCol w:w="146"/>
        <w:gridCol w:w="210"/>
        <w:gridCol w:w="889"/>
        <w:gridCol w:w="166"/>
        <w:gridCol w:w="146"/>
        <w:gridCol w:w="271"/>
        <w:gridCol w:w="1145"/>
        <w:gridCol w:w="1013"/>
      </w:tblGrid>
      <w:tr>
        <w:trPr/>
        <w:tc>
          <w:tcPr>
            <w:tcW w:w="6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62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1013" w:type="dxa"/>
            <w:tcBorders/>
            <w:vAlign w:val="center"/>
          </w:tcPr>
          <w:p>
            <w:pPr>
              <w:pStyle w:val="TableContents"/>
              <w:bidi w:val="0"/>
              <w:spacing w:before="0" w:after="0"/>
              <w:ind w:left="0" w:right="0" w:hanging="0"/>
              <w:jc w:val="center"/>
              <w:rPr/>
            </w:pPr>
            <w:r>
              <w:rPr/>
              <w:t> </w:t>
            </w:r>
          </w:p>
        </w:tc>
      </w:tr>
      <w:tr>
        <w:trPr/>
        <w:tc>
          <w:tcPr>
            <w:tcW w:w="621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sz w:val="15"/>
              </w:rPr>
            </w:pPr>
            <w:r>
              <w:rPr>
                <w:rFonts w:ascii="Times New Roman;serif" w:hAnsi="Times New Roman;serif"/>
                <w:b/>
                <w:sz w:val="15"/>
              </w:rPr>
              <w:t>Assets</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hanging="0"/>
              <w:jc w:val="righ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firstLine="200"/>
              <w:jc w:val="right"/>
              <w:rPr/>
            </w:pPr>
            <w:r>
              <w:rPr/>
              <w:t> </w:t>
            </w:r>
          </w:p>
        </w:tc>
      </w:tr>
      <w:tr>
        <w:trPr/>
        <w:tc>
          <w:tcPr>
            <w:tcW w:w="62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Non-controlled, non-affiliated investments (amortized cost—$794,387</w:t>
            </w:r>
            <w:r>
              <w:rPr>
                <w:rFonts w:ascii="Times New Roman" w:hAnsi="Times New Roman"/>
                <w:sz w:val="20"/>
              </w:rPr>
              <w:t> </w:t>
            </w:r>
            <w:r>
              <w:rPr>
                <w:rFonts w:ascii="Times New Roman;serif" w:hAnsi="Times New Roman;serif"/>
                <w:b w:val="false"/>
                <w:sz w:val="16"/>
              </w:rPr>
              <w:t>and $882,513, respectively)</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810,303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932,155</w:t>
            </w:r>
          </w:p>
        </w:tc>
        <w:tc>
          <w:tcPr>
            <w:tcW w:w="1013" w:type="dxa"/>
            <w:tcBorders/>
            <w:vAlign w:val="center"/>
          </w:tcPr>
          <w:p>
            <w:pPr>
              <w:pStyle w:val="TableContents"/>
              <w:bidi w:val="0"/>
              <w:spacing w:before="0" w:after="0"/>
              <w:ind w:left="0" w:right="0" w:firstLine="200"/>
              <w:jc w:val="left"/>
              <w:rPr/>
            </w:pPr>
            <w:r>
              <w:rPr/>
              <w:t> </w:t>
            </w:r>
          </w:p>
        </w:tc>
      </w:tr>
      <w:tr>
        <w:trPr/>
        <w:tc>
          <w:tcPr>
            <w:tcW w:w="62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Non-controlled, affiliated investments (amortized cost—$55,373</w:t>
            </w:r>
            <w:r>
              <w:rPr>
                <w:rFonts w:ascii="Times New Roman" w:hAnsi="Times New Roman"/>
                <w:sz w:val="20"/>
              </w:rPr>
              <w:t> </w:t>
            </w:r>
            <w:r>
              <w:rPr>
                <w:rFonts w:ascii="Times New Roman;serif" w:hAnsi="Times New Roman;serif"/>
                <w:b w:val="false"/>
                <w:sz w:val="16"/>
              </w:rPr>
              <w:t>and $37,612, respectively)</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50,197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34,760</w:t>
            </w:r>
          </w:p>
        </w:tc>
        <w:tc>
          <w:tcPr>
            <w:tcW w:w="1013" w:type="dxa"/>
            <w:tcBorders/>
            <w:vAlign w:val="center"/>
          </w:tcPr>
          <w:p>
            <w:pPr>
              <w:pStyle w:val="TableContents"/>
              <w:bidi w:val="0"/>
              <w:spacing w:before="0" w:after="0"/>
              <w:ind w:left="0" w:right="0" w:firstLine="200"/>
              <w:jc w:val="left"/>
              <w:rPr/>
            </w:pPr>
            <w:r>
              <w:rPr/>
              <w:t> </w:t>
            </w:r>
          </w:p>
        </w:tc>
      </w:tr>
      <w:tr>
        <w:trPr/>
        <w:tc>
          <w:tcPr>
            <w:tcW w:w="62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Controlled, affiliated investments (amortized cost—$244,940</w:t>
            </w:r>
            <w:r>
              <w:rPr>
                <w:rFonts w:ascii="Times New Roman" w:hAnsi="Times New Roman"/>
                <w:sz w:val="20"/>
              </w:rPr>
              <w:t> </w:t>
            </w:r>
            <w:r>
              <w:rPr>
                <w:rFonts w:ascii="Times New Roman;serif" w:hAnsi="Times New Roman;serif"/>
                <w:b w:val="false"/>
                <w:sz w:val="16"/>
              </w:rPr>
              <w:t>and $381,904, respectively)</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215,380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259,386</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6219"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16"/>
              </w:rPr>
              <w:t>Total investments (amortized cost—$1,094,700</w:t>
            </w:r>
            <w:r>
              <w:rPr>
                <w:rFonts w:ascii="Times New Roman" w:hAnsi="Times New Roman"/>
                <w:sz w:val="20"/>
              </w:rPr>
              <w:t> </w:t>
            </w:r>
            <w:r>
              <w:rPr>
                <w:rFonts w:ascii="Times New Roman;serif" w:hAnsi="Times New Roman;serif"/>
                <w:b w:val="false"/>
                <w:sz w:val="16"/>
              </w:rPr>
              <w:t>and $1,302,029, respectively)</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1,075,880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1,226,301</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Cash and cash equivalents (cost—$42,720</w:t>
            </w:r>
            <w:r>
              <w:rPr>
                <w:rFonts w:ascii="Times New Roman" w:hAnsi="Times New Roman"/>
                <w:sz w:val="20"/>
              </w:rPr>
              <w:t> </w:t>
            </w:r>
            <w:r>
              <w:rPr>
                <w:rFonts w:ascii="Times New Roman;serif" w:hAnsi="Times New Roman;serif"/>
                <w:b w:val="false"/>
                <w:sz w:val="16"/>
              </w:rPr>
              <w:t>and $52,844, respectively)</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42,776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52,666</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3,593</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investments sold</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15,630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29,494</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 receivable</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2,420</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12,036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4,036</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219"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1,156,371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1,318,510</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hanging="0"/>
              <w:jc w:val="righ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Distributions payable</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9,784</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Truist Credit Facility payable, at fair value (cost—$314,420</w:t>
            </w:r>
            <w:r>
              <w:rPr>
                <w:rFonts w:ascii="Times New Roman" w:hAnsi="Times New Roman"/>
                <w:sz w:val="20"/>
              </w:rPr>
              <w:t> </w:t>
            </w:r>
            <w:r>
              <w:rPr>
                <w:rFonts w:ascii="Times New Roman;serif" w:hAnsi="Times New Roman;serif"/>
                <w:b w:val="false"/>
                <w:sz w:val="16"/>
              </w:rPr>
              <w:t>and $385,920, respectively) (See Notes 5 and 10)</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376,687</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 payable, net (par— $150,000) (See Notes 5 and 10)</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147,443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146,767</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2026 Notes-2 payable, net (par— $165,000) (See Notes 5 and 10)</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162,013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161,373</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SBA debentures payable, net (par—zero</w:t>
            </w:r>
            <w:r>
              <w:rPr>
                <w:rFonts w:ascii="Times New Roman" w:hAnsi="Times New Roman"/>
                <w:sz w:val="20"/>
              </w:rPr>
              <w:t> </w:t>
            </w:r>
            <w:r>
              <w:rPr>
                <w:rFonts w:ascii="Times New Roman;serif" w:hAnsi="Times New Roman;serif"/>
                <w:b w:val="false"/>
                <w:sz w:val="16"/>
              </w:rPr>
              <w:t>and $20,000, respectively) (See Notes 5 and 10)</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19,686</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 payable (See Note 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4,849</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Incentive fee payable (See Note 3)</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pPr>
            <w:r>
              <w:rPr/>
              <w:t>—</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debt</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6,264</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10,927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6,639</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Deferred tax liability</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219"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652,752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732,945</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Commitments and contingencies (See Note 11)</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hanging="0"/>
              <w:jc w:val="righ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vAlign w:val="center"/>
          </w:tcPr>
          <w:p>
            <w:pPr>
              <w:pStyle w:val="TableContents"/>
              <w:bidi w:val="0"/>
              <w:spacing w:before="0" w:after="0"/>
              <w:ind w:left="0" w:right="0" w:hanging="0"/>
              <w:jc w:val="left"/>
              <w:rPr/>
            </w:pPr>
            <w:r>
              <w:rPr/>
              <w:t> </w:t>
            </w:r>
          </w:p>
        </w:tc>
        <w:tc>
          <w:tcPr>
            <w:tcW w:w="109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16" w:type="dxa"/>
            <w:gridSpan w:val="2"/>
            <w:tcBorders/>
            <w:vAlign w:val="center"/>
          </w:tcPr>
          <w:p>
            <w:pPr>
              <w:pStyle w:val="TableContents"/>
              <w:bidi w:val="0"/>
              <w:spacing w:before="0" w:after="0"/>
              <w:ind w:left="0" w:right="0" w:hanging="0"/>
              <w:jc w:val="right"/>
              <w:rPr/>
            </w:pPr>
            <w:r>
              <w:rPr/>
              <w:t> </w:t>
            </w:r>
          </w:p>
        </w:tc>
        <w:tc>
          <w:tcPr>
            <w:tcW w:w="1013" w:type="dxa"/>
            <w:tcBorders/>
            <w:vAlign w:val="center"/>
          </w:tcPr>
          <w:p>
            <w:pPr>
              <w:pStyle w:val="TableContents"/>
              <w:bidi w:val="0"/>
              <w:spacing w:before="0" w:after="0"/>
              <w:ind w:left="0" w:right="0" w:hanging="0"/>
              <w:jc w:val="right"/>
              <w:rPr/>
            </w:pPr>
            <w:r>
              <w:rPr/>
              <w:t> </w:t>
            </w:r>
          </w:p>
        </w:tc>
      </w:tr>
      <w:tr>
        <w:trPr/>
        <w:tc>
          <w:tcPr>
            <w:tcW w:w="6219"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Common stock, 65,224,500</w:t>
            </w:r>
            <w:r>
              <w:rPr>
                <w:rFonts w:ascii="Times New Roman" w:hAnsi="Times New Roman"/>
                <w:sz w:val="20"/>
              </w:rPr>
              <w:t> </w:t>
            </w:r>
            <w:r>
              <w:rPr>
                <w:rFonts w:ascii="Times New Roman;serif" w:hAnsi="Times New Roman;serif"/>
                <w:b w:val="false"/>
                <w:sz w:val="16"/>
              </w:rPr>
              <w:t>shares issued and outstanding</w:t>
              <w:br/>
              <w:t>   Par value $0.001</w:t>
            </w:r>
            <w:r>
              <w:rPr>
                <w:rFonts w:ascii="Times New Roman" w:hAnsi="Times New Roman"/>
                <w:sz w:val="20"/>
              </w:rPr>
              <w:t> </w:t>
            </w:r>
            <w:r>
              <w:rPr>
                <w:rFonts w:ascii="Times New Roman;serif" w:hAnsi="Times New Roman;serif"/>
                <w:b w:val="false"/>
                <w:sz w:val="16"/>
              </w:rPr>
              <w:t>per share and 100,000,000</w:t>
            </w:r>
            <w:r>
              <w:rPr>
                <w:rFonts w:ascii="Times New Roman" w:hAnsi="Times New Roman"/>
                <w:sz w:val="20"/>
              </w:rPr>
              <w:t> </w:t>
            </w:r>
            <w:r>
              <w:rPr>
                <w:rFonts w:ascii="Times New Roman;serif" w:hAnsi="Times New Roman;serif"/>
                <w:b w:val="false"/>
                <w:sz w:val="16"/>
              </w:rPr>
              <w:t>shares authorized</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Paid-in capital in excess of par value</w:t>
            </w:r>
          </w:p>
        </w:tc>
        <w:tc>
          <w:tcPr>
            <w:tcW w:w="146" w:type="dxa"/>
            <w:tcBorders/>
            <w:vAlign w:val="center"/>
          </w:tcPr>
          <w:p>
            <w:pPr>
              <w:pStyle w:val="TableContents"/>
              <w:bidi w:val="0"/>
              <w:spacing w:before="0" w:after="0"/>
              <w:ind w:left="0" w:right="0" w:hanging="0"/>
              <w:jc w:val="left"/>
              <w:rPr/>
            </w:pPr>
            <w:r>
              <w:rPr/>
              <w:t> </w:t>
            </w:r>
          </w:p>
        </w:tc>
        <w:tc>
          <w:tcPr>
            <w:tcW w:w="210"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748,169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114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748,169</w:t>
            </w:r>
          </w:p>
        </w:tc>
        <w:tc>
          <w:tcPr>
            <w:tcW w:w="1013" w:type="dxa"/>
            <w:tcBorders/>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Accumulated deficit</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(244,615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(162,669</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219"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Total net assets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503,619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585,565</w:t>
            </w:r>
          </w:p>
        </w:tc>
        <w:tc>
          <w:tcPr>
            <w:tcW w:w="1013" w:type="dxa"/>
            <w:tcBorders>
              <w:bottom w:val="single" w:sz="4" w:space="0" w:color="000000"/>
            </w:tcBorders>
            <w:tcMar>
              <w:top w:w="0" w:type="dxa"/>
              <w:left w:w="0" w:type="dxa"/>
              <w:right w:w="0" w:type="dxa"/>
            </w:tcMar>
            <w:vAlign w:val="center"/>
          </w:tcPr>
          <w:p>
            <w:pPr>
              <w:pStyle w:val="TableContents"/>
              <w:bidi w:val="0"/>
              <w:spacing w:before="0" w:after="0"/>
              <w:ind w:left="0" w:right="0" w:firstLine="800"/>
              <w:jc w:val="left"/>
              <w:rPr/>
            </w:pPr>
            <w:r>
              <w:rPr/>
              <w:t> </w:t>
            </w:r>
          </w:p>
        </w:tc>
      </w:tr>
      <w:tr>
        <w:trPr/>
        <w:tc>
          <w:tcPr>
            <w:tcW w:w="6219" w:type="dxa"/>
            <w:tcBorders/>
            <w:vAlign w:val="center"/>
          </w:tcPr>
          <w:p>
            <w:pPr>
              <w:pStyle w:val="TableContents"/>
              <w:bidi w:val="0"/>
              <w:spacing w:before="0" w:after="0"/>
              <w:ind w:left="800" w:right="0" w:hanging="0"/>
              <w:jc w:val="left"/>
              <w:rPr>
                <w:rFonts w:ascii="Times New Roman;serif" w:hAnsi="Times New Roman;serif"/>
                <w:b/>
                <w:sz w:val="16"/>
              </w:rPr>
            </w:pPr>
            <w:r>
              <w:rPr>
                <w:rFonts w:ascii="Times New Roman;serif" w:hAnsi="Times New Roman;serif"/>
                <w:b/>
                <w:sz w:val="16"/>
              </w:rPr>
              <w:t>Total liabilities and net assets</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1,156,371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1,318,510</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21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 value per share</w:t>
            </w:r>
          </w:p>
        </w:tc>
        <w:tc>
          <w:tcPr>
            <w:tcW w:w="146" w:type="dxa"/>
            <w:tcBorders/>
            <w:vAlign w:val="center"/>
          </w:tcPr>
          <w:p>
            <w:pPr>
              <w:pStyle w:val="TableContents"/>
              <w:bidi w:val="0"/>
              <w:spacing w:before="0" w:after="0"/>
              <w:ind w:left="0" w:right="0" w:hanging="0"/>
              <w:jc w:val="left"/>
              <w:rPr/>
            </w:pPr>
            <w:r>
              <w:rPr/>
              <w:t> </w:t>
            </w:r>
          </w:p>
        </w:tc>
        <w:tc>
          <w:tcPr>
            <w:tcW w:w="2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8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14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10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bookmarkStart w:id="6" w:name="consolidated_statements_operations"/>
      <w:bookmarkEnd w:id="6"/>
      <w:r>
        <w:rPr>
          <w:rFonts w:ascii="Times New Roman;serif" w:hAnsi="Times New Roman;serif"/>
          <w:b/>
          <w:sz w:val="16"/>
        </w:rPr>
        <w:t>CONSOLIDATED STATEMENTS OF OPERATIONS (Unaudited)</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per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969"/>
        <w:gridCol w:w="146"/>
        <w:gridCol w:w="215"/>
        <w:gridCol w:w="660"/>
        <w:gridCol w:w="182"/>
        <w:gridCol w:w="160"/>
        <w:gridCol w:w="215"/>
        <w:gridCol w:w="726"/>
        <w:gridCol w:w="166"/>
        <w:gridCol w:w="146"/>
        <w:gridCol w:w="196"/>
        <w:gridCol w:w="751"/>
        <w:gridCol w:w="166"/>
        <w:gridCol w:w="146"/>
        <w:gridCol w:w="196"/>
        <w:gridCol w:w="751"/>
        <w:gridCol w:w="414"/>
      </w:tblGrid>
      <w:tr>
        <w:trPr/>
        <w:tc>
          <w:tcPr>
            <w:tcW w:w="4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96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58"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hanging="0"/>
              <w:jc w:val="righ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From non-controlled, non-affiliated investments:</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23,189</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15,890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72,179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45,973</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4,071</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11,786</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595</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8,050</w:t>
            </w:r>
          </w:p>
        </w:tc>
        <w:tc>
          <w:tcPr>
            <w:tcW w:w="414" w:type="dxa"/>
            <w:tcBorders/>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From non-controlled, affiliated investments:</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From controlled, affiliated investments:</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4,392</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10,898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7,303</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Payment-in-kind</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361</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3,983</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4,386</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2,420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11,344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6,655</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45,011</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23,348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111,323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76,035</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Base management fee (See Note 3)</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3,993</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12,635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14,977</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Incentive fee (See Note 3)</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4,870</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2,657</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and expenses on debt (See Note 10)</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10,139</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6,737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30,455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20,122</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Administrative services expenses (See Note 3)</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750</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1,032</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2,169</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Expenses before provision for taxes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20,874</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57,761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40,675</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net investment income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1,181</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22,055</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12,797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61,392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41,275</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22,956</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10,551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34,760</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 and debt:</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hanging="0"/>
              <w:jc w:val="righ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and debt:</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(5,193</w:t>
            </w:r>
          </w:p>
        </w:tc>
        <w:tc>
          <w:tcPr>
            <w:tcW w:w="1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(15,742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7,203</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and controlled, affiliated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(34,381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(133,098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75,243</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Debt extinguishment</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(2,801</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realized gain on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(1,700</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(6,183</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realized gain (loss) on investments and debt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(6,893</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(35,391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(151,546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73,462</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w:t>
            </w:r>
          </w:p>
        </w:tc>
        <w:tc>
          <w:tcPr>
            <w:tcW w:w="146" w:type="dxa"/>
            <w:tcBorders/>
            <w:vAlign w:val="center"/>
          </w:tcPr>
          <w:p>
            <w:pPr>
              <w:pStyle w:val="TableContents"/>
              <w:bidi w:val="0"/>
              <w:spacing w:before="0" w:after="0"/>
              <w:ind w:left="0" w:right="0" w:hanging="0"/>
              <w:jc w:val="left"/>
              <w:rPr/>
            </w:pPr>
            <w:r>
              <w:rPr/>
              <w:t> </w:t>
            </w:r>
          </w:p>
        </w:tc>
        <w:tc>
          <w:tcPr>
            <w:tcW w:w="875" w:type="dxa"/>
            <w:gridSpan w:val="2"/>
            <w:tcBorders/>
            <w:vAlign w:val="center"/>
          </w:tcPr>
          <w:p>
            <w:pPr>
              <w:pStyle w:val="TableContents"/>
              <w:bidi w:val="0"/>
              <w:spacing w:before="0" w:after="0"/>
              <w:ind w:left="0" w:right="0" w:hanging="0"/>
              <w:jc w:val="right"/>
              <w:rPr/>
            </w:pPr>
            <w:r>
              <w:rPr/>
              <w:t> </w:t>
            </w:r>
          </w:p>
        </w:tc>
        <w:tc>
          <w:tcPr>
            <w:tcW w:w="182" w:type="dxa"/>
            <w:tcBorders/>
            <w:vAlign w:val="center"/>
          </w:tcPr>
          <w:p>
            <w:pPr>
              <w:pStyle w:val="TableContents"/>
              <w:bidi w:val="0"/>
              <w:spacing w:before="0" w:after="0"/>
              <w:ind w:left="0" w:right="0" w:hanging="0"/>
              <w:jc w:val="right"/>
              <w:rPr/>
            </w:pPr>
            <w:r>
              <w:rPr/>
              <w:t> </w:t>
            </w:r>
          </w:p>
        </w:tc>
        <w:tc>
          <w:tcPr>
            <w:tcW w:w="160" w:type="dxa"/>
            <w:tcBorders/>
            <w:vAlign w:val="center"/>
          </w:tcPr>
          <w:p>
            <w:pPr>
              <w:pStyle w:val="TableContents"/>
              <w:bidi w:val="0"/>
              <w:spacing w:before="0" w:after="0"/>
              <w:ind w:left="0" w:right="0" w:hanging="0"/>
              <w:jc w:val="left"/>
              <w:rPr/>
            </w:pPr>
            <w:r>
              <w:rPr/>
              <w:t> </w:t>
            </w:r>
          </w:p>
        </w:tc>
        <w:tc>
          <w:tcPr>
            <w:tcW w:w="941"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non-affiliated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13,056</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14,317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(33,513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(193,348</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Non-controlled and controlled, affiliated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(8,725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90,634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94,257</w:t>
            </w:r>
          </w:p>
        </w:tc>
        <w:tc>
          <w:tcPr>
            <w:tcW w:w="414" w:type="dxa"/>
            <w:tcBorders/>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Provision for taxes on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660" w:type="dxa"/>
            <w:tcBorders/>
            <w:vAlign w:val="center"/>
          </w:tcPr>
          <w:p>
            <w:pPr>
              <w:pStyle w:val="TableContents"/>
              <w:bidi w:val="0"/>
              <w:spacing w:before="0" w:after="0"/>
              <w:ind w:left="0" w:right="0" w:hanging="0"/>
              <w:jc w:val="right"/>
              <w:rPr/>
            </w:pPr>
            <w:r>
              <w:rPr/>
              <w:t>—</w:t>
            </w:r>
          </w:p>
        </w:tc>
        <w:tc>
          <w:tcPr>
            <w:tcW w:w="182"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7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(8,128</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Debt appreciation (depreciation) (See Notes 5 and 10)</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(8,393</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9,183</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69"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change in unrealized appreciation (depreciation) on investments and debt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4,886</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6,359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55,543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(98,036</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 (loss) from investments and debt</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(2,007</w:t>
            </w:r>
          </w:p>
        </w:tc>
        <w:tc>
          <w:tcPr>
            <w:tcW w:w="1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(96,003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(24,574</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20,949</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(46,072</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10,186</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 per common share (See Note 7)</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0.32</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0.15</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6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per common share</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0.35</w:t>
            </w:r>
          </w:p>
        </w:tc>
        <w:tc>
          <w:tcPr>
            <w:tcW w:w="1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0.52</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bookmarkStart w:id="7" w:name="consolidated_statements_changes_in_net_a"/>
      <w:bookmarkEnd w:id="7"/>
      <w:r>
        <w:rPr>
          <w:rFonts w:ascii="Times New Roman;serif" w:hAnsi="Times New Roman;serif"/>
          <w:b/>
          <w:sz w:val="16"/>
        </w:rPr>
        <w:t>CONSOLIDATED STATEMENTS OF CHANGES IN NET ASSETS (Unaudited)</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4845"/>
        <w:gridCol w:w="146"/>
        <w:gridCol w:w="207"/>
        <w:gridCol w:w="732"/>
        <w:gridCol w:w="175"/>
        <w:gridCol w:w="154"/>
        <w:gridCol w:w="207"/>
        <w:gridCol w:w="732"/>
        <w:gridCol w:w="166"/>
        <w:gridCol w:w="146"/>
        <w:gridCol w:w="196"/>
        <w:gridCol w:w="751"/>
        <w:gridCol w:w="166"/>
        <w:gridCol w:w="146"/>
        <w:gridCol w:w="196"/>
        <w:gridCol w:w="826"/>
        <w:gridCol w:w="414"/>
      </w:tblGrid>
      <w:tr>
        <w:trPr/>
        <w:tc>
          <w:tcPr>
            <w:tcW w:w="4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07"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8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8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22,956</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10,551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49,931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34,760</w:t>
            </w:r>
          </w:p>
        </w:tc>
        <w:tc>
          <w:tcPr>
            <w:tcW w:w="414" w:type="dxa"/>
            <w:tcBorders/>
            <w:vAlign w:val="center"/>
          </w:tcPr>
          <w:p>
            <w:pPr>
              <w:pStyle w:val="TableContents"/>
              <w:bidi w:val="0"/>
              <w:spacing w:before="0" w:after="0"/>
              <w:ind w:left="0" w:right="0" w:firstLine="200"/>
              <w:jc w:val="lef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realized gain (loss) on investments and debt</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(5,193</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(34,268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(149,129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79,645</w:t>
            </w:r>
          </w:p>
        </w:tc>
        <w:tc>
          <w:tcPr>
            <w:tcW w:w="414" w:type="dxa"/>
            <w:tcBorders/>
            <w:vAlign w:val="center"/>
          </w:tcPr>
          <w:p>
            <w:pPr>
              <w:pStyle w:val="TableContents"/>
              <w:bidi w:val="0"/>
              <w:spacing w:before="0" w:after="0"/>
              <w:ind w:left="0" w:right="0" w:firstLine="200"/>
              <w:jc w:val="lef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13,279</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(99,091</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provision for taxes on 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(1,700</w:t>
            </w:r>
          </w:p>
        </w:tc>
        <w:tc>
          <w:tcPr>
            <w:tcW w:w="17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(2,417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(6,183</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provision for taxes on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pPr>
            <w:r>
              <w:rPr/>
              <w:t>—</w:t>
            </w:r>
          </w:p>
        </w:tc>
        <w:tc>
          <w:tcPr>
            <w:tcW w:w="175" w:type="dxa"/>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73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(8,128</w:t>
            </w:r>
          </w:p>
        </w:tc>
        <w:tc>
          <w:tcPr>
            <w:tcW w:w="414"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debt</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(8,393</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8,894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9,183</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20,949</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(46,072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10,186</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Distributions to stockholders: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(13,045</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(9,378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(35,874</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(26,808</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Capital Transactions: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righ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Repurchase of common stock (See Note 13)</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(12,012</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7,904</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(32,817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(81,946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(28,634</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Beginning of period</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495,715</w:t>
            </w:r>
          </w:p>
        </w:tc>
        <w:tc>
          <w:tcPr>
            <w:tcW w:w="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664,327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585,565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660,144</w:t>
            </w:r>
          </w:p>
        </w:tc>
        <w:tc>
          <w:tcPr>
            <w:tcW w:w="414"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845"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End of period</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503,619</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631,510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503,619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631,510</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845"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Capital share activity:</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75"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vAlign w:val="center"/>
          </w:tcPr>
          <w:p>
            <w:pPr>
              <w:pStyle w:val="TableContents"/>
              <w:bidi w:val="0"/>
              <w:spacing w:before="0" w:after="0"/>
              <w:ind w:left="0" w:right="0" w:hanging="0"/>
              <w:jc w:val="right"/>
              <w:rPr/>
            </w:pPr>
            <w:r>
              <w:rPr/>
              <w:t> </w:t>
            </w:r>
          </w:p>
        </w:tc>
        <w:tc>
          <w:tcPr>
            <w:tcW w:w="414" w:type="dxa"/>
            <w:tcBorders/>
            <w:vAlign w:val="center"/>
          </w:tcPr>
          <w:p>
            <w:pPr>
              <w:pStyle w:val="TableContents"/>
              <w:bidi w:val="0"/>
              <w:spacing w:before="0" w:after="0"/>
              <w:ind w:left="0" w:right="0" w:firstLine="200"/>
              <w:jc w:val="right"/>
              <w:rPr/>
            </w:pPr>
            <w:r>
              <w:rPr/>
              <w:t> </w:t>
            </w:r>
          </w:p>
        </w:tc>
      </w:tr>
      <w:tr>
        <w:trPr/>
        <w:tc>
          <w:tcPr>
            <w:tcW w:w="4845" w:type="dxa"/>
            <w:tcBorders/>
            <w:vAlign w:val="center"/>
          </w:tcPr>
          <w:p>
            <w:pPr>
              <w:pStyle w:val="TableContents"/>
              <w:bidi w:val="0"/>
              <w:spacing w:before="0" w:after="0"/>
              <w:ind w:left="0" w:right="0" w:firstLine="200"/>
              <w:jc w:val="left"/>
              <w:rPr>
                <w:rFonts w:ascii="Times New Roman;serif" w:hAnsi="Times New Roman;serif"/>
                <w:b w:val="false"/>
                <w:sz w:val="16"/>
              </w:rPr>
            </w:pPr>
            <w:r>
              <w:rPr>
                <w:rFonts w:ascii="Times New Roman;serif" w:hAnsi="Times New Roman;serif"/>
                <w:b w:val="false"/>
                <w:sz w:val="16"/>
              </w:rPr>
              <w:t>Shares of common stock repurchased</w:t>
            </w:r>
          </w:p>
        </w:tc>
        <w:tc>
          <w:tcPr>
            <w:tcW w:w="146" w:type="dxa"/>
            <w:tcBorders/>
            <w:vAlign w:val="center"/>
          </w:tcPr>
          <w:p>
            <w:pPr>
              <w:pStyle w:val="TableContents"/>
              <w:bidi w:val="0"/>
              <w:spacing w:before="0" w:after="0"/>
              <w:ind w:left="200" w:right="0" w:hanging="0"/>
              <w:jc w:val="lef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right"/>
              <w:rPr/>
            </w:pPr>
            <w:r>
              <w:rPr/>
              <w:t> </w:t>
            </w:r>
          </w:p>
        </w:tc>
        <w:tc>
          <w:tcPr>
            <w:tcW w:w="20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717,709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1,631,163</w:t>
            </w:r>
          </w:p>
        </w:tc>
        <w:tc>
          <w:tcPr>
            <w:tcW w:w="4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6</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bookmarkStart w:id="8" w:name="consolidated_statements_cash_flows"/>
      <w:bookmarkEnd w:id="8"/>
      <w:r>
        <w:rPr>
          <w:rFonts w:ascii="Times New Roman;serif" w:hAnsi="Times New Roman;serif"/>
          <w:b/>
          <w:sz w:val="16"/>
        </w:rPr>
        <w:t>CONSOLIDATED STATEMENTS OF CASH FLOWS (Unaudited)</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w:t>
      </w:r>
    </w:p>
    <w:p>
      <w:pPr>
        <w:pStyle w:val="TextBody"/>
        <w:bidi w:val="0"/>
        <w:spacing w:before="0" w:after="0"/>
        <w:jc w:val="center"/>
        <w:rPr/>
      </w:pPr>
      <w:r>
        <w:rPr/>
        <w:t> </w:t>
      </w:r>
    </w:p>
    <w:tbl>
      <w:tblPr>
        <w:tblW w:w="9134" w:type="dxa"/>
        <w:jc w:val="left"/>
        <w:tblInd w:w="0" w:type="dxa"/>
        <w:tblLayout w:type="fixed"/>
        <w:tblCellMar>
          <w:top w:w="28" w:type="dxa"/>
          <w:left w:w="28" w:type="dxa"/>
          <w:bottom w:w="28" w:type="dxa"/>
          <w:right w:w="28" w:type="dxa"/>
        </w:tblCellMar>
      </w:tblPr>
      <w:tblGrid>
        <w:gridCol w:w="5371"/>
        <w:gridCol w:w="146"/>
        <w:gridCol w:w="196"/>
        <w:gridCol w:w="751"/>
        <w:gridCol w:w="166"/>
        <w:gridCol w:w="146"/>
        <w:gridCol w:w="196"/>
        <w:gridCol w:w="751"/>
        <w:gridCol w:w="14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411" w:type="dxa"/>
            <w:tcBorders/>
            <w:vAlign w:val="center"/>
          </w:tcPr>
          <w:p>
            <w:pPr>
              <w:pStyle w:val="TableContents"/>
              <w:bidi w:val="0"/>
              <w:spacing w:before="0" w:after="0"/>
              <w:ind w:left="0" w:right="0" w:firstLine="400"/>
              <w:jc w:val="right"/>
              <w:rPr/>
            </w:pPr>
            <w:r>
              <w:rPr/>
              <w:t> </w:t>
            </w:r>
          </w:p>
        </w:tc>
      </w:tr>
      <w:tr>
        <w:trPr/>
        <w:tc>
          <w:tcPr>
            <w:tcW w:w="537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10,186</w:t>
            </w:r>
          </w:p>
        </w:tc>
        <w:tc>
          <w:tcPr>
            <w:tcW w:w="1411" w:type="dxa"/>
            <w:tcBorders/>
            <w:vAlign w:val="center"/>
          </w:tcPr>
          <w:p>
            <w:pPr>
              <w:pStyle w:val="TableContents"/>
              <w:bidi w:val="0"/>
              <w:spacing w:before="0" w:after="0"/>
              <w:ind w:left="0" w:right="0" w:firstLine="400"/>
              <w:jc w:val="left"/>
              <w:rPr/>
            </w:pPr>
            <w:r>
              <w:rPr/>
              <w:t> </w:t>
            </w:r>
          </w:p>
        </w:tc>
      </w:tr>
      <w:tr>
        <w:trPr/>
        <w:tc>
          <w:tcPr>
            <w:tcW w:w="537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 xml:space="preserve">Adjustments to reconcile net increase (decrease) in net assets resulting from </w:t>
              <w:br/>
              <w:t>   operations to 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change in net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(57,121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99,091</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(9,183</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148,840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(82,446</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Debt extinguishment realized loss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2,801</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accretion of discount and amortization of premium</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(5,210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(3,763</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Purchases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(214,355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(799,414</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Payment-in-kind income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(8,785</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Proceeds from dispositions of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280,467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736,031</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Amortization of deferred financing costs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1,341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1,507</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(Increase) or Decrease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firstLine="1000"/>
              <w:jc w:val="left"/>
              <w:rPr/>
            </w:pPr>
            <w:r>
              <w:rPr/>
              <w:t> </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1,646</w:t>
            </w:r>
          </w:p>
        </w:tc>
        <w:tc>
          <w:tcPr>
            <w:tcW w:w="1411" w:type="dxa"/>
            <w:tcBorders/>
            <w:vAlign w:val="center"/>
          </w:tcPr>
          <w:p>
            <w:pPr>
              <w:pStyle w:val="TableContents"/>
              <w:bidi w:val="0"/>
              <w:spacing w:before="0" w:after="0"/>
              <w:ind w:left="0" w:right="0" w:firstLine="1000"/>
              <w:jc w:val="left"/>
              <w:rPr/>
            </w:pPr>
            <w:r>
              <w:rPr/>
              <w:t> </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Receivables from investments sold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13,864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(44,614</w:t>
            </w:r>
          </w:p>
        </w:tc>
        <w:tc>
          <w:tcPr>
            <w:tcW w:w="1411" w:type="dxa"/>
            <w:tcBorders/>
            <w:vAlign w:val="center"/>
          </w:tcPr>
          <w:p>
            <w:pPr>
              <w:pStyle w:val="TableContents"/>
              <w:bidi w:val="0"/>
              <w:spacing w:before="0" w:after="0"/>
              <w:ind w:left="0" w:right="0" w:firstLine="10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Distribution receivable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(2,659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(726</w:t>
            </w:r>
          </w:p>
        </w:tc>
        <w:tc>
          <w:tcPr>
            <w:tcW w:w="1411" w:type="dxa"/>
            <w:tcBorders/>
            <w:vAlign w:val="center"/>
          </w:tcPr>
          <w:p>
            <w:pPr>
              <w:pStyle w:val="TableContents"/>
              <w:bidi w:val="0"/>
              <w:spacing w:before="0" w:after="0"/>
              <w:ind w:left="0" w:right="0" w:firstLine="10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Prepiad expenses and other assets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(23,571</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Increase or (Decrease) in: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firstLine="1000"/>
              <w:jc w:val="left"/>
              <w:rPr/>
            </w:pPr>
            <w:r>
              <w:rPr/>
              <w:t> </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12,028</w:t>
            </w:r>
          </w:p>
        </w:tc>
        <w:tc>
          <w:tcPr>
            <w:tcW w:w="1411" w:type="dxa"/>
            <w:tcBorders/>
            <w:vAlign w:val="center"/>
          </w:tcPr>
          <w:p>
            <w:pPr>
              <w:pStyle w:val="TableContents"/>
              <w:bidi w:val="0"/>
              <w:spacing w:before="0" w:after="0"/>
              <w:ind w:left="0" w:right="0" w:firstLine="1000"/>
              <w:jc w:val="left"/>
              <w:rPr/>
            </w:pPr>
            <w:r>
              <w:rPr/>
              <w:t> </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Interest payable on debt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(3,464</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(1,556</w:t>
            </w:r>
          </w:p>
        </w:tc>
        <w:tc>
          <w:tcPr>
            <w:tcW w:w="1411" w:type="dxa"/>
            <w:tcBorders/>
            <w:vAlign w:val="center"/>
          </w:tcPr>
          <w:p>
            <w:pPr>
              <w:pStyle w:val="TableContents"/>
              <w:bidi w:val="0"/>
              <w:spacing w:before="0" w:after="0"/>
              <w:ind w:left="0" w:right="0" w:firstLine="10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Base management fee payable, net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w:t>
            </w:r>
          </w:p>
        </w:tc>
        <w:tc>
          <w:tcPr>
            <w:tcW w:w="1411" w:type="dxa"/>
            <w:tcBorders/>
            <w:vAlign w:val="center"/>
          </w:tcPr>
          <w:p>
            <w:pPr>
              <w:pStyle w:val="TableContents"/>
              <w:bidi w:val="0"/>
              <w:spacing w:before="0" w:after="0"/>
              <w:ind w:left="0" w:right="0" w:firstLine="1000"/>
              <w:jc w:val="left"/>
              <w:rPr/>
            </w:pPr>
            <w:r>
              <w:rPr/>
              <w:t> </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Incentive fee payable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4,870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(575</w:t>
            </w:r>
          </w:p>
        </w:tc>
        <w:tc>
          <w:tcPr>
            <w:tcW w:w="1411" w:type="dxa"/>
            <w:tcBorders/>
            <w:vAlign w:val="center"/>
          </w:tcPr>
          <w:p>
            <w:pPr>
              <w:pStyle w:val="TableContents"/>
              <w:bidi w:val="0"/>
              <w:spacing w:before="0" w:after="0"/>
              <w:ind w:left="0" w:right="0" w:firstLine="10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Deferred tax liability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8,127</w:t>
            </w:r>
          </w:p>
        </w:tc>
        <w:tc>
          <w:tcPr>
            <w:tcW w:w="1411" w:type="dxa"/>
            <w:tcBorders/>
            <w:vAlign w:val="center"/>
          </w:tcPr>
          <w:p>
            <w:pPr>
              <w:pStyle w:val="TableContents"/>
              <w:bidi w:val="0"/>
              <w:spacing w:before="0" w:after="0"/>
              <w:ind w:left="0" w:right="0" w:firstLine="1000"/>
              <w:jc w:val="left"/>
              <w:rPr/>
            </w:pPr>
            <w:r>
              <w:rPr/>
              <w:t> </w:t>
            </w:r>
          </w:p>
        </w:tc>
      </w:tr>
      <w:tr>
        <w:trPr/>
        <w:tc>
          <w:tcPr>
            <w:tcW w:w="5371" w:type="dxa"/>
            <w:tcBorders/>
            <w:vAlign w:val="center"/>
          </w:tcPr>
          <w:p>
            <w:pPr>
              <w:pStyle w:val="TableContents"/>
              <w:bidi w:val="0"/>
              <w:spacing w:before="0" w:after="0"/>
              <w:ind w:left="100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4,288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5,426</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firstLine="1200"/>
              <w:jc w:val="left"/>
              <w:rPr/>
            </w:pPr>
            <w:r>
              <w:rPr/>
              <w:t> </w:t>
            </w:r>
          </w:p>
        </w:tc>
      </w:tr>
      <w:tr>
        <w:trPr/>
        <w:tc>
          <w:tcPr>
            <w:tcW w:w="5371" w:type="dxa"/>
            <w:tcBorders/>
            <w:vAlign w:val="center"/>
          </w:tcPr>
          <w:p>
            <w:pPr>
              <w:pStyle w:val="TableContents"/>
              <w:bidi w:val="0"/>
              <w:spacing w:before="0" w:after="0"/>
              <w:ind w:left="1200" w:right="0" w:hanging="0"/>
              <w:jc w:val="left"/>
              <w:rPr>
                <w:rFonts w:ascii="Times New Roman;serif" w:hAnsi="Times New Roman;serif"/>
                <w:b w:val="false"/>
                <w:sz w:val="16"/>
              </w:rPr>
            </w:pPr>
            <w:r>
              <w:rPr>
                <w:rFonts w:ascii="Times New Roman;serif" w:hAnsi="Times New Roman;serif"/>
                <w:b w:val="false"/>
                <w:sz w:val="16"/>
              </w:rPr>
              <w:t>Net cash provided by (used in) operating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113,947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(97,483</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Repurchase of common stock</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(12,014</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Distributions paid to stockholders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(32,612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(25,348</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Net repayments of the 2024 Notes issuance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(86,250</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Proceeds from 2026 Notes-2 issuance</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160,519</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Repayments under SBA debentures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(36,358</w:t>
            </w:r>
          </w:p>
        </w:tc>
        <w:tc>
          <w:tcPr>
            <w:tcW w:w="1411" w:type="dxa"/>
            <w:tcBorders/>
            <w:vAlign w:val="center"/>
          </w:tcPr>
          <w:p>
            <w:pPr>
              <w:pStyle w:val="TableContents"/>
              <w:bidi w:val="0"/>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Borrowings under Truist Credit Facility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815,841</w:t>
            </w:r>
          </w:p>
        </w:tc>
        <w:tc>
          <w:tcPr>
            <w:tcW w:w="1411" w:type="dxa"/>
            <w:tcBorders/>
            <w:vAlign w:val="center"/>
          </w:tcPr>
          <w:p>
            <w:pPr>
              <w:pStyle w:val="TableContents"/>
              <w:bidi w:val="0"/>
              <w:spacing w:before="0" w:after="0"/>
              <w:ind w:left="0" w:right="0" w:firstLine="800"/>
              <w:jc w:val="left"/>
              <w:rPr/>
            </w:pPr>
            <w:r>
              <w:rPr/>
              <w:t> </w:t>
            </w:r>
          </w:p>
        </w:tc>
      </w:tr>
      <w:tr>
        <w:trPr/>
        <w:tc>
          <w:tcPr>
            <w:tcW w:w="5371" w:type="dxa"/>
            <w:tcBorders/>
            <w:vAlign w:val="center"/>
          </w:tcPr>
          <w:p>
            <w:pPr>
              <w:pStyle w:val="TableContents"/>
              <w:bidi w:val="0"/>
              <w:spacing w:before="0" w:after="0"/>
              <w:ind w:left="800" w:right="0" w:hanging="0"/>
              <w:jc w:val="left"/>
              <w:rPr>
                <w:rFonts w:ascii="Times New Roman;serif" w:hAnsi="Times New Roman;serif"/>
                <w:b w:val="false"/>
                <w:sz w:val="16"/>
              </w:rPr>
            </w:pPr>
            <w:r>
              <w:rPr>
                <w:rFonts w:ascii="Times New Roman;serif" w:hAnsi="Times New Roman;serif"/>
                <w:b w:val="false"/>
                <w:sz w:val="16"/>
              </w:rPr>
              <w:t>Repayments under Truist Credit Facility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(194,000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(709,466</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firstLine="120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1200" w:right="0" w:hanging="0"/>
              <w:jc w:val="left"/>
              <w:rPr>
                <w:rFonts w:ascii="Times New Roman;serif" w:hAnsi="Times New Roman;serif"/>
                <w:b w:val="false"/>
                <w:sz w:val="16"/>
              </w:rPr>
            </w:pPr>
            <w:r>
              <w:rPr>
                <w:rFonts w:ascii="Times New Roman;serif" w:hAnsi="Times New Roman;serif"/>
                <w:b w:val="false"/>
                <w:sz w:val="16"/>
              </w:rPr>
              <w:t>Net cash provided by (used in) financing activities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106,924</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(10,165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9,441</w:t>
            </w:r>
          </w:p>
        </w:tc>
        <w:tc>
          <w:tcPr>
            <w:tcW w:w="1411" w:type="dxa"/>
            <w:tcBorders/>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Effect of exchange rate changes on cash</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(251</w:t>
            </w:r>
          </w:p>
        </w:tc>
        <w:tc>
          <w:tcPr>
            <w:tcW w:w="14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20,357</w:t>
            </w:r>
          </w:p>
        </w:tc>
        <w:tc>
          <w:tcPr>
            <w:tcW w:w="1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Cash and cash equivalents,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42,776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29,547</w:t>
            </w:r>
          </w:p>
        </w:tc>
        <w:tc>
          <w:tcPr>
            <w:tcW w:w="1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7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Supplemental disclosure of cash flow information:</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firstLine="200"/>
              <w:jc w:val="left"/>
              <w:rPr/>
            </w:pPr>
            <w:r>
              <w:rPr/>
              <w:t> </w:t>
            </w:r>
          </w:p>
        </w:tc>
      </w:tr>
      <w:tr>
        <w:trPr/>
        <w:tc>
          <w:tcPr>
            <w:tcW w:w="537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paid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32,578</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20,170</w:t>
            </w:r>
          </w:p>
        </w:tc>
        <w:tc>
          <w:tcPr>
            <w:tcW w:w="1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37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Taxes paid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5,255</w:t>
            </w:r>
          </w:p>
        </w:tc>
        <w:tc>
          <w:tcPr>
            <w:tcW w:w="1411" w:type="dxa"/>
            <w:tcBorders>
              <w:bottom w:val="double" w:sz="6"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371"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Non-cash exchanges and conversions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15,720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(59,651</w:t>
            </w:r>
          </w:p>
        </w:tc>
        <w:tc>
          <w:tcPr>
            <w:tcW w:w="1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7</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bookmarkStart w:id="9" w:name="consolidated_schedule_investments"/>
      <w:bookmarkEnd w:id="9"/>
      <w:r>
        <w:rPr>
          <w:rFonts w:ascii="Times New Roman;serif" w:hAnsi="Times New Roman;serif"/>
          <w:b/>
          <w:sz w:val="16"/>
        </w:rPr>
        <w:t>CONSOLIDATED SCHEDULE OF INVESTMENTS (Unaudited)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809"/>
        <w:gridCol w:w="146"/>
        <w:gridCol w:w="932"/>
        <w:gridCol w:w="146"/>
        <w:gridCol w:w="1526"/>
        <w:gridCol w:w="146"/>
        <w:gridCol w:w="151"/>
        <w:gridCol w:w="390"/>
        <w:gridCol w:w="211"/>
        <w:gridCol w:w="146"/>
        <w:gridCol w:w="194"/>
        <w:gridCol w:w="461"/>
        <w:gridCol w:w="146"/>
        <w:gridCol w:w="146"/>
        <w:gridCol w:w="146"/>
        <w:gridCol w:w="436"/>
        <w:gridCol w:w="146"/>
        <w:gridCol w:w="146"/>
        <w:gridCol w:w="166"/>
        <w:gridCol w:w="436"/>
        <w:gridCol w:w="146"/>
        <w:gridCol w:w="146"/>
        <w:gridCol w:w="189"/>
        <w:gridCol w:w="498"/>
        <w:gridCol w:w="200"/>
      </w:tblGrid>
      <w:tr>
        <w:trPr/>
        <w:tc>
          <w:tcPr>
            <w:tcW w:w="2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8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Non-Affiliated Portfolio Companies—160.9% of Net Assets </w:t>
            </w:r>
            <w:r>
              <w:rPr>
                <w:rFonts w:ascii="Times New Roman;serif" w:hAnsi="Times New Roman;serif"/>
                <w:b/>
                <w:sz w:val="8"/>
              </w:rPr>
              <w:t>(1), (2)</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gridSpan w:val="2"/>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righ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Debt—105.2% of Net Assets</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gridSpan w:val="2"/>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righ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L+660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5,106</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 - Unfunded Term Loan</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A1 Garage Merger Sub,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 +550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1,234</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LLC (f/k/a MeritDirect,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SOFR+563</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3,976</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Any Hour Services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1,324</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1,876</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Apex Service Partners,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2,790</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04/21/2023</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P+475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Arcfield Acquisition Corp.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03/07/2028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Berwick Industrial Park</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11/02/2023</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Buildings and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3,928</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4,541</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BioDerm,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1,804</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Blackhawk Industrial Distribution, Inc.</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12/04/2025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9,902</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33,972</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 -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1,259</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06/14/2028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6,543</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CF512, Inc.(Revolver)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02/09/2026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459</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Compex Legal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07/14/2023</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Confluent Health,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P+300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1,980</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Crane 1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12,693</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08/27/2026</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DRS Holdings III,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19,058</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6,079</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 - Unfunded Term Loan</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EDS Buyer, LLC -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ETE Intermediate II,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05/25/2029</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12,031</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ETE Intermediate II, LLC - Funded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05/25/2029</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ETE Intermediate II,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05/25/2029</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23,949</w:t>
            </w:r>
          </w:p>
        </w:tc>
        <w:tc>
          <w:tcPr>
            <w:tcW w:w="200" w:type="dxa"/>
            <w:tcBorders/>
            <w:vAlign w:val="center"/>
          </w:tcPr>
          <w:p>
            <w:pPr>
              <w:pStyle w:val="TableContents"/>
              <w:bidi w:val="0"/>
              <w:spacing w:before="0" w:after="0"/>
              <w:ind w:left="0" w:right="0" w:hanging="0"/>
              <w:jc w:val="left"/>
              <w:rPr/>
            </w:pPr>
            <w:r>
              <w:rPr/>
              <w:t> </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Exigo Intermediate II, LLC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03/15/2024</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9"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152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8</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(Unaudited)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095"/>
        <w:gridCol w:w="146"/>
        <w:gridCol w:w="991"/>
        <w:gridCol w:w="146"/>
        <w:gridCol w:w="2009"/>
        <w:gridCol w:w="146"/>
        <w:gridCol w:w="181"/>
        <w:gridCol w:w="468"/>
        <w:gridCol w:w="211"/>
        <w:gridCol w:w="146"/>
        <w:gridCol w:w="206"/>
        <w:gridCol w:w="490"/>
        <w:gridCol w:w="146"/>
        <w:gridCol w:w="146"/>
        <w:gridCol w:w="146"/>
        <w:gridCol w:w="436"/>
        <w:gridCol w:w="146"/>
        <w:gridCol w:w="146"/>
        <w:gridCol w:w="166"/>
        <w:gridCol w:w="436"/>
        <w:gridCol w:w="146"/>
        <w:gridCol w:w="146"/>
        <w:gridCol w:w="195"/>
        <w:gridCol w:w="514"/>
        <w:gridCol w:w="201"/>
      </w:tblGrid>
      <w:tr>
        <w:trPr/>
        <w:tc>
          <w:tcPr>
            <w:tcW w:w="2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06/17/2028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717</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 - Unfunded Term Loan</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 - Unfunded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15,972</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1,921</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Graffiti Buyer,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08/10/2023</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Graffiti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328</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1,884</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Holdco Sands Intermediate,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HV Watterson Holdings,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 -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HV Watterson Holdings, LLC -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11,069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05/11/2028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3,657</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IDC Infusion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12/07/2023</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20,199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L+685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1,751</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 - Unfunded Term Loan</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12/28/2023</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Infinity Home Services Holdco, Inc.(Revolver)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1,423</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Infolinks Media Buyco,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11/01/2023</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08/27/2025</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9,781</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06/30/2025</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L+761</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13,002</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Inventus Power,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06/30/2025</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ITI Holdings,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10,736</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K2 Pure Solutions NoCal, L.P.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9,058</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4,303</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Kinetic Purchaser,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02/18/2027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2,764</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1,187</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Lash OpCo,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2,120</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8,926</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Ledge Lounger,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2,171</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 - Unfunded Term Loan</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07/31/2024</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LJ Avalon Holdings, LLC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01/31/2030</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LSF9 Atlantis Holdings,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03/31/2029</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5,548</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Loving Tan Intermediate II,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05/31/2028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Loving Tan Intermediate II, Inc.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05/31/2028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4,840</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Acquisition Holdings Corp.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MBS Holdings,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19,735</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 (Revolver)</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1,016</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1,903</w:t>
            </w:r>
          </w:p>
        </w:tc>
        <w:tc>
          <w:tcPr>
            <w:tcW w:w="201" w:type="dxa"/>
            <w:tcBorders/>
            <w:vAlign w:val="center"/>
          </w:tcPr>
          <w:p>
            <w:pPr>
              <w:pStyle w:val="TableContents"/>
              <w:bidi w:val="0"/>
              <w:spacing w:before="0" w:after="0"/>
              <w:ind w:left="0" w:right="0" w:hanging="0"/>
              <w:jc w:val="left"/>
              <w:rPr/>
            </w:pPr>
            <w:r>
              <w:rPr/>
              <w:t> </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 Term Loan I</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 Term Loan II</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09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0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68"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9</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(Unaudited)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345"/>
        <w:gridCol w:w="146"/>
        <w:gridCol w:w="1024"/>
        <w:gridCol w:w="146"/>
        <w:gridCol w:w="1632"/>
        <w:gridCol w:w="146"/>
        <w:gridCol w:w="174"/>
        <w:gridCol w:w="450"/>
        <w:gridCol w:w="211"/>
        <w:gridCol w:w="146"/>
        <w:gridCol w:w="213"/>
        <w:gridCol w:w="507"/>
        <w:gridCol w:w="146"/>
        <w:gridCol w:w="146"/>
        <w:gridCol w:w="146"/>
        <w:gridCol w:w="436"/>
        <w:gridCol w:w="146"/>
        <w:gridCol w:w="146"/>
        <w:gridCol w:w="166"/>
        <w:gridCol w:w="496"/>
        <w:gridCol w:w="146"/>
        <w:gridCol w:w="146"/>
        <w:gridCol w:w="186"/>
        <w:gridCol w:w="558"/>
        <w:gridCol w:w="201"/>
      </w:tblGrid>
      <w:tr>
        <w:trPr/>
        <w:tc>
          <w:tcPr>
            <w:tcW w:w="2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3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4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 Unfunded Term Loan A</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06/16/2023</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 Unfunded Term Loan B</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12/16/2024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NBH Group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05/09/2029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8,202</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Neptune Flood Incorporated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05/09/2029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Acquisition, Inc.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4,199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13,306</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1,106</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Ox Two,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Pequod Merger Sub, Inc. - Unfunded Term Loan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Pequod Merger Sub,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PL Acquisitionco,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34,549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 Term Loan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1,465</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 Unfunded Term Loan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Questex,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21,100</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Questex,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Radius Aerospace,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424</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 - Unfunded Term Loan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5,673</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Inc. and Dynata,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03/10/2025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HPA SPQ Merger Sub, Inc.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3,683</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HPA SPQ Merger Sub, Inc. - Unfunded Term Loan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HPA SPQ Merger Sub, Inc. - Unfunded Revolver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06/15/2029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Sales Benchmark Index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Sargent &amp; Greenleaf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4,482</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0.5%)</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Schlesinger Global, Inc.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4,645</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Seaway Buyer, LLC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Shiftkey,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06/21/2027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17,143</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31,068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30,525</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2,193</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Systems Holding Company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Solutionreach,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 Funded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 Unfunded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 xml:space="preserve">System Planning and Analysis, Inc. - (Revolver) </w:t>
              <w:br/>
              <w:t>(f/k/a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L+590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1,230</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System Planning and Analysis, Inc. - (Revolver) </w:t>
            </w:r>
            <w:r>
              <w:rPr>
                <w:rFonts w:ascii="Times New Roman;serif" w:hAnsi="Times New Roman;serif"/>
                <w:b w:val="false"/>
                <w:sz w:val="8"/>
              </w:rPr>
              <w:t>(7)</w:t>
            </w:r>
            <w:r>
              <w:rPr>
                <w:rFonts w:ascii="Times New Roman" w:hAnsi="Times New Roman"/>
                <w:sz w:val="12"/>
              </w:rPr>
              <w:t> </w:t>
            </w:r>
            <w:r>
              <w:rPr>
                <w:rFonts w:ascii="Times New Roman;serif" w:hAnsi="Times New Roman;serif"/>
                <w:b w:val="false"/>
                <w:sz w:val="12"/>
              </w:rPr>
              <w:br/>
              <w:t>(f/k/a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1,101</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4,744</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Bluebird Group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1,710</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12,376</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TVC Enterprises,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TWS Acquisition Corporation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Tyto Athene,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 - Unfunded Term Loan</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02/01/2024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3,725</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 (Revolver)</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L+585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w:t>
            </w:r>
          </w:p>
        </w:tc>
        <w:tc>
          <w:tcPr>
            <w:tcW w:w="201" w:type="dxa"/>
            <w:tcBorders/>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Wildcat Buyerco,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 </w:t>
            </w:r>
          </w:p>
        </w:tc>
        <w:tc>
          <w:tcPr>
            <w:tcW w:w="50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vAlign w:val="center"/>
          </w:tcPr>
          <w:p>
            <w:pPr>
              <w:pStyle w:val="TableContents"/>
              <w:bidi w:val="0"/>
              <w:spacing w:before="0" w:after="0"/>
              <w:ind w:left="0" w:right="0" w:hanging="0"/>
              <w:jc w:val="left"/>
              <w:rPr/>
            </w:pPr>
            <w:r>
              <w:rPr/>
              <w:t> </w:t>
            </w:r>
          </w:p>
        </w:tc>
        <w:tc>
          <w:tcPr>
            <w:tcW w:w="55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2,542</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535,036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529,601</w:t>
            </w:r>
          </w:p>
        </w:tc>
        <w:tc>
          <w:tcPr>
            <w:tcW w:w="2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Debt—18.8% of Net Assets</w:t>
            </w:r>
          </w:p>
        </w:tc>
        <w:tc>
          <w:tcPr>
            <w:tcW w:w="146" w:type="dxa"/>
            <w:tcBorders/>
            <w:vAlign w:val="center"/>
          </w:tcPr>
          <w:p>
            <w:pPr>
              <w:pStyle w:val="TableContents"/>
              <w:bidi w:val="0"/>
              <w:spacing w:before="0" w:after="0"/>
              <w:ind w:left="0" w:right="0" w:hanging="0"/>
              <w:jc w:val="left"/>
              <w:rPr/>
            </w:pPr>
            <w:r>
              <w:rPr/>
              <w:t> </w:t>
            </w:r>
          </w:p>
        </w:tc>
        <w:tc>
          <w:tcPr>
            <w:tcW w:w="10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44" w:type="dxa"/>
            <w:gridSpan w:val="2"/>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10</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(Unaudited)—(Continued)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185"/>
        <w:gridCol w:w="146"/>
        <w:gridCol w:w="273"/>
        <w:gridCol w:w="650"/>
        <w:gridCol w:w="146"/>
        <w:gridCol w:w="146"/>
        <w:gridCol w:w="1799"/>
        <w:gridCol w:w="146"/>
        <w:gridCol w:w="151"/>
        <w:gridCol w:w="390"/>
        <w:gridCol w:w="211"/>
        <w:gridCol w:w="146"/>
        <w:gridCol w:w="192"/>
        <w:gridCol w:w="457"/>
        <w:gridCol w:w="146"/>
        <w:gridCol w:w="146"/>
        <w:gridCol w:w="146"/>
        <w:gridCol w:w="586"/>
        <w:gridCol w:w="146"/>
        <w:gridCol w:w="146"/>
        <w:gridCol w:w="166"/>
        <w:gridCol w:w="436"/>
        <w:gridCol w:w="146"/>
        <w:gridCol w:w="146"/>
        <w:gridCol w:w="188"/>
        <w:gridCol w:w="495"/>
        <w:gridCol w:w="274"/>
      </w:tblGrid>
      <w:tr>
        <w:trPr/>
        <w:tc>
          <w:tcPr>
            <w:tcW w:w="2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1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Ascensus Holdings, Inc.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08/02/2028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2,670</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Atlas Purchaser, Inc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13,328</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Best Practice Associates LLC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06/29/2027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17,379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07/28/2030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7,840</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ENC Parent Corporation</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6,975</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Halo Buyer, Inc.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31,769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QuantiTech LLC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VT Topco, Inc.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14,941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14,700</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94,810</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Subordinated Debt/Corporate Notes—10.4% of Net Assets</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Acquisition Company, LLC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01/15/2029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L+1,150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19,761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Flock Financial, LLC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33,289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32,640</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Subordinated Debt/Corporate Notes</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52,401</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Preferred Equity/Partnership Interests—2.6%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Holdings, Inc.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AH Newco Equityholdings,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1,512</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4,682</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Lash Coinvest, LLC - Preferred Equity</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64,967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Schlesinger Coinvest, LLC - Class A-2 Preferred Equity</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Mars Intermediate Holdings II,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 (Tyto Athene,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 - Preferred Equity</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2,417</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TPC Holding Company, LP </w:t>
            </w:r>
            <w:r>
              <w:rPr>
                <w:rFonts w:ascii="Times New Roman;serif" w:hAnsi="Times New Roman;serif"/>
                <w:b w:val="false"/>
                <w:sz w:val="8"/>
              </w:rPr>
              <w:t>(8),(11)</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74" w:type="dxa"/>
            <w:tcBorders/>
            <w:vAlign w:val="center"/>
          </w:tcPr>
          <w:p>
            <w:pPr>
              <w:pStyle w:val="TableContents"/>
              <w:bidi w:val="0"/>
              <w:spacing w:before="0" w:after="0"/>
              <w:ind w:left="0" w:right="0" w:firstLine="80"/>
              <w:jc w:val="left"/>
              <w:rPr/>
            </w:pPr>
            <w:r>
              <w:rPr/>
              <w:t> </w:t>
            </w:r>
          </w:p>
        </w:tc>
      </w:tr>
      <w:tr>
        <w:trPr/>
        <w:tc>
          <w:tcPr>
            <w:tcW w:w="2185"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13,339</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Interests/Warrants—23.9%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Equity,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2,193,038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2,207</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Holdings, Inc.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Affinion Group Holdings, Inc. (Warrants)</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1,085</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Intermediate Company II, Inc.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AMCSI Crash Co-Invest, LP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2,489,777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AMCSI Crash Co-Invest,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510,223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Athletico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8,571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Atlas Investment Aggregator,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Holdings, LP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Parent,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Cowboy Parent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5,076</w:t>
            </w:r>
          </w:p>
        </w:tc>
        <w:tc>
          <w:tcPr>
            <w:tcW w:w="274" w:type="dxa"/>
            <w:tcBorders/>
            <w:vAlign w:val="center"/>
          </w:tcPr>
          <w:p>
            <w:pPr>
              <w:pStyle w:val="TableContents"/>
              <w:bidi w:val="0"/>
              <w:spacing w:before="0" w:after="0"/>
              <w:ind w:left="0" w:right="0" w:firstLine="80"/>
              <w:jc w:val="left"/>
              <w:rPr/>
            </w:pPr>
            <w:r>
              <w:rPr/>
              <w:t> </w:t>
            </w:r>
          </w:p>
        </w:tc>
      </w:tr>
      <w:tr>
        <w:trPr/>
        <w:tc>
          <w:tcPr>
            <w:tcW w:w="2185"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Acquisition Parent Holdings, L.P.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Delta InvestCo LP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1,402</w:t>
            </w:r>
          </w:p>
        </w:tc>
        <w:tc>
          <w:tcPr>
            <w:tcW w:w="274" w:type="dxa"/>
            <w:tcBorders/>
            <w:vAlign w:val="center"/>
          </w:tcPr>
          <w:p>
            <w:pPr>
              <w:pStyle w:val="TableContents"/>
              <w:bidi w:val="0"/>
              <w:spacing w:before="0" w:after="0"/>
              <w:ind w:left="0" w:right="0" w:firstLine="80"/>
              <w:jc w:val="left"/>
              <w:rPr/>
            </w:pPr>
            <w:r>
              <w:rPr/>
              <w:t> </w:t>
            </w:r>
          </w:p>
        </w:tc>
      </w:tr>
      <w:tr>
        <w:trPr/>
        <w:tc>
          <w:tcPr>
            <w:tcW w:w="2185"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firstLine="80"/>
              <w:jc w:val="left"/>
              <w:rPr/>
            </w:pPr>
            <w:r>
              <w:rPr/>
              <w:t> </w:t>
            </w:r>
          </w:p>
        </w:tc>
      </w:tr>
      <w:tr>
        <w:trPr/>
        <w:tc>
          <w:tcPr>
            <w:tcW w:w="2185"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Holding Corporation </w:t>
            </w:r>
            <w:r>
              <w:rPr>
                <w:rFonts w:ascii="Times New Roman;serif" w:hAnsi="Times New Roman;serif"/>
                <w:b w:val="false"/>
                <w:sz w:val="8"/>
              </w:rPr>
              <w:t>(11)</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1,773</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Topco, LP</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785</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1,458,333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1,615</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Topco,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878</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1,712</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II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2,453</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Parent Holdings,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655,714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ETE Blocker, LLC - Common Equity</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589,363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Lash Coinvest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4,031</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Loving Tan, LP - Common Equity</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462,827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463</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Schlesinger Coinvest,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74" w:type="dxa"/>
            <w:tcBorders/>
            <w:vAlign w:val="center"/>
          </w:tcPr>
          <w:p>
            <w:pPr>
              <w:pStyle w:val="TableContents"/>
              <w:bidi w:val="0"/>
              <w:spacing w:before="0" w:after="0"/>
              <w:ind w:left="0" w:right="0" w:hanging="0"/>
              <w:jc w:val="left"/>
              <w:rPr/>
            </w:pPr>
            <w:r>
              <w:rPr/>
              <w:t> </w:t>
            </w:r>
          </w:p>
        </w:tc>
      </w:tr>
      <w:tr>
        <w:trPr/>
        <w:tc>
          <w:tcPr>
            <w:tcW w:w="218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TVC Coinvest, LLC</w:t>
            </w:r>
          </w:p>
        </w:tc>
        <w:tc>
          <w:tcPr>
            <w:tcW w:w="146"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 </w:t>
            </w:r>
          </w:p>
        </w:tc>
        <w:tc>
          <w:tcPr>
            <w:tcW w:w="45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810,645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left"/>
              <w:rPr/>
            </w:pPr>
            <w:r>
              <w:rPr/>
              <w:t> </w:t>
            </w:r>
          </w:p>
        </w:tc>
        <w:tc>
          <w:tcPr>
            <w:tcW w:w="49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3,594</w:t>
            </w:r>
          </w:p>
        </w:tc>
        <w:tc>
          <w:tcPr>
            <w:tcW w:w="274" w:type="dxa"/>
            <w:tcBorders/>
            <w:vAlign w:val="center"/>
          </w:tcPr>
          <w:p>
            <w:pPr>
              <w:pStyle w:val="TableContents"/>
              <w:bidi w:val="0"/>
              <w:spacing w:before="0" w:after="0"/>
              <w:ind w:left="0" w:right="0" w:firstLine="80"/>
              <w:jc w:val="left"/>
              <w:rPr/>
            </w:pPr>
            <w:r>
              <w:rPr/>
              <w:t> </w:t>
            </w:r>
          </w:p>
        </w:tc>
      </w:tr>
      <w:tr>
        <w:trPr/>
        <w:tc>
          <w:tcPr>
            <w:tcW w:w="2185"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9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9"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83"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11</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(Unaudited)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1958"/>
        <w:gridCol w:w="146"/>
        <w:gridCol w:w="310"/>
        <w:gridCol w:w="739"/>
        <w:gridCol w:w="146"/>
        <w:gridCol w:w="146"/>
        <w:gridCol w:w="1768"/>
        <w:gridCol w:w="146"/>
        <w:gridCol w:w="160"/>
        <w:gridCol w:w="381"/>
        <w:gridCol w:w="146"/>
        <w:gridCol w:w="146"/>
        <w:gridCol w:w="218"/>
        <w:gridCol w:w="519"/>
        <w:gridCol w:w="146"/>
        <w:gridCol w:w="146"/>
        <w:gridCol w:w="146"/>
        <w:gridCol w:w="646"/>
        <w:gridCol w:w="146"/>
        <w:gridCol w:w="146"/>
        <w:gridCol w:w="166"/>
        <w:gridCol w:w="436"/>
        <w:gridCol w:w="146"/>
        <w:gridCol w:w="146"/>
        <w:gridCol w:w="201"/>
        <w:gridCol w:w="530"/>
        <w:gridCol w:w="275"/>
      </w:tblGrid>
      <w:tr>
        <w:trPr/>
        <w:tc>
          <w:tcPr>
            <w:tcW w:w="1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95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4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GCOM InvestCo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Go Dawgs Capital III,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675,325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1,661</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(American Insulated Glass,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Claims Consultants Investors,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HPA SPQ Aggregator LP- Common Equity</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750,399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1,368</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V C,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1,118,318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1,076</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Icon Partners V C,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381,682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IHS Parent Holdngs, L.P.</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1,218,045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1,467</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Infogroup Parent Holdings, Inc.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Other 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3,171</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(Data Axle, Inc.)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Ironclad Holdco,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561</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(Applied Technical Services, LLC)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ITC Infusion Co-invest, LP</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162,445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1,707</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ITC Rumba,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6,571</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(Cano Health, LLC)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Kentucky Racing Holdco, LLC (Warrants)</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1,308,814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1,888</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KL Stockton Co-Invest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(Any Hour Services)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Lariat ecoserv Co-Invest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LEP Pequod Holdings,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Investment Holdco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634</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851,087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851</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Lorient Peregrine Investments,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335,590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4,453</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Intermidiate Holdings II, Inc.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Aggregator,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3,452</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Title,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3,920,145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3,633</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NEPRT Parent Holdings,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(Recteq,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North Haven Saints Equity Holdings, LP</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394</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OceanSound Discovery Equity,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2,013</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(Holdco Sands Intermediate,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firstLine="80"/>
              <w:jc w:val="right"/>
              <w:rPr/>
            </w:pPr>
            <w:r>
              <w:rPr/>
              <w:t> </w:t>
            </w:r>
          </w:p>
        </w:tc>
      </w:tr>
      <w:tr>
        <w:trPr/>
        <w:tc>
          <w:tcPr>
            <w:tcW w:w="1958" w:type="dxa"/>
            <w:tcBorders/>
            <w:vAlign w:val="center"/>
          </w:tcPr>
          <w:p>
            <w:pPr>
              <w:pStyle w:val="TableContents"/>
              <w:bidi w:val="0"/>
              <w:spacing w:before="0" w:after="0"/>
              <w:ind w:left="8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OHCP V BC COI,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427</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OHCP V BC COI,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303,750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PennantPark-TSO Senior Loan Fund II, LP</w:t>
            </w:r>
          </w:p>
        </w:tc>
        <w:tc>
          <w:tcPr>
            <w:tcW w:w="146" w:type="dxa"/>
            <w:tcBorders/>
            <w:vAlign w:val="center"/>
          </w:tcPr>
          <w:p>
            <w:pPr>
              <w:pStyle w:val="TableContents"/>
              <w:bidi w:val="0"/>
              <w:spacing w:before="0" w:after="0"/>
              <w:ind w:left="0" w:right="0" w:hanging="0"/>
              <w:jc w:val="righ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12,500,409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12,184</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Pink Lily Holdco,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1,300</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Quad (U.S.) Co-Invest,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2,958,706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3,373</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II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RFMG Parent,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SBI Holdings Investments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Topco, LP</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2,787</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 L2 Holdings,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881,966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540</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4,126</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Class B (US Dominion, Inc.)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StellPen Holdings,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TAC LifePort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254,206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Tower Arch Infolinks Media,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536,514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Tower Arch Infolinks Media, LP</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358,931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(8). (11)</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275" w:type="dxa"/>
            <w:tcBorders/>
            <w:vAlign w:val="center"/>
          </w:tcPr>
          <w:p>
            <w:pPr>
              <w:pStyle w:val="TableContents"/>
              <w:bidi w:val="0"/>
              <w:spacing w:before="0" w:after="0"/>
              <w:ind w:left="0" w:right="0" w:hanging="0"/>
              <w:jc w:val="left"/>
              <w:rPr/>
            </w:pPr>
            <w:r>
              <w:rPr/>
              <w:t> </w:t>
            </w:r>
          </w:p>
        </w:tc>
      </w:tr>
      <w:tr>
        <w:trPr/>
        <w:tc>
          <w:tcPr>
            <w:tcW w:w="195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vAlign w:val="center"/>
          </w:tcPr>
          <w:p>
            <w:pPr>
              <w:pStyle w:val="TableContents"/>
              <w:bidi w:val="0"/>
              <w:spacing w:before="0" w:after="0"/>
              <w:ind w:left="0" w:right="0" w:hanging="0"/>
              <w:jc w:val="left"/>
              <w:rPr/>
            </w:pPr>
            <w:r>
              <w:rPr/>
              <w:t> </w:t>
            </w:r>
          </w:p>
        </w:tc>
        <w:tc>
          <w:tcPr>
            <w:tcW w:w="31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51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firstLine="80"/>
              <w:jc w:val="left"/>
              <w:rPr/>
            </w:pPr>
            <w:r>
              <w:rPr/>
              <w:t> </w:t>
            </w:r>
          </w:p>
        </w:tc>
      </w:tr>
      <w:tr>
        <w:trPr/>
        <w:tc>
          <w:tcPr>
            <w:tcW w:w="1958"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1049"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3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31"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bl>
    <w:p>
      <w:pPr>
        <w:pStyle w:val="TextBody"/>
        <w:bidi w:val="0"/>
        <w:spacing w:before="0" w:after="200"/>
        <w:jc w:val="left"/>
        <w:rPr/>
      </w:pPr>
      <w:r>
        <w:rPr/>
        <w:t> </w:t>
      </w:r>
    </w:p>
    <w:p>
      <w:pPr>
        <w:pStyle w:val="TextBody"/>
        <w:bidi w:val="0"/>
        <w:spacing w:before="0" w:after="200"/>
        <w:jc w:val="left"/>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12</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(Unaudited)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451"/>
        <w:gridCol w:w="146"/>
        <w:gridCol w:w="271"/>
        <w:gridCol w:w="646"/>
        <w:gridCol w:w="146"/>
        <w:gridCol w:w="146"/>
        <w:gridCol w:w="1287"/>
        <w:gridCol w:w="146"/>
        <w:gridCol w:w="151"/>
        <w:gridCol w:w="390"/>
        <w:gridCol w:w="211"/>
        <w:gridCol w:w="146"/>
        <w:gridCol w:w="191"/>
        <w:gridCol w:w="454"/>
        <w:gridCol w:w="146"/>
        <w:gridCol w:w="146"/>
        <w:gridCol w:w="166"/>
        <w:gridCol w:w="586"/>
        <w:gridCol w:w="146"/>
        <w:gridCol w:w="146"/>
        <w:gridCol w:w="166"/>
        <w:gridCol w:w="586"/>
        <w:gridCol w:w="146"/>
        <w:gridCol w:w="146"/>
        <w:gridCol w:w="169"/>
        <w:gridCol w:w="600"/>
        <w:gridCol w:w="274"/>
      </w:tblGrid>
      <w:tr>
        <w:trPr/>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UniVista Insurance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Partners Co., L.P.</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WCP Ivyrehab QP CF Feeder, LP</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3,715,012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4,322</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WCP Ivyrehab QP CF Feeder, LP - Unfunded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284,988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Parent, LP</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w:t>
            </w:r>
          </w:p>
        </w:tc>
        <w:tc>
          <w:tcPr>
            <w:tcW w:w="274" w:type="dxa"/>
            <w:tcBorders/>
            <w:vAlign w:val="center"/>
          </w:tcPr>
          <w:p>
            <w:pPr>
              <w:pStyle w:val="TableContents"/>
              <w:bidi w:val="0"/>
              <w:spacing w:before="0" w:after="0"/>
              <w:ind w:left="0" w:right="0" w:firstLine="80"/>
              <w:jc w:val="left"/>
              <w:rPr/>
            </w:pPr>
            <w:r>
              <w:rPr/>
              <w:t> </w:t>
            </w:r>
          </w:p>
        </w:tc>
      </w:tr>
      <w:tr>
        <w:trPr/>
        <w:tc>
          <w:tcPr>
            <w:tcW w:w="2451"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(Wildcat Buyerco,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97,488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120,152</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Non-Affiliated Portfolio Companies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794,387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810,303</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806" w:type="dxa"/>
            <w:gridSpan w:val="6"/>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Affiliated Portfolio Companies—10.0% of Net Assets </w:t>
            </w:r>
            <w:r>
              <w:rPr>
                <w:rFonts w:ascii="Times New Roman;serif" w:hAnsi="Times New Roman;serif"/>
                <w:b/>
                <w:sz w:val="8"/>
              </w:rPr>
              <w:t>(1), (2)</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Debt—2.0%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6,726</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Unfunded Term Loan</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 - Junior Revolver</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3,333</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10,059</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Preferred Equity/Partnership Interests—6.6% of Net Assets</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Cascade Environmental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5,887,236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32,383</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Cascade Environmental Holdings, LLC - Series B</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911</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33,294</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Interests/Warrants—1.4%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Cascade Environmental Holdings, LLC</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7,444,347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JF Intermediate, LLC</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4,875</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6,844</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Affiliated Portfolio Companies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50,197</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Controlled, Affiliated Portfolio Companies—42.8% of Net Assets </w:t>
            </w:r>
            <w:r>
              <w:rPr>
                <w:rFonts w:ascii="Times New Roman;serif" w:hAnsi="Times New Roman;serif"/>
                <w:b/>
                <w:sz w:val="8"/>
              </w:rPr>
              <w:t>(1), (2)</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Debt—10.1%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50,862</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54,942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50,862</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Debt—0.0%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Mailsouth Inc.</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Subordinated Debt—20.3%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Loan Fund, LLC </w:t>
            </w:r>
            <w:r>
              <w:rPr>
                <w:rFonts w:ascii="Times New Roman;serif" w:hAnsi="Times New Roman;serif"/>
                <w:b w:val="false"/>
                <w:sz w:val="8"/>
              </w:rPr>
              <w:t>(11)</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102,325</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102,325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102,325</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Equity—12.3%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3,234</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MSpark, LLC</w:t>
            </w:r>
          </w:p>
        </w:tc>
        <w:tc>
          <w:tcPr>
            <w:tcW w:w="146" w:type="dxa"/>
            <w:tcBorders/>
            <w:vAlign w:val="center"/>
          </w:tcPr>
          <w:p>
            <w:pPr>
              <w:pStyle w:val="TableContents"/>
              <w:bidi w:val="0"/>
              <w:spacing w:before="0" w:after="0"/>
              <w:ind w:left="0" w:right="0" w:hanging="0"/>
              <w:jc w:val="righ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pPr>
            <w:r>
              <w:rPr/>
              <w:t>—</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 Senior Loan Fund, LLC</w:t>
            </w:r>
          </w:p>
        </w:tc>
        <w:tc>
          <w:tcPr>
            <w:tcW w:w="146" w:type="dxa"/>
            <w:tcBorders/>
            <w:vAlign w:val="center"/>
          </w:tcPr>
          <w:p>
            <w:pPr>
              <w:pStyle w:val="TableContents"/>
              <w:bidi w:val="0"/>
              <w:spacing w:before="0" w:after="0"/>
              <w:ind w:left="0" w:right="0" w:hanging="0"/>
              <w:jc w:val="left"/>
              <w:rPr/>
            </w:pPr>
            <w:r>
              <w:rPr/>
              <w:t> </w:t>
            </w:r>
          </w:p>
        </w:tc>
        <w:tc>
          <w:tcPr>
            <w:tcW w:w="271"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c>
          <w:tcPr>
            <w:tcW w:w="454"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58,643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58,959</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62,193</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Controlled, Affiliated Portfolio Companies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244,940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215,380</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Investments—213.6%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1,094,700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1,075,880</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Equivalents—8.5%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9" w:type="dxa"/>
            <w:gridSpan w:val="2"/>
            <w:tcBorders/>
            <w:vAlign w:val="center"/>
          </w:tcPr>
          <w:p>
            <w:pPr>
              <w:pStyle w:val="TableContents"/>
              <w:bidi w:val="0"/>
              <w:spacing w:before="0" w:after="0"/>
              <w:ind w:left="0" w:right="0" w:hanging="0"/>
              <w:jc w:val="right"/>
              <w:rPr/>
            </w:pPr>
            <w:r>
              <w:rPr/>
              <w:t> </w:t>
            </w:r>
          </w:p>
        </w:tc>
        <w:tc>
          <w:tcPr>
            <w:tcW w:w="274" w:type="dxa"/>
            <w:tcBorders/>
            <w:vAlign w:val="center"/>
          </w:tcPr>
          <w:p>
            <w:pPr>
              <w:pStyle w:val="TableContents"/>
              <w:bidi w:val="0"/>
              <w:spacing w:before="0" w:after="0"/>
              <w:ind w:left="0" w:right="0" w:hanging="0"/>
              <w:jc w:val="righ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righ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23,620</w:t>
            </w:r>
          </w:p>
        </w:tc>
        <w:tc>
          <w:tcPr>
            <w:tcW w:w="274" w:type="dxa"/>
            <w:tcBorders/>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Non-Money Market Cash</w:t>
            </w:r>
          </w:p>
        </w:tc>
        <w:tc>
          <w:tcPr>
            <w:tcW w:w="146" w:type="dxa"/>
            <w:tcBorders/>
            <w:vAlign w:val="center"/>
          </w:tcPr>
          <w:p>
            <w:pPr>
              <w:pStyle w:val="TableContents"/>
              <w:bidi w:val="0"/>
              <w:spacing w:before="0" w:after="0"/>
              <w:ind w:left="0" w:right="0" w:hanging="0"/>
              <w:jc w:val="right"/>
              <w:rPr/>
            </w:pPr>
            <w:r>
              <w:rPr/>
              <w:t> </w:t>
            </w:r>
          </w:p>
        </w:tc>
        <w:tc>
          <w:tcPr>
            <w:tcW w:w="917"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8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19,156</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42,720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42,776</w:t>
            </w:r>
          </w:p>
        </w:tc>
        <w:tc>
          <w:tcPr>
            <w:tcW w:w="27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Equivalents—222.1%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1,137,420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1,118,656</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Assets—(122.1%) of Net Assets</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60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(615,037</w:t>
            </w:r>
          </w:p>
        </w:tc>
        <w:tc>
          <w:tcPr>
            <w:tcW w:w="27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51"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Net Assets—100.0%</w:t>
            </w:r>
          </w:p>
        </w:tc>
        <w:tc>
          <w:tcPr>
            <w:tcW w:w="146" w:type="dxa"/>
            <w:tcBorders/>
            <w:vAlign w:val="center"/>
          </w:tcPr>
          <w:p>
            <w:pPr>
              <w:pStyle w:val="TableContents"/>
              <w:bidi w:val="0"/>
              <w:spacing w:before="0" w:after="0"/>
              <w:ind w:left="0" w:right="0" w:hanging="0"/>
              <w:jc w:val="left"/>
              <w:rPr/>
            </w:pPr>
            <w:r>
              <w:rPr/>
              <w:t> </w:t>
            </w:r>
          </w:p>
        </w:tc>
        <w:tc>
          <w:tcPr>
            <w:tcW w:w="917"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8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0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503,619</w:t>
            </w:r>
          </w:p>
        </w:tc>
        <w:tc>
          <w:tcPr>
            <w:tcW w:w="27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val="false"/>
          <w:sz w:val="13"/>
        </w:rPr>
      </w:pPr>
      <w:r>
        <w:rPr>
          <w:rFonts w:ascii="Times New Roman" w:hAnsi="Times New Roman"/>
          <w:b w:val="false"/>
          <w:sz w:val="13"/>
        </w:rPr>
        <w:t>(1)</w:t>
      </w:r>
    </w:p>
    <w:p>
      <w:pPr>
        <w:pStyle w:val="TextBody"/>
        <w:bidi w:val="0"/>
        <w:spacing w:before="0" w:after="0"/>
        <w:jc w:val="left"/>
        <w:rPr>
          <w:rFonts w:ascii="Times New Roman;serif" w:hAnsi="Times New Roman;serif"/>
          <w:b w:val="false"/>
          <w:sz w:val="13"/>
        </w:rPr>
      </w:pPr>
      <w:r>
        <w:rPr>
          <w:rFonts w:ascii="Times New Roman;serif" w:hAnsi="Times New Roman;serif"/>
          <w:b w:val="false"/>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 (See Note 6).</w:t>
      </w:r>
    </w:p>
    <w:p>
      <w:pPr>
        <w:pStyle w:val="TextBody"/>
        <w:bidi w:val="0"/>
        <w:spacing w:before="40" w:after="0"/>
        <w:jc w:val="left"/>
        <w:rPr>
          <w:rFonts w:ascii="Times New Roman" w:hAnsi="Times New Roman"/>
          <w:b w:val="false"/>
          <w:sz w:val="13"/>
        </w:rPr>
      </w:pPr>
      <w:r>
        <w:rPr>
          <w:rFonts w:ascii="Times New Roman" w:hAnsi="Times New Roman"/>
          <w:b w:val="false"/>
          <w:sz w:val="13"/>
        </w:rPr>
        <w:t>(2)</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pStyle w:val="TextBody"/>
        <w:bidi w:val="0"/>
        <w:spacing w:before="40" w:after="0"/>
        <w:jc w:val="left"/>
        <w:rPr>
          <w:rFonts w:ascii="Times New Roman" w:hAnsi="Times New Roman"/>
          <w:b w:val="false"/>
          <w:sz w:val="13"/>
        </w:rPr>
      </w:pPr>
      <w:r>
        <w:rPr>
          <w:rFonts w:ascii="Times New Roman" w:hAnsi="Times New Roman"/>
          <w:b w:val="false"/>
          <w:sz w:val="13"/>
        </w:rPr>
        <w:t>(3)</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Valued based on our accounting policy (See Note 2).</w:t>
      </w:r>
    </w:p>
    <w:p>
      <w:pPr>
        <w:pStyle w:val="TextBody"/>
        <w:bidi w:val="0"/>
        <w:spacing w:before="40" w:after="0"/>
        <w:jc w:val="left"/>
        <w:rPr>
          <w:rFonts w:ascii="Times New Roman" w:hAnsi="Times New Roman"/>
          <w:b w:val="false"/>
          <w:sz w:val="13"/>
        </w:rPr>
      </w:pPr>
      <w:r>
        <w:rPr>
          <w:rFonts w:ascii="Times New Roman" w:hAnsi="Times New Roman"/>
          <w:b w:val="false"/>
          <w:sz w:val="13"/>
        </w:rPr>
        <w:t>(4)</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pStyle w:val="TextBody"/>
        <w:bidi w:val="0"/>
        <w:spacing w:before="40" w:after="0"/>
        <w:jc w:val="left"/>
        <w:rPr>
          <w:rFonts w:ascii="Times New Roman" w:hAnsi="Times New Roman"/>
          <w:b w:val="false"/>
          <w:sz w:val="13"/>
        </w:rPr>
      </w:pPr>
      <w:r>
        <w:rPr>
          <w:rFonts w:ascii="Times New Roman" w:hAnsi="Times New Roman"/>
          <w:b w:val="false"/>
          <w:sz w:val="13"/>
        </w:rPr>
        <w:t>(5)</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The security was not valued using significant unobservable inputs. The value of all other securities was determined using significant unobservable inputs (See Note 5).</w:t>
      </w:r>
    </w:p>
    <w:p>
      <w:pPr>
        <w:pStyle w:val="TextBody"/>
        <w:bidi w:val="0"/>
        <w:spacing w:before="40" w:after="0"/>
        <w:jc w:val="left"/>
        <w:rPr>
          <w:rFonts w:ascii="Times New Roman" w:hAnsi="Times New Roman"/>
          <w:b w:val="false"/>
          <w:sz w:val="13"/>
        </w:rPr>
      </w:pPr>
      <w:r>
        <w:rPr>
          <w:rFonts w:ascii="Times New Roman" w:hAnsi="Times New Roman"/>
          <w:b w:val="false"/>
          <w:sz w:val="13"/>
        </w:rPr>
        <w:t>(6)</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Non-income producing securities.</w:t>
      </w:r>
    </w:p>
    <w:p>
      <w:pPr>
        <w:pStyle w:val="TextBody"/>
        <w:bidi w:val="0"/>
        <w:spacing w:before="40" w:after="0"/>
        <w:jc w:val="left"/>
        <w:rPr>
          <w:rFonts w:ascii="Times New Roman" w:hAnsi="Times New Roman"/>
          <w:b w:val="false"/>
          <w:sz w:val="13"/>
        </w:rPr>
      </w:pPr>
      <w:r>
        <w:rPr>
          <w:rFonts w:ascii="Times New Roman" w:hAnsi="Times New Roman"/>
          <w:b w:val="false"/>
          <w:sz w:val="13"/>
        </w:rPr>
        <w:t>(7)</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p>
    <w:p>
      <w:pPr>
        <w:pStyle w:val="TextBody"/>
        <w:bidi w:val="0"/>
        <w:spacing w:before="40" w:after="0"/>
        <w:jc w:val="left"/>
        <w:rPr>
          <w:rFonts w:ascii="Times New Roman" w:hAnsi="Times New Roman"/>
          <w:b w:val="false"/>
          <w:sz w:val="13"/>
        </w:rPr>
      </w:pPr>
      <w:r>
        <w:rPr>
          <w:rFonts w:ascii="Times New Roman" w:hAnsi="Times New Roman"/>
          <w:b w:val="false"/>
          <w:sz w:val="13"/>
        </w:rPr>
        <w:t>(8)</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Non-U.S. company or principal place of business outside the United States.</w:t>
      </w:r>
    </w:p>
    <w:p>
      <w:pPr>
        <w:pStyle w:val="TextBody"/>
        <w:bidi w:val="0"/>
        <w:spacing w:before="40" w:after="0"/>
        <w:jc w:val="left"/>
        <w:rPr>
          <w:rFonts w:ascii="Times New Roman" w:hAnsi="Times New Roman"/>
          <w:b w:val="false"/>
          <w:sz w:val="13"/>
        </w:rPr>
      </w:pPr>
      <w:r>
        <w:rPr>
          <w:rFonts w:ascii="Times New Roman" w:hAnsi="Times New Roman"/>
          <w:b w:val="false"/>
          <w:sz w:val="13"/>
        </w:rPr>
        <w:t>(9)</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Investment is held through our Taxable Subsidiary (See Note 1).</w:t>
      </w:r>
    </w:p>
    <w:p>
      <w:pPr>
        <w:pStyle w:val="TextBody"/>
        <w:bidi w:val="0"/>
        <w:spacing w:before="40" w:after="0"/>
        <w:jc w:val="left"/>
        <w:rPr>
          <w:rFonts w:ascii="Times New Roman" w:hAnsi="Times New Roman"/>
          <w:b w:val="false"/>
          <w:sz w:val="13"/>
        </w:rPr>
      </w:pPr>
      <w:r>
        <w:rPr>
          <w:rFonts w:ascii="Times New Roman" w:hAnsi="Times New Roman"/>
          <w:b w:val="false"/>
          <w:sz w:val="13"/>
        </w:rPr>
        <w:t>(10)</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Par / Shares amount is denominated in British Pounds (£) as denoted.</w:t>
      </w:r>
    </w:p>
    <w:p>
      <w:pPr>
        <w:pStyle w:val="TextBody"/>
        <w:bidi w:val="0"/>
        <w:spacing w:before="40" w:after="0"/>
        <w:jc w:val="left"/>
        <w:rPr>
          <w:rFonts w:ascii="Times New Roman" w:hAnsi="Times New Roman"/>
          <w:b w:val="false"/>
          <w:sz w:val="13"/>
        </w:rPr>
      </w:pPr>
      <w:r>
        <w:rPr>
          <w:rFonts w:ascii="Times New Roman" w:hAnsi="Times New Roman"/>
          <w:b w:val="false"/>
          <w:sz w:val="13"/>
        </w:rPr>
        <w:t>(11)</w:t>
      </w:r>
    </w:p>
    <w:p>
      <w:pPr>
        <w:pStyle w:val="TextBody"/>
        <w:bidi w:val="0"/>
        <w:spacing w:before="40" w:after="283"/>
        <w:jc w:val="left"/>
        <w:rPr/>
      </w:pPr>
      <w:r>
        <w:rPr>
          <w:rFonts w:ascii="Times New Roman;serif" w:hAnsi="Times New Roman;serif"/>
          <w:b w:val="false"/>
          <w:sz w:val="13"/>
        </w:rPr>
        <w:t>The investment is treated as a non-qualifying asset under Section 55(a) of the 1940 Act. Under the 1940 Act, we may not acquire any non-qualifying asset unless, at the time the acquisition is made, qualifying assets represent at least 70% of our total assets. As of June 30, 2023, qualifying assets represent 77%</w:t>
      </w:r>
      <w:r>
        <w:rPr/>
        <w:t xml:space="preserve"> </w:t>
      </w:r>
      <w:r>
        <w:rPr>
          <w:rFonts w:ascii="Times New Roman;serif" w:hAnsi="Times New Roman;serif"/>
          <w:b w:val="false"/>
          <w:sz w:val="13"/>
        </w:rPr>
        <w:t>of the Company’s total assets and non-qualifying assets represent 23% of the Company’s total assets.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13</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w:t>
      </w:r>
    </w:p>
    <w:p>
      <w:pPr>
        <w:pStyle w:val="TextBody"/>
        <w:bidi w:val="0"/>
        <w:spacing w:before="0" w:after="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804"/>
        <w:gridCol w:w="146"/>
        <w:gridCol w:w="932"/>
        <w:gridCol w:w="146"/>
        <w:gridCol w:w="1533"/>
        <w:gridCol w:w="146"/>
        <w:gridCol w:w="151"/>
        <w:gridCol w:w="390"/>
        <w:gridCol w:w="211"/>
        <w:gridCol w:w="146"/>
        <w:gridCol w:w="194"/>
        <w:gridCol w:w="461"/>
        <w:gridCol w:w="146"/>
        <w:gridCol w:w="146"/>
        <w:gridCol w:w="146"/>
        <w:gridCol w:w="436"/>
        <w:gridCol w:w="146"/>
        <w:gridCol w:w="146"/>
        <w:gridCol w:w="166"/>
        <w:gridCol w:w="436"/>
        <w:gridCol w:w="146"/>
        <w:gridCol w:w="146"/>
        <w:gridCol w:w="189"/>
        <w:gridCol w:w="498"/>
        <w:gridCol w:w="198"/>
      </w:tblGrid>
      <w:tr>
        <w:trPr/>
        <w:tc>
          <w:tcPr>
            <w:tcW w:w="2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8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Non-Affiliated Portfolio Companies—159.2% of Net Assets </w:t>
            </w:r>
            <w:r>
              <w:rPr>
                <w:rFonts w:ascii="Times New Roman;serif" w:hAnsi="Times New Roman;serif"/>
                <w:b/>
                <w:sz w:val="8"/>
              </w:rPr>
              <w:t>(1), (2)</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Debt—100.5% of Net Assets</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Acquisition,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Altamira Technologies,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12/21/2023</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3,329</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LLC (f/k/a MeritDirect,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05/23/2024</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4,038</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Any Hour Services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1,324</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1,883</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Apex Service Partners,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1,367</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04/21/2023</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P+475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Applied Technical Services,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Arcfield Acquisition Corp.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03/07/2028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Berwick Industrial Park</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04/28/2023</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Buildings and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3,934</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07/01/2029</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Blackhawk Industrial Distribution, Inc.</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Blackhawk Industrial Distribution,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09/17/2024</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12/02/2022</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10,096</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38,810</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 -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1,246</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Cartessa Aesthetics, LLC -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6,619</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CF512, Inc.(Revolver)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02/09/2026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Compex Legal Services, Inc.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361</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Compex Legal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02/07/2025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pPr>
            <w:r>
              <w:rPr/>
              <w:t>—</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01/13/2023</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Connatix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2,580</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Crane 1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DermaRite Industries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06/30/2023</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7,030</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12,736</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764</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 Squatch,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DRS Holdings III,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19,019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18,869</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ECM Industries,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12/23/2025</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24,315</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Exigo Intermediate II, LLC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03/15/2024</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Intermediate II,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06/17/2028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682</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16,305</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Gantech Acquisition Corp.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Gantech Acquisition Corp.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Graffiti Buyer,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08/10/2023</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 (Revolver)</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Graffiti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12/31/2022</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Roofing and Construction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804"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55"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1,879</w:t>
            </w:r>
          </w:p>
        </w:tc>
        <w:tc>
          <w:tcPr>
            <w:tcW w:w="198" w:type="dxa"/>
            <w:tcBorders/>
            <w:vAlign w:val="center"/>
          </w:tcPr>
          <w:p>
            <w:pPr>
              <w:pStyle w:val="TableContents"/>
              <w:bidi w:val="0"/>
              <w:spacing w:before="0" w:after="0"/>
              <w:ind w:left="0" w:right="0" w:hanging="0"/>
              <w:jc w:val="left"/>
              <w:rPr/>
            </w:pPr>
            <w:r>
              <w:rPr/>
              <w:t> </w:t>
            </w:r>
          </w:p>
        </w:tc>
      </w:tr>
      <w:tr>
        <w:trPr/>
        <w:tc>
          <w:tcPr>
            <w:tcW w:w="2804"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Holdco Sands Intermediate,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3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11/23/2027</w:t>
            </w:r>
          </w:p>
        </w:tc>
        <w:tc>
          <w:tcPr>
            <w:tcW w:w="146" w:type="dxa"/>
            <w:tcBorders/>
            <w:vAlign w:val="center"/>
          </w:tcPr>
          <w:p>
            <w:pPr>
              <w:pStyle w:val="TableContents"/>
              <w:bidi w:val="0"/>
              <w:spacing w:before="0" w:after="0"/>
              <w:ind w:left="0" w:right="0" w:hanging="0"/>
              <w:jc w:val="left"/>
              <w:rPr/>
            </w:pPr>
            <w:r>
              <w:rPr/>
              <w:t> </w:t>
            </w:r>
          </w:p>
        </w:tc>
        <w:tc>
          <w:tcPr>
            <w:tcW w:w="1533"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4"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9" w:type="dxa"/>
            <w:tcBorders/>
            <w:vAlign w:val="center"/>
          </w:tcPr>
          <w:p>
            <w:pPr>
              <w:pStyle w:val="TableContents"/>
              <w:bidi w:val="0"/>
              <w:spacing w:before="0" w:after="0"/>
              <w:ind w:left="0" w:right="0" w:hanging="0"/>
              <w:jc w:val="left"/>
              <w:rPr/>
            </w:pPr>
            <w:r>
              <w:rPr/>
              <w:t> </w:t>
            </w:r>
          </w:p>
        </w:tc>
        <w:tc>
          <w:tcPr>
            <w:tcW w:w="498"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14</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bidi w:val="0"/>
        <w:spacing w:before="0" w:after="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1936"/>
        <w:gridCol w:w="146"/>
        <w:gridCol w:w="1020"/>
        <w:gridCol w:w="146"/>
        <w:gridCol w:w="2097"/>
        <w:gridCol w:w="146"/>
        <w:gridCol w:w="184"/>
        <w:gridCol w:w="476"/>
        <w:gridCol w:w="211"/>
        <w:gridCol w:w="146"/>
        <w:gridCol w:w="212"/>
        <w:gridCol w:w="505"/>
        <w:gridCol w:w="146"/>
        <w:gridCol w:w="146"/>
        <w:gridCol w:w="146"/>
        <w:gridCol w:w="436"/>
        <w:gridCol w:w="146"/>
        <w:gridCol w:w="146"/>
        <w:gridCol w:w="166"/>
        <w:gridCol w:w="436"/>
        <w:gridCol w:w="146"/>
        <w:gridCol w:w="146"/>
        <w:gridCol w:w="198"/>
        <w:gridCol w:w="522"/>
        <w:gridCol w:w="200"/>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0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271</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HV Watterson Holdings,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 -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HV Watterson Holdings, LLC -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10,061</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HW Holdco,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05/11/2028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3,574</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IDC Infusion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IG Investments Holdings,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Imagine Acquisitionco,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12/07/2023</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L+715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20,301</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Infolinks Media Buyco,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11/01/2023</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9,831</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8,749</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ITI Holdings, Inc.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ITI Holdings,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03/03/2028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11,678</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K2 Pure Solutions NoCal, L.P.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23,855</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02/18/2027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2,771</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556</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Lash OpCo,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2,013</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5.50%)</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righ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Ledge Lounger,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9,040</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Ledge Lounger,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2,148</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489</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Lightspeed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Limerick Town Cener,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09/27/2023</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Real Estate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2,970</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LSF9 Atlantis Holdings,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03/31/2029</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5,685</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Acquisition Holdings Corp.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MBS Holdings,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Buyer,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14,112</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Term Loan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MDI Buyer,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07/25/2028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Term Loan I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Term Loan II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Acquirer,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663</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Municipal Emergency Services, Inc.</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Municipal Emergency Services,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NBH Group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Neptune Flood Incorporated</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10/14/2026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4,423</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OIS Management Services,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Cargo Transport</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6,798</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Acquisition,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4,454</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ORL Acquisition,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09/03/2027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15,083</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1,739</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Ox Two,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PL Acquisitionco, LLC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11/09/2027</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 Events, Inc.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08/07/2025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24,907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10.5%)</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0" w:type="dxa"/>
            <w:gridSpan w:val="2"/>
            <w:tcBorders/>
            <w:vAlign w:val="center"/>
          </w:tcPr>
          <w:p>
            <w:pPr>
              <w:pStyle w:val="TableContents"/>
              <w:bidi w:val="0"/>
              <w:spacing w:before="0" w:after="0"/>
              <w:ind w:left="0" w:right="0" w:hanging="0"/>
              <w:jc w:val="right"/>
              <w:rPr/>
            </w:pPr>
            <w:r>
              <w:rPr/>
              <w:t> </w:t>
            </w:r>
          </w:p>
        </w:tc>
        <w:tc>
          <w:tcPr>
            <w:tcW w:w="200" w:type="dxa"/>
            <w:tcBorders/>
            <w:vAlign w:val="center"/>
          </w:tcPr>
          <w:p>
            <w:pPr>
              <w:pStyle w:val="TableContents"/>
              <w:bidi w:val="0"/>
              <w:spacing w:before="0" w:after="0"/>
              <w:ind w:left="0" w:right="0" w:hanging="0"/>
              <w:jc w:val="righ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PRA Events, Inc. (Revolver)</w:t>
            </w:r>
            <w:r>
              <w:rPr>
                <w:rFonts w:ascii="Times New Roman" w:hAnsi="Times New Roman"/>
                <w:sz w:val="12"/>
              </w:rPr>
              <w:t>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08/07/2025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35,340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34,987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LLC Term Loan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949</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Pragmatic Institute, LL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666</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Questex,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21,436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21,168</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Questex,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09/09/2024</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877</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Radius Aerospace,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Rancho Health MSO,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pPr>
            <w:r>
              <w:rPr/>
              <w:t>—</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02/28/2028</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5,701</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 (Revolver)</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1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302</w:t>
            </w:r>
          </w:p>
        </w:tc>
        <w:tc>
          <w:tcPr>
            <w:tcW w:w="200" w:type="dxa"/>
            <w:tcBorders/>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Recteq,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01/29/2026</w:t>
            </w:r>
          </w:p>
        </w:tc>
        <w:tc>
          <w:tcPr>
            <w:tcW w:w="146" w:type="dxa"/>
            <w:tcBorders/>
            <w:vAlign w:val="center"/>
          </w:tcPr>
          <w:p>
            <w:pPr>
              <w:pStyle w:val="TableContents"/>
              <w:bidi w:val="0"/>
              <w:spacing w:before="0" w:after="0"/>
              <w:ind w:left="0" w:right="0" w:hanging="0"/>
              <w:jc w:val="left"/>
              <w:rPr/>
            </w:pPr>
            <w:r>
              <w:rPr/>
              <w:t> </w:t>
            </w:r>
          </w:p>
        </w:tc>
        <w:tc>
          <w:tcPr>
            <w:tcW w:w="2097"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84"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50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left"/>
              <w:rPr/>
            </w:pPr>
            <w:r>
              <w:rPr/>
              <w:t> </w:t>
            </w:r>
          </w:p>
        </w:tc>
        <w:tc>
          <w:tcPr>
            <w:tcW w:w="52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15</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bidi w:val="0"/>
        <w:spacing w:before="0" w:after="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347"/>
        <w:gridCol w:w="146"/>
        <w:gridCol w:w="281"/>
        <w:gridCol w:w="669"/>
        <w:gridCol w:w="146"/>
        <w:gridCol w:w="146"/>
        <w:gridCol w:w="1515"/>
        <w:gridCol w:w="146"/>
        <w:gridCol w:w="168"/>
        <w:gridCol w:w="436"/>
        <w:gridCol w:w="211"/>
        <w:gridCol w:w="146"/>
        <w:gridCol w:w="197"/>
        <w:gridCol w:w="470"/>
        <w:gridCol w:w="146"/>
        <w:gridCol w:w="146"/>
        <w:gridCol w:w="146"/>
        <w:gridCol w:w="496"/>
        <w:gridCol w:w="146"/>
        <w:gridCol w:w="146"/>
        <w:gridCol w:w="166"/>
        <w:gridCol w:w="496"/>
        <w:gridCol w:w="146"/>
        <w:gridCol w:w="146"/>
        <w:gridCol w:w="181"/>
        <w:gridCol w:w="544"/>
        <w:gridCol w:w="276"/>
      </w:tblGrid>
      <w:tr>
        <w:trPr/>
        <w:tc>
          <w:tcPr>
            <w:tcW w:w="2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34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5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Inc. and Dynata,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Riverpoint Medical,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03/10/2025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12,648</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Sales Benchmark Index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 (Revolver)</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Sargent &amp; Greenleaf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4,571</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Schlesinger Global, Inc. (Revolver)</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(PIK 0.5%)</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Schlesinger Global, Inc.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07/14/2025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Seaway Buyer, LLC (Revolver)</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Shiftkey,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17,722</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31,047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Sigma Defense Systems, LLC (Revolver)</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Sigma Defense Systems,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Signature Systems Holding Company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Solutionreach,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Spear Education,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12,018</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9,433</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 - Funded Revolver</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182</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Spendmend Holdings LLC - Unfunded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03/01/2028</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System Planning and Analysis, Inc. - (Revolver) </w:t>
            </w:r>
            <w:r>
              <w:rPr>
                <w:rFonts w:ascii="Times New Roman;serif" w:hAnsi="Times New Roman;serif"/>
                <w:b w:val="false"/>
                <w:sz w:val="8"/>
              </w:rPr>
              <w:t>(7)</w:t>
            </w:r>
            <w:r>
              <w:rPr>
                <w:rFonts w:ascii="Times New Roman" w:hAnsi="Times New Roman"/>
                <w:sz w:val="12"/>
              </w:rPr>
              <w:t> </w:t>
            </w:r>
            <w:r>
              <w:rPr>
                <w:rFonts w:ascii="Times New Roman;serif" w:hAnsi="Times New Roman;serif"/>
                <w:b w:val="false"/>
                <w:sz w:val="12"/>
              </w:rPr>
              <w:br/>
              <w:t>(f/k/a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righ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4,933</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Bluebird Group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1,745</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 (Revolver)</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8.26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The Vertex Companies,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08/30/2027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12,543</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TVC Enterprises,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03/26/2026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TWS Acquisition Corporation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06/16/2025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Tyto Athene,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26,634</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Unique Indoor Comfort, LLC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Walker Edison Furniture Company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25,368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16,946</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3,716</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Wildcat Buyerco, Inc. (Revolver)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03/01/2024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2,562</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599,263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588,267</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Debt—22.2% of Net Assets</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Atlas Purchaser,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05/07/2029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14,909</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Best Practice Associates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06/29/2027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17,290</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07/28/2030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7,680</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Data Axle,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Other Media</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L+925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20,288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20,196</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ENC Parent Corporation</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7,125</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Halo Buyer,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07/06/2026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L+825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31,769</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Inventus Power,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09/29/2024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16,344</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QuantiTech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L+1,000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VT Topco, Inc.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08/17/2026</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L+675</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14,932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14,475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133,160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129,936</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Subordinated Debt/Corporate Notes—9.1% of Net Assets</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Acquisition Company,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01/15/2029</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L+1,150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20,278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20,359</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Flock Financial,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05/26/2027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33,190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32,895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Subordinated Debt/Corporate Notes</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53,468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53,254</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Preferred Equity/Partnership Interests—1.3%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Ad.net Holdings,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AH Newco Equityholdings, LLC</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704</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Mars Intermediate Holdings II,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484</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 (Tyto Athene, LLC)</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1,932</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TPC Holding Company, LP </w:t>
            </w:r>
            <w:r>
              <w:rPr>
                <w:rFonts w:ascii="Times New Roman;serif" w:hAnsi="Times New Roman;serif"/>
                <w:b w:val="false"/>
                <w:sz w:val="8"/>
              </w:rPr>
              <w:t>(8),(11)</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276" w:type="dxa"/>
            <w:tcBorders/>
            <w:vAlign w:val="center"/>
          </w:tcPr>
          <w:p>
            <w:pPr>
              <w:pStyle w:val="TableContents"/>
              <w:bidi w:val="0"/>
              <w:spacing w:before="0" w:after="0"/>
              <w:ind w:left="0" w:right="0" w:firstLine="80"/>
              <w:jc w:val="left"/>
              <w:rPr/>
            </w:pPr>
            <w:r>
              <w:rPr/>
              <w:t> </w:t>
            </w:r>
          </w:p>
        </w:tc>
      </w:tr>
      <w:tr>
        <w:trPr/>
        <w:tc>
          <w:tcPr>
            <w:tcW w:w="234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5,026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Interests/Warrants—26.2%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4"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6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25"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Ad.net Holdings, Inc.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Affinion Group Holdings, Inc. (Warrants)</w:t>
            </w:r>
          </w:p>
        </w:tc>
        <w:tc>
          <w:tcPr>
            <w:tcW w:w="146" w:type="dxa"/>
            <w:tcBorders/>
            <w:vAlign w:val="center"/>
          </w:tcPr>
          <w:p>
            <w:pPr>
              <w:pStyle w:val="TableContents"/>
              <w:bidi w:val="0"/>
              <w:spacing w:before="0" w:after="0"/>
              <w:ind w:left="0" w:right="0" w:hanging="0"/>
              <w:jc w:val="left"/>
              <w:rPr/>
            </w:pPr>
            <w:r>
              <w:rPr/>
              <w:t> </w:t>
            </w:r>
          </w:p>
        </w:tc>
        <w:tc>
          <w:tcPr>
            <w:tcW w:w="950"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04/10/2024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77,190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AG Investco LP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34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Intermediate Company II, Inc.</w:t>
            </w:r>
          </w:p>
        </w:tc>
        <w:tc>
          <w:tcPr>
            <w:tcW w:w="146"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8"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c>
          <w:tcPr>
            <w:tcW w:w="47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81" w:type="dxa"/>
            <w:tcBorders/>
            <w:vAlign w:val="center"/>
          </w:tcPr>
          <w:p>
            <w:pPr>
              <w:pStyle w:val="TableContents"/>
              <w:bidi w:val="0"/>
              <w:spacing w:before="0" w:after="0"/>
              <w:ind w:left="0" w:right="0" w:hanging="0"/>
              <w:jc w:val="left"/>
              <w:rPr/>
            </w:pPr>
            <w:r>
              <w:rPr/>
              <w:t> </w:t>
            </w:r>
          </w:p>
        </w:tc>
        <w:tc>
          <w:tcPr>
            <w:tcW w:w="54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27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16</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bidi w:val="0"/>
        <w:spacing w:before="0" w:after="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107"/>
        <w:gridCol w:w="146"/>
        <w:gridCol w:w="293"/>
        <w:gridCol w:w="698"/>
        <w:gridCol w:w="146"/>
        <w:gridCol w:w="146"/>
        <w:gridCol w:w="1740"/>
        <w:gridCol w:w="146"/>
        <w:gridCol w:w="160"/>
        <w:gridCol w:w="381"/>
        <w:gridCol w:w="146"/>
        <w:gridCol w:w="146"/>
        <w:gridCol w:w="206"/>
        <w:gridCol w:w="490"/>
        <w:gridCol w:w="146"/>
        <w:gridCol w:w="146"/>
        <w:gridCol w:w="146"/>
        <w:gridCol w:w="646"/>
        <w:gridCol w:w="146"/>
        <w:gridCol w:w="146"/>
        <w:gridCol w:w="166"/>
        <w:gridCol w:w="436"/>
        <w:gridCol w:w="146"/>
        <w:gridCol w:w="146"/>
        <w:gridCol w:w="195"/>
        <w:gridCol w:w="514"/>
        <w:gridCol w:w="275"/>
      </w:tblGrid>
      <w:tr>
        <w:trPr/>
        <w:tc>
          <w:tcPr>
            <w:tcW w:w="2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1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AMCSI Crash Co-Invest,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2,419,200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2,470</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AMCSI Crash Co-Invest,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580,800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Anteriad Holdings, LP (f/k/a MeritDirect Holdings,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270</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Athletico Holdings,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9,516</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Atlas Investment Aggregator,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1,219</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Holdings,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690</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3,562,500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3,716</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CI (Allied) Investment Holdings,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1,651</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(PRA Events, Inc.)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Parent,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57,416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689</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Cowboy Parent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4,011</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Acquisition Parent Holdings,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Delta InvestCo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Delta InvestCo LP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442,155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(Sigma Defense Systems, LLC)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ECM Investors,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167,537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eCommission Holding Corporation </w:t>
            </w:r>
            <w:r>
              <w:rPr>
                <w:rFonts w:ascii="Times New Roman;serif" w:hAnsi="Times New Roman;serif"/>
                <w:b w:val="false"/>
                <w:sz w:val="8"/>
              </w:rPr>
              <w:t>(11)</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1,391</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Exigo,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1,458,333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1,288</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Express Wash Topco,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658,000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3,369</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1,441</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FedHC InvestCo II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20,357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2,253</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Lash Coinvest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4,208</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Schlesinger Coinvest,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Gauge TVC Coinvest,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810,645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3,229</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GCOM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Go Dawgs Capital III,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675,325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(American Insulated Glass,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Green Veracity Holdings, LP - Class A</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5,700</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(VT Topco, Inc.)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Hancock Claims Consultants Investors,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1,387</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V C,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Icon Partners V C,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388,889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Topco,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743,826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Infogroup Parent Holdings, Inc.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Other 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181,495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3,270</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(Data Axle, Inc.)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Ironclad Holdco,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592</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(Applied Technical Services, LLC)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ITC Infusion Co-invest,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1,199</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ITC Rumba,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375,675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42,031</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(Cano Health, LLC)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JWC-WE Holdings,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(Walker Edison Furniture Company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Kentucky Racing Holdco, LLC (Warrants)</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161,252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1,774</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1,308,814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1,854</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KL Stockton Co-Invest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382,353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643</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(Any Hour Services)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Lariat ecoserv Co-Invest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363,656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1,376</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Investment Holdco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Mars Intermidiate Holdings II, Inc.</w:t>
            </w:r>
            <w:r>
              <w:rPr>
                <w:rFonts w:ascii="Times New Roman" w:hAnsi="Times New Roman"/>
                <w:sz w:val="12"/>
              </w:rPr>
              <w:t>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MDI Aggregator,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1,925,990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1,926</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Meadowlark Title,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897</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3,920,145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2,990</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NEPRT Parent Holdings,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243</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(Recteq,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center"/>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North Haven Saints Equity Holdings,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351,553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373</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NXOF Holdings, Inc.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OceanSound Discovery Equity,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98,286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1,651</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 w:hAnsi="Times New Roman"/>
                <w:sz w:val="12"/>
              </w:rPr>
            </w:pPr>
            <w:r>
              <w:rPr>
                <w:rFonts w:ascii="Times New Roman;serif" w:hAnsi="Times New Roman;serif"/>
                <w:b w:val="false"/>
                <w:sz w:val="12"/>
              </w:rPr>
              <w:t xml:space="preserve">(Holdco Sands Intermediate,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OHCP V BC COI,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OHCP V BC COI,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303,750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w:t>
            </w:r>
          </w:p>
        </w:tc>
        <w:tc>
          <w:tcPr>
            <w:tcW w:w="27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Oral Surgery (ITC)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ORL Holdco, Inc.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PennantPark-TSO Senior Loan Fund II, LP</w:t>
            </w:r>
          </w:p>
        </w:tc>
        <w:tc>
          <w:tcPr>
            <w:tcW w:w="146" w:type="dxa"/>
            <w:tcBorders/>
            <w:vAlign w:val="center"/>
          </w:tcPr>
          <w:p>
            <w:pPr>
              <w:pStyle w:val="TableContents"/>
              <w:bidi w:val="0"/>
              <w:spacing w:before="0" w:after="0"/>
              <w:ind w:left="0" w:right="0" w:hanging="0"/>
              <w:jc w:val="righ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center"/>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15,038,871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15,571</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Pink Lily Holdco,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Pragmatic Institute,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1,918,047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1,918</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352</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LP </w:t>
            </w:r>
            <w:r>
              <w:rPr>
                <w:rFonts w:ascii="Times New Roman;serif" w:hAnsi="Times New Roman;serif"/>
                <w:b w:val="false"/>
                <w:sz w:val="8"/>
              </w:rPr>
              <w:t>(7),(9)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QuantiTech InvestCo II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RFMG Parent,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SBI Holdings Investments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36,585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359</w:t>
            </w:r>
          </w:p>
        </w:tc>
        <w:tc>
          <w:tcPr>
            <w:tcW w:w="275" w:type="dxa"/>
            <w:tcBorders/>
            <w:vAlign w:val="center"/>
          </w:tcPr>
          <w:p>
            <w:pPr>
              <w:pStyle w:val="TableContents"/>
              <w:bidi w:val="0"/>
              <w:spacing w:before="0" w:after="0"/>
              <w:ind w:left="0" w:right="0" w:firstLine="80"/>
              <w:jc w:val="left"/>
              <w:rPr/>
            </w:pPr>
            <w:r>
              <w:rPr/>
              <w:t> </w:t>
            </w:r>
          </w:p>
        </w:tc>
      </w:tr>
      <w:tr>
        <w:trPr/>
        <w:tc>
          <w:tcPr>
            <w:tcW w:w="2107"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60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09" w:type="dxa"/>
            <w:gridSpan w:val="2"/>
            <w:tcBorders/>
            <w:vAlign w:val="center"/>
          </w:tcPr>
          <w:p>
            <w:pPr>
              <w:pStyle w:val="TableContents"/>
              <w:bidi w:val="0"/>
              <w:spacing w:before="0" w:after="0"/>
              <w:ind w:left="0" w:right="0" w:hanging="0"/>
              <w:jc w:val="right"/>
              <w:rPr/>
            </w:pPr>
            <w:r>
              <w:rPr/>
              <w:t> </w:t>
            </w:r>
          </w:p>
        </w:tc>
        <w:tc>
          <w:tcPr>
            <w:tcW w:w="275" w:type="dxa"/>
            <w:tcBorders/>
            <w:vAlign w:val="center"/>
          </w:tcPr>
          <w:p>
            <w:pPr>
              <w:pStyle w:val="TableContents"/>
              <w:bidi w:val="0"/>
              <w:spacing w:before="0" w:after="0"/>
              <w:ind w:left="0" w:right="0" w:hanging="0"/>
              <w:jc w:val="righ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Topco, LP</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2,981</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CR Intermediate Holdco, Inc.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275" w:type="dxa"/>
            <w:tcBorders/>
            <w:vAlign w:val="center"/>
          </w:tcPr>
          <w:p>
            <w:pPr>
              <w:pStyle w:val="TableContents"/>
              <w:bidi w:val="0"/>
              <w:spacing w:before="0" w:after="0"/>
              <w:ind w:left="0" w:right="0" w:hanging="0"/>
              <w:jc w:val="left"/>
              <w:rPr/>
            </w:pPr>
            <w:r>
              <w:rPr/>
              <w:t> </w:t>
            </w:r>
          </w:p>
        </w:tc>
      </w:tr>
      <w:tr>
        <w:trPr/>
        <w:tc>
          <w:tcPr>
            <w:tcW w:w="2107"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 L2 Holdings, LLC</w:t>
            </w:r>
          </w:p>
        </w:tc>
        <w:tc>
          <w:tcPr>
            <w:tcW w:w="146"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pPr>
            <w:r>
              <w:rPr/>
              <w:t> </w:t>
            </w:r>
          </w:p>
        </w:tc>
        <w:tc>
          <w:tcPr>
            <w:tcW w:w="69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0"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60" w:type="dxa"/>
            <w:tcBorders/>
            <w:vAlign w:val="center"/>
          </w:tcPr>
          <w:p>
            <w:pPr>
              <w:pStyle w:val="TableContents"/>
              <w:bidi w:val="0"/>
              <w:spacing w:before="0" w:after="0"/>
              <w:ind w:left="0" w:right="0" w:hanging="0"/>
              <w:jc w:val="left"/>
              <w:rPr/>
            </w:pPr>
            <w:r>
              <w:rPr/>
              <w:t> </w:t>
            </w:r>
          </w:p>
        </w:tc>
        <w:tc>
          <w:tcPr>
            <w:tcW w:w="3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49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881,966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95"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75"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17</w:t>
      </w:r>
    </w:p>
    <w:p>
      <w:pPr>
        <w:pStyle w:val="HorizontalLine"/>
        <w:pBdr>
          <w:bottom w:val="double" w:sz="2" w:space="0" w:color="808080"/>
        </w:pBdr>
        <w:bidi w:val="0"/>
        <w:spacing w:before="0" w:after="283"/>
        <w:jc w:val="left"/>
        <w:rPr/>
      </w:pPr>
      <w:r>
        <w:rPr/>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CONSOLIDATED SCHEDULE OF INVESTMENTS – (Continued)</w:t>
      </w:r>
    </w:p>
    <w:p>
      <w:pPr>
        <w:pStyle w:val="TextBody"/>
        <w:bidi w:val="0"/>
        <w:spacing w:before="0" w:after="0"/>
        <w:jc w:val="center"/>
        <w:rPr>
          <w:rFonts w:ascii="Times New Roman;serif" w:hAnsi="Times New Roman;serif"/>
          <w:b/>
          <w:caps/>
          <w:sz w:val="16"/>
        </w:rPr>
      </w:pPr>
      <w:r>
        <w:rPr>
          <w:rFonts w:ascii="Times New Roman;serif" w:hAnsi="Times New Roman;serif"/>
          <w:b/>
          <w:caps/>
          <w:sz w:val="16"/>
        </w:rPr>
        <w:t>September 30, 2022</w:t>
      </w:r>
    </w:p>
    <w:p>
      <w:pPr>
        <w:pStyle w:val="TextBody"/>
        <w:bidi w:val="0"/>
        <w:spacing w:before="0" w:after="0"/>
        <w:jc w:val="center"/>
        <w:rPr>
          <w:rFonts w:ascii="Times New Roman;serif" w:hAnsi="Times New Roman;serif"/>
          <w:b/>
          <w:sz w:val="16"/>
        </w:rPr>
      </w:pPr>
      <w:r>
        <w:rPr>
          <w:rFonts w:ascii="Times New Roman;serif" w:hAnsi="Times New Roman;serif"/>
          <w:b/>
          <w:sz w:val="16"/>
        </w:rPr>
        <w:t>(In thousands, except share data)</w:t>
      </w:r>
    </w:p>
    <w:tbl>
      <w:tblPr>
        <w:tblW w:w="10205" w:type="dxa"/>
        <w:jc w:val="left"/>
        <w:tblInd w:w="0" w:type="dxa"/>
        <w:tblLayout w:type="fixed"/>
        <w:tblCellMar>
          <w:top w:w="28" w:type="dxa"/>
          <w:left w:w="28" w:type="dxa"/>
          <w:bottom w:w="28" w:type="dxa"/>
          <w:right w:w="28" w:type="dxa"/>
        </w:tblCellMar>
      </w:tblPr>
      <w:tblGrid>
        <w:gridCol w:w="2413"/>
        <w:gridCol w:w="146"/>
        <w:gridCol w:w="269"/>
        <w:gridCol w:w="642"/>
        <w:gridCol w:w="146"/>
        <w:gridCol w:w="146"/>
        <w:gridCol w:w="1275"/>
        <w:gridCol w:w="146"/>
        <w:gridCol w:w="151"/>
        <w:gridCol w:w="390"/>
        <w:gridCol w:w="211"/>
        <w:gridCol w:w="146"/>
        <w:gridCol w:w="189"/>
        <w:gridCol w:w="451"/>
        <w:gridCol w:w="146"/>
        <w:gridCol w:w="146"/>
        <w:gridCol w:w="166"/>
        <w:gridCol w:w="646"/>
        <w:gridCol w:w="146"/>
        <w:gridCol w:w="146"/>
        <w:gridCol w:w="166"/>
        <w:gridCol w:w="586"/>
        <w:gridCol w:w="146"/>
        <w:gridCol w:w="146"/>
        <w:gridCol w:w="169"/>
        <w:gridCol w:w="599"/>
        <w:gridCol w:w="276"/>
      </w:tblGrid>
      <w:tr>
        <w:trPr/>
        <w:tc>
          <w:tcPr>
            <w:tcW w:w="2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24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 / Expiration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 Spread Above</w:t>
              <w:br/>
              <w:t xml:space="preserve"> Index </w:t>
            </w:r>
            <w:r>
              <w:rPr>
                <w:rFonts w:ascii="Times New Roman;serif" w:hAnsi="Times New Roman;serif"/>
                <w:b/>
                <w:sz w:val="8"/>
              </w:rPr>
              <w:t>(4)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 /</w:t>
              <w:br/>
              <w:t> 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(3)</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2,041</w:t>
            </w:r>
          </w:p>
        </w:tc>
        <w:tc>
          <w:tcPr>
            <w:tcW w:w="276" w:type="dxa"/>
            <w:tcBorders/>
            <w:vAlign w:val="center"/>
          </w:tcPr>
          <w:p>
            <w:pPr>
              <w:pStyle w:val="TableContents"/>
              <w:bidi w:val="0"/>
              <w:spacing w:before="0" w:after="0"/>
              <w:ind w:left="0" w:right="0" w:firstLine="80"/>
              <w:jc w:val="left"/>
              <w:rPr/>
            </w:pPr>
            <w:r>
              <w:rPr/>
              <w:t> </w:t>
            </w:r>
          </w:p>
        </w:tc>
      </w:tr>
      <w:tr>
        <w:trPr/>
        <w:tc>
          <w:tcPr>
            <w:tcW w:w="2413"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Class A (US Dominion, Inc.)</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SSC Dominion Holdings,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4,389</w:t>
            </w:r>
          </w:p>
        </w:tc>
        <w:tc>
          <w:tcPr>
            <w:tcW w:w="276" w:type="dxa"/>
            <w:tcBorders/>
            <w:vAlign w:val="center"/>
          </w:tcPr>
          <w:p>
            <w:pPr>
              <w:pStyle w:val="TableContents"/>
              <w:bidi w:val="0"/>
              <w:spacing w:before="0" w:after="0"/>
              <w:ind w:left="0" w:right="0" w:firstLine="80"/>
              <w:jc w:val="left"/>
              <w:rPr/>
            </w:pPr>
            <w:r>
              <w:rPr/>
              <w:t> </w:t>
            </w:r>
          </w:p>
        </w:tc>
      </w:tr>
      <w:tr>
        <w:trPr/>
        <w:tc>
          <w:tcPr>
            <w:tcW w:w="2413"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Class B (US Dominion, Inc.)</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StellPen Holdings,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w:t>
            </w:r>
          </w:p>
        </w:tc>
        <w:tc>
          <w:tcPr>
            <w:tcW w:w="276" w:type="dxa"/>
            <w:tcBorders/>
            <w:vAlign w:val="center"/>
          </w:tcPr>
          <w:p>
            <w:pPr>
              <w:pStyle w:val="TableContents"/>
              <w:bidi w:val="0"/>
              <w:spacing w:before="0" w:after="0"/>
              <w:ind w:left="0" w:right="0" w:firstLine="80"/>
              <w:jc w:val="left"/>
              <w:rPr/>
            </w:pPr>
            <w:r>
              <w:rPr/>
              <w:t> </w:t>
            </w:r>
          </w:p>
        </w:tc>
      </w:tr>
      <w:tr>
        <w:trPr/>
        <w:tc>
          <w:tcPr>
            <w:tcW w:w="2413"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TAC LifePort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232,558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Tower Arch Infolinks Media, LP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531,293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Tower Arch Infolinks Media, LP</w:t>
            </w:r>
            <w:r>
              <w:rPr>
                <w:rFonts w:ascii="Times New Roman" w:hAnsi="Times New Roman"/>
                <w:sz w:val="12"/>
              </w:rPr>
              <w:t> </w:t>
            </w:r>
            <w:r>
              <w:rPr>
                <w:rFonts w:ascii="Times New Roman;serif" w:hAnsi="Times New Roman;serif"/>
                <w:b w:val="false"/>
                <w:sz w:val="8"/>
              </w:rPr>
              <w:t>(7), (9)</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364,151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TPC Holding Company, LP</w:t>
            </w:r>
            <w:r>
              <w:rPr>
                <w:rFonts w:ascii="Times New Roman" w:hAnsi="Times New Roman"/>
                <w:sz w:val="12"/>
              </w:rPr>
              <w:t> </w:t>
            </w:r>
            <w:r>
              <w:rPr>
                <w:rFonts w:ascii="Times New Roman;serif" w:hAnsi="Times New Roman;serif"/>
                <w:b w:val="false"/>
                <w:sz w:val="8"/>
              </w:rPr>
              <w:t>(8). (11)</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TWD Parent Holdings,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firstLine="80"/>
              <w:jc w:val="left"/>
              <w:rPr/>
            </w:pPr>
            <w:r>
              <w:rPr/>
              <w:t> </w:t>
            </w:r>
          </w:p>
        </w:tc>
      </w:tr>
      <w:tr>
        <w:trPr/>
        <w:tc>
          <w:tcPr>
            <w:tcW w:w="2413"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U.S. Well Services, Inc. - Class A </w:t>
            </w:r>
            <w:r>
              <w:rPr>
                <w:rFonts w:ascii="Times New Roman;serif" w:hAnsi="Times New Roman;serif"/>
                <w:b w:val="false"/>
                <w:sz w:val="8"/>
              </w:rPr>
              <w:t>(5), (11)</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Oil and Gas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304</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UniVista Insurance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454</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WCP Ivyrehab QP CF Feeder, LP</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3,762,257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3,762</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WCP Ivyrehab QP CF Feeder, LP - Unfunded </w:t>
            </w:r>
            <w:r>
              <w:rPr>
                <w:rFonts w:ascii="Times New Roman;serif" w:hAnsi="Times New Roman;serif"/>
                <w:b w:val="false"/>
                <w:sz w:val="8"/>
              </w:rPr>
              <w:t>(7)</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237,743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Parent, LP</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616</w:t>
            </w:r>
          </w:p>
        </w:tc>
        <w:tc>
          <w:tcPr>
            <w:tcW w:w="276" w:type="dxa"/>
            <w:tcBorders/>
            <w:vAlign w:val="center"/>
          </w:tcPr>
          <w:p>
            <w:pPr>
              <w:pStyle w:val="TableContents"/>
              <w:bidi w:val="0"/>
              <w:spacing w:before="0" w:after="0"/>
              <w:ind w:left="0" w:right="0" w:firstLine="80"/>
              <w:jc w:val="left"/>
              <w:rPr/>
            </w:pPr>
            <w:r>
              <w:rPr/>
              <w:t> </w:t>
            </w:r>
          </w:p>
        </w:tc>
      </w:tr>
      <w:tr>
        <w:trPr/>
        <w:tc>
          <w:tcPr>
            <w:tcW w:w="2413" w:type="dxa"/>
            <w:tcBorders/>
            <w:vAlign w:val="center"/>
          </w:tcPr>
          <w:p>
            <w:pPr>
              <w:pStyle w:val="TableContents"/>
              <w:bidi w:val="0"/>
              <w:spacing w:before="0" w:after="0"/>
              <w:ind w:left="8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91,596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153,373</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Non-Affiliated Portfolio Companies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882,513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932,155</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62" w:type="dxa"/>
            <w:gridSpan w:val="6"/>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Non-Controlled, Affiliated Portfolio Companies—5.9% of Net Assets </w:t>
            </w:r>
            <w:r>
              <w:rPr>
                <w:rFonts w:ascii="Times New Roman;serif" w:hAnsi="Times New Roman;serif"/>
                <w:b/>
                <w:sz w:val="8"/>
              </w:rPr>
              <w:t>(1), (2)</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Preferred Equity/Partnership Interests—5.6% of Net Assets</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Cascade Environmental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5,887,236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Preferred Equity/Partnership Interests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32,791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Equity/Partnership Interests/Warrants—0.3%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Cascade Environmental Holdings,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7,444,347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JF Intermediate,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Equity/Partnership Interests/Warrants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4,821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1,969</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Non-Controlled, Affiliated Portfolio Companies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37,612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34,760</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Investments in Controlled, Affiliated Portfolio Companies—44.3% of Net Assets </w:t>
            </w:r>
            <w:r>
              <w:rPr>
                <w:rFonts w:ascii="Times New Roman;serif" w:hAnsi="Times New Roman;serif"/>
                <w:b/>
                <w:sz w:val="8"/>
              </w:rPr>
              <w:t>(1), (2)</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Debt—7.3%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03/13/2024</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52,792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42,698</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52,792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42,698</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Second Lien Secured Debt—0%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Mailsouth Inc.</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04/23/2025</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Second Lien Secured Debt</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Subordinated Debt—15.0%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PennantPark Senior Loan Fund, LLC </w:t>
            </w:r>
            <w:r>
              <w:rPr>
                <w:rFonts w:ascii="Times New Roman;serif" w:hAnsi="Times New Roman;serif"/>
                <w:b w:val="false"/>
                <w:sz w:val="8"/>
              </w:rPr>
              <w:t>(11)</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07/31/2027</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Subordinated Debt</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88,011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sz w:val="12"/>
              </w:rPr>
              <w:t xml:space="preserve">Common Equity—22.0% of Net Assets </w:t>
            </w:r>
            <w:r>
              <w:rPr>
                <w:rFonts w:ascii="Times New Roman;serif" w:hAnsi="Times New Roman;serif"/>
                <w:b/>
                <w:sz w:val="8"/>
              </w:rPr>
              <w:t>(6)</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AKW Holdings Limited </w:t>
            </w:r>
            <w:r>
              <w:rPr>
                <w:rFonts w:ascii="Times New Roman;serif" w:hAnsi="Times New Roman;serif"/>
                <w:b w:val="false"/>
                <w:sz w:val="8"/>
              </w:rPr>
              <w:t>(8), (10), (11)</w:t>
            </w:r>
          </w:p>
        </w:tc>
        <w:tc>
          <w:tcPr>
            <w:tcW w:w="146" w:type="dxa"/>
            <w:tcBorders/>
            <w:vAlign w:val="center"/>
          </w:tcPr>
          <w:p>
            <w:pPr>
              <w:pStyle w:val="TableContents"/>
              <w:bidi w:val="0"/>
              <w:spacing w:before="0" w:after="0"/>
              <w:ind w:left="0" w:right="0" w:hanging="0"/>
              <w:jc w:val="righ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3,297</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MSpark, LLC</w:t>
            </w:r>
          </w:p>
        </w:tc>
        <w:tc>
          <w:tcPr>
            <w:tcW w:w="146" w:type="dxa"/>
            <w:tcBorders/>
            <w:vAlign w:val="center"/>
          </w:tcPr>
          <w:p>
            <w:pPr>
              <w:pStyle w:val="TableContents"/>
              <w:bidi w:val="0"/>
              <w:spacing w:before="0" w:after="0"/>
              <w:ind w:left="0" w:right="0" w:hanging="0"/>
              <w:jc w:val="righ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51,151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16,516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PennantPark Senior Loan Fund, LLC</w:t>
            </w:r>
          </w:p>
        </w:tc>
        <w:tc>
          <w:tcPr>
            <w:tcW w:w="146"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49,298,789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51,098</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RAM Energy Holdings LLC </w:t>
            </w:r>
            <w:r>
              <w:rPr>
                <w:rFonts w:ascii="Times New Roman;serif" w:hAnsi="Times New Roman;serif"/>
                <w:b w:val="false"/>
                <w:sz w:val="8"/>
              </w:rPr>
              <w:t>(9)</w:t>
            </w:r>
          </w:p>
        </w:tc>
        <w:tc>
          <w:tcPr>
            <w:tcW w:w="146" w:type="dxa"/>
            <w:tcBorders/>
            <w:vAlign w:val="center"/>
          </w:tcPr>
          <w:p>
            <w:pPr>
              <w:pStyle w:val="TableContents"/>
              <w:bidi w:val="0"/>
              <w:spacing w:before="0" w:after="0"/>
              <w:ind w:left="0" w:right="0" w:hanging="0"/>
              <w:jc w:val="right"/>
              <w:rPr/>
            </w:pPr>
            <w:r>
              <w:rPr/>
              <w:t> </w:t>
            </w:r>
          </w:p>
        </w:tc>
        <w:tc>
          <w:tcPr>
            <w:tcW w:w="269"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Energy and Utilities</w:t>
            </w:r>
          </w:p>
        </w:tc>
        <w:tc>
          <w:tcPr>
            <w:tcW w:w="146" w:type="dxa"/>
            <w:tcBorders/>
            <w:vAlign w:val="center"/>
          </w:tcPr>
          <w:p>
            <w:pPr>
              <w:pStyle w:val="TableContents"/>
              <w:bidi w:val="0"/>
              <w:spacing w:before="0" w:after="0"/>
              <w:ind w:left="0" w:right="0" w:hanging="0"/>
              <w:jc w:val="center"/>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9" w:type="dxa"/>
            <w:tcBorders/>
            <w:vAlign w:val="center"/>
          </w:tcPr>
          <w:p>
            <w:pPr>
              <w:pStyle w:val="TableContents"/>
              <w:bidi w:val="0"/>
              <w:spacing w:before="0" w:after="0"/>
              <w:ind w:left="0" w:right="0" w:hanging="0"/>
              <w:jc w:val="left"/>
              <w:rPr/>
            </w:pPr>
            <w:r>
              <w:rPr/>
              <w:t> </w:t>
            </w:r>
          </w:p>
        </w:tc>
        <w:tc>
          <w:tcPr>
            <w:tcW w:w="45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180,805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162,708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74,282</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Common Equity</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228,718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128,677</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in Controlled, Affiliated Portfolio Companies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381,904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259,386</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Investments—209.4%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1,302,029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1,226,301</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Equivalents—9.0%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68" w:type="dxa"/>
            <w:gridSpan w:val="2"/>
            <w:tcBorders/>
            <w:vAlign w:val="center"/>
          </w:tcPr>
          <w:p>
            <w:pPr>
              <w:pStyle w:val="TableContents"/>
              <w:bidi w:val="0"/>
              <w:spacing w:before="0" w:after="0"/>
              <w:ind w:left="0" w:right="0" w:hanging="0"/>
              <w:jc w:val="right"/>
              <w:rPr/>
            </w:pPr>
            <w:r>
              <w:rPr/>
              <w:t> </w:t>
            </w:r>
          </w:p>
        </w:tc>
        <w:tc>
          <w:tcPr>
            <w:tcW w:w="276" w:type="dxa"/>
            <w:tcBorders/>
            <w:vAlign w:val="center"/>
          </w:tcPr>
          <w:p>
            <w:pPr>
              <w:pStyle w:val="TableContents"/>
              <w:bidi w:val="0"/>
              <w:spacing w:before="0" w:after="0"/>
              <w:ind w:left="0" w:right="0" w:hanging="0"/>
              <w:jc w:val="righ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righ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39,122</w:t>
            </w:r>
          </w:p>
        </w:tc>
        <w:tc>
          <w:tcPr>
            <w:tcW w:w="276" w:type="dxa"/>
            <w:tcBorders/>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BNY Mellon Cash Reserve and Cash</w:t>
            </w:r>
          </w:p>
        </w:tc>
        <w:tc>
          <w:tcPr>
            <w:tcW w:w="146" w:type="dxa"/>
            <w:tcBorders/>
            <w:vAlign w:val="center"/>
          </w:tcPr>
          <w:p>
            <w:pPr>
              <w:pStyle w:val="TableContents"/>
              <w:bidi w:val="0"/>
              <w:spacing w:before="0" w:after="0"/>
              <w:ind w:left="0" w:right="0" w:hanging="0"/>
              <w:jc w:val="right"/>
              <w:rPr/>
            </w:pPr>
            <w:r>
              <w:rPr/>
              <w:t> </w:t>
            </w:r>
          </w:p>
        </w:tc>
        <w:tc>
          <w:tcPr>
            <w:tcW w:w="911"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13,544</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52,844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52,666</w:t>
            </w:r>
          </w:p>
        </w:tc>
        <w:tc>
          <w:tcPr>
            <w:tcW w:w="2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Equivalents—218.4%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1,354,873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1,278,967</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Assets—(118.4%) of Net Assets</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vAlign w:val="center"/>
          </w:tcPr>
          <w:p>
            <w:pPr>
              <w:pStyle w:val="TableContents"/>
              <w:bidi w:val="0"/>
              <w:spacing w:before="0" w:after="0"/>
              <w:ind w:left="0" w:right="0" w:hanging="0"/>
              <w:jc w:val="left"/>
              <w:rPr/>
            </w:pPr>
            <w:r>
              <w:rPr/>
              <w:t> </w:t>
            </w:r>
          </w:p>
        </w:tc>
        <w:tc>
          <w:tcPr>
            <w:tcW w:w="59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(693,402</w:t>
            </w:r>
          </w:p>
        </w:tc>
        <w:tc>
          <w:tcPr>
            <w:tcW w:w="27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413"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Net Assets—100.0%</w:t>
            </w:r>
          </w:p>
        </w:tc>
        <w:tc>
          <w:tcPr>
            <w:tcW w:w="146" w:type="dxa"/>
            <w:tcBorders/>
            <w:vAlign w:val="center"/>
          </w:tcPr>
          <w:p>
            <w:pPr>
              <w:pStyle w:val="TableContents"/>
              <w:bidi w:val="0"/>
              <w:spacing w:before="0" w:after="0"/>
              <w:ind w:left="0" w:right="0" w:hanging="0"/>
              <w:jc w:val="left"/>
              <w:rPr/>
            </w:pPr>
            <w:r>
              <w:rPr/>
              <w:t> </w:t>
            </w:r>
          </w:p>
        </w:tc>
        <w:tc>
          <w:tcPr>
            <w:tcW w:w="91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7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40"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75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6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585,565</w:t>
            </w:r>
          </w:p>
        </w:tc>
        <w:tc>
          <w:tcPr>
            <w:tcW w:w="2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rFonts w:ascii="Times New Roman" w:hAnsi="Times New Roman"/>
          <w:b w:val="false"/>
          <w:sz w:val="13"/>
        </w:rPr>
      </w:pPr>
      <w:r>
        <w:rPr>
          <w:rFonts w:ascii="Times New Roman" w:hAnsi="Times New Roman"/>
          <w:b w:val="false"/>
          <w:sz w:val="13"/>
        </w:rPr>
        <w:t>(1)</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pStyle w:val="TextBody"/>
        <w:bidi w:val="0"/>
        <w:spacing w:before="40" w:after="0"/>
        <w:jc w:val="left"/>
        <w:rPr>
          <w:rFonts w:ascii="Times New Roman" w:hAnsi="Times New Roman"/>
          <w:b w:val="false"/>
          <w:sz w:val="13"/>
        </w:rPr>
      </w:pPr>
      <w:r>
        <w:rPr>
          <w:rFonts w:ascii="Times New Roman" w:hAnsi="Times New Roman"/>
          <w:b w:val="false"/>
          <w:sz w:val="13"/>
        </w:rPr>
        <w:t>(2)</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pStyle w:val="TextBody"/>
        <w:bidi w:val="0"/>
        <w:spacing w:before="40" w:after="0"/>
        <w:jc w:val="left"/>
        <w:rPr>
          <w:rFonts w:ascii="Times New Roman" w:hAnsi="Times New Roman"/>
          <w:b w:val="false"/>
          <w:sz w:val="13"/>
        </w:rPr>
      </w:pPr>
      <w:r>
        <w:rPr>
          <w:rFonts w:ascii="Times New Roman" w:hAnsi="Times New Roman"/>
          <w:b w:val="false"/>
          <w:sz w:val="13"/>
        </w:rPr>
        <w:t>(3)</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Valued based on our accounting policy (See Note 2).</w:t>
      </w:r>
    </w:p>
    <w:p>
      <w:pPr>
        <w:pStyle w:val="TextBody"/>
        <w:bidi w:val="0"/>
        <w:spacing w:before="40" w:after="0"/>
        <w:jc w:val="left"/>
        <w:rPr>
          <w:rFonts w:ascii="Times New Roman" w:hAnsi="Times New Roman"/>
          <w:b w:val="false"/>
          <w:sz w:val="13"/>
        </w:rPr>
      </w:pPr>
      <w:r>
        <w:rPr>
          <w:rFonts w:ascii="Times New Roman" w:hAnsi="Times New Roman"/>
          <w:b w:val="false"/>
          <w:sz w:val="13"/>
        </w:rPr>
        <w:t>(4)</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Represents floating rate instruments that accrue interest at a predetermined spread relative to an index, typically the applicable London Interbank Offered Rate, or LIBOR or “L,” the Euro Interbank Offered Rate, or EURIBOR or “E”,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pStyle w:val="TextBody"/>
        <w:bidi w:val="0"/>
        <w:spacing w:before="40" w:after="0"/>
        <w:jc w:val="left"/>
        <w:rPr>
          <w:rFonts w:ascii="Times New Roman" w:hAnsi="Times New Roman"/>
          <w:b w:val="false"/>
          <w:sz w:val="13"/>
        </w:rPr>
      </w:pPr>
      <w:r>
        <w:rPr>
          <w:rFonts w:ascii="Times New Roman" w:hAnsi="Times New Roman"/>
          <w:b w:val="false"/>
          <w:sz w:val="13"/>
        </w:rPr>
        <w:t>(5)</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The security was not valued using significant unobservable inputs. The value of all other securities was determined using significant unobservable inputs (See Note 5).</w:t>
      </w:r>
    </w:p>
    <w:p>
      <w:pPr>
        <w:pStyle w:val="TextBody"/>
        <w:bidi w:val="0"/>
        <w:spacing w:before="40" w:after="0"/>
        <w:jc w:val="left"/>
        <w:rPr>
          <w:rFonts w:ascii="Times New Roman" w:hAnsi="Times New Roman"/>
          <w:b w:val="false"/>
          <w:sz w:val="13"/>
        </w:rPr>
      </w:pPr>
      <w:r>
        <w:rPr>
          <w:rFonts w:ascii="Times New Roman" w:hAnsi="Times New Roman"/>
          <w:b w:val="false"/>
          <w:sz w:val="13"/>
        </w:rPr>
        <w:t>(6)</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Non-income producing securities.</w:t>
      </w:r>
    </w:p>
    <w:p>
      <w:pPr>
        <w:pStyle w:val="TextBody"/>
        <w:bidi w:val="0"/>
        <w:spacing w:before="40" w:after="0"/>
        <w:jc w:val="left"/>
        <w:rPr>
          <w:rFonts w:ascii="Times New Roman" w:hAnsi="Times New Roman"/>
          <w:b w:val="false"/>
          <w:sz w:val="13"/>
        </w:rPr>
      </w:pPr>
      <w:r>
        <w:rPr>
          <w:rFonts w:ascii="Times New Roman" w:hAnsi="Times New Roman"/>
          <w:b w:val="false"/>
          <w:sz w:val="13"/>
        </w:rPr>
        <w:t>(7)</w:t>
      </w:r>
    </w:p>
    <w:p>
      <w:pPr>
        <w:pStyle w:val="TextBody"/>
        <w:bidi w:val="0"/>
        <w:spacing w:before="40" w:after="0"/>
        <w:jc w:val="left"/>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r>
        <w:rPr/>
        <w:t xml:space="preserve"> </w:t>
      </w:r>
    </w:p>
    <w:p>
      <w:pPr>
        <w:pStyle w:val="TextBody"/>
        <w:bidi w:val="0"/>
        <w:spacing w:before="40" w:after="0"/>
        <w:jc w:val="left"/>
        <w:rPr>
          <w:rFonts w:ascii="Times New Roman" w:hAnsi="Times New Roman"/>
          <w:b w:val="false"/>
          <w:sz w:val="13"/>
        </w:rPr>
      </w:pPr>
      <w:r>
        <w:rPr>
          <w:rFonts w:ascii="Times New Roman" w:hAnsi="Times New Roman"/>
          <w:b w:val="false"/>
          <w:sz w:val="13"/>
        </w:rPr>
        <w:t>(8)</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Non-U.S. company or principal place of business outside the United States.</w:t>
      </w:r>
    </w:p>
    <w:p>
      <w:pPr>
        <w:pStyle w:val="TextBody"/>
        <w:bidi w:val="0"/>
        <w:spacing w:before="40" w:after="0"/>
        <w:jc w:val="left"/>
        <w:rPr>
          <w:rFonts w:ascii="Times New Roman" w:hAnsi="Times New Roman"/>
          <w:b w:val="false"/>
          <w:sz w:val="13"/>
        </w:rPr>
      </w:pPr>
      <w:r>
        <w:rPr>
          <w:rFonts w:ascii="Times New Roman" w:hAnsi="Times New Roman"/>
          <w:b w:val="false"/>
          <w:sz w:val="13"/>
        </w:rPr>
        <w:t>(9)</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Investment is held through our Taxable Subsidiary (See Note 1).</w:t>
      </w:r>
    </w:p>
    <w:p>
      <w:pPr>
        <w:pStyle w:val="TextBody"/>
        <w:bidi w:val="0"/>
        <w:spacing w:before="40" w:after="0"/>
        <w:jc w:val="left"/>
        <w:rPr>
          <w:rFonts w:ascii="Times New Roman" w:hAnsi="Times New Roman"/>
          <w:b w:val="false"/>
          <w:sz w:val="13"/>
        </w:rPr>
      </w:pPr>
      <w:r>
        <w:rPr>
          <w:rFonts w:ascii="Times New Roman" w:hAnsi="Times New Roman"/>
          <w:b w:val="false"/>
          <w:sz w:val="13"/>
        </w:rPr>
        <w:t>(10)</w:t>
      </w:r>
    </w:p>
    <w:p>
      <w:pPr>
        <w:pStyle w:val="TextBody"/>
        <w:bidi w:val="0"/>
        <w:spacing w:before="40" w:after="0"/>
        <w:jc w:val="left"/>
        <w:rPr>
          <w:rFonts w:ascii="Times New Roman;serif" w:hAnsi="Times New Roman;serif"/>
          <w:b w:val="false"/>
          <w:sz w:val="13"/>
        </w:rPr>
      </w:pPr>
      <w:r>
        <w:rPr>
          <w:rFonts w:ascii="Times New Roman;serif" w:hAnsi="Times New Roman;serif"/>
          <w:b w:val="false"/>
          <w:sz w:val="13"/>
        </w:rPr>
        <w:t>Par / Shares amount is denominated in British Pounds (£) as denoted.</w:t>
      </w:r>
    </w:p>
    <w:p>
      <w:pPr>
        <w:pStyle w:val="TextBody"/>
        <w:bidi w:val="0"/>
        <w:spacing w:before="40" w:after="0"/>
        <w:jc w:val="left"/>
        <w:rPr>
          <w:rFonts w:ascii="Times New Roman" w:hAnsi="Times New Roman"/>
          <w:b w:val="false"/>
          <w:sz w:val="13"/>
        </w:rPr>
      </w:pPr>
      <w:r>
        <w:rPr>
          <w:rFonts w:ascii="Times New Roman" w:hAnsi="Times New Roman"/>
          <w:b w:val="false"/>
          <w:sz w:val="13"/>
        </w:rPr>
        <w:t>(11)</w:t>
      </w:r>
    </w:p>
    <w:p>
      <w:pPr>
        <w:pStyle w:val="TextBody"/>
        <w:bidi w:val="0"/>
        <w:spacing w:before="40" w:after="283"/>
        <w:jc w:val="left"/>
        <w:rPr>
          <w:rFonts w:ascii="Times New Roman;serif" w:hAnsi="Times New Roman;serif"/>
          <w:b w:val="false"/>
          <w:sz w:val="13"/>
        </w:rPr>
      </w:pPr>
      <w:r>
        <w:rPr>
          <w:rFonts w:ascii="Times New Roman;serif" w:hAnsi="Times New Roman;serif"/>
          <w:b w:val="false"/>
          <w:sz w:val="13"/>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SEE NOTES TO CONSOLIDATED FINANCIAL STATEMENTS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16"/>
        </w:rPr>
      </w:pPr>
      <w:r>
        <w:rPr>
          <w:rFonts w:ascii="Times New Roman;serif" w:hAnsi="Times New Roman;serif"/>
          <w:b w:val="false"/>
          <w:sz w:val="16"/>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 w:hAnsi="Times New Roman"/>
          <w:sz w:val="20"/>
        </w:rPr>
      </w:pPr>
      <w:bookmarkStart w:id="10" w:name="notes_to_consolidated_financial"/>
      <w:bookmarkEnd w:id="10"/>
      <w:r>
        <w:rPr>
          <w:rFonts w:ascii="Times New Roman;serif" w:hAnsi="Times New Roman;serif"/>
          <w:b/>
          <w:sz w:val="16"/>
        </w:rPr>
        <w:t>NOTES TO CONSOLIDATED FINANCIAL STATEMENTS</w:t>
      </w:r>
      <w:r>
        <w:rPr>
          <w:rFonts w:ascii="Times New Roman" w:hAnsi="Times New Roman"/>
          <w:sz w:val="20"/>
        </w:rPr>
        <w:t xml:space="preserve"> </w:t>
      </w:r>
      <w:r>
        <w:rPr>
          <w:rFonts w:ascii="Times New Roman;serif" w:hAnsi="Times New Roman;serif"/>
          <w:b/>
          <w:sz w:val="16"/>
        </w:rPr>
        <w:t>(Unaudited)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1. ORGANIZATION</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On April 14, 2022, trading of the Company's common stock commenced on the New York Stock Exchange after the Company voluntarily withdrew the principal listing of its common stock from the Nasdaq Stock Market LLC effective at market close on April 13, 2022. Our common stock trades on the New York Stock Exchange under the symbol “PNNT.”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SBIC II, our wholly-owned subsidiary, was organized as a Delaware limited partnership in 2012. SBIC II previously received a license from the SBA to operate as an SBIC under Section 301(c) of the 1958 Act. SBIC II’s objectives were to generate both current income and capital appreciation through debt and equity investments generally by investing with us in SBA-eligible businesses that meet the investment selection criteria used by PennantPark Investment. We have recently repaid all outstanding debentures in connection with SBIC II and have surrendered its SBA license.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On July 31, 2020, we and certain entities and managed accounts of the private credit investment manager of Pantheon Ventures (UK) LLP, or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was deconsolidated from our financial statements. PSLF invests primarily in middle-market and other corporate debt securities consistent with our strategy. PSLF was formed as a Delaware limited liability company. See Note 4.</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January 2022, we funded PennantPark-TSO Senior Loan Fund II LP, ("PTSF II"), an unconsolidated Delaware limited partnership. We sold $82.3</w:t>
      </w:r>
      <w:r>
        <w:rPr>
          <w:rFonts w:ascii="Times New Roman" w:hAnsi="Times New Roman"/>
          <w:sz w:val="20"/>
        </w:rPr>
        <w:t xml:space="preserve"> </w:t>
      </w:r>
      <w:r>
        <w:rPr>
          <w:rFonts w:ascii="Times New Roman;serif" w:hAnsi="Times New Roman;serif"/>
          <w:b w:val="false"/>
          <w:sz w:val="16"/>
        </w:rPr>
        <w:t>million in investments to a wholly-owned subsidiary of PTSF II in exchange for cash in the amount of $75.7</w:t>
      </w:r>
      <w:r>
        <w:rPr>
          <w:rFonts w:ascii="Times New Roman" w:hAnsi="Times New Roman"/>
          <w:sz w:val="20"/>
        </w:rPr>
        <w:t xml:space="preserve"> </w:t>
      </w:r>
      <w:r>
        <w:rPr>
          <w:rFonts w:ascii="Times New Roman;serif" w:hAnsi="Times New Roman;serif"/>
          <w:b w:val="false"/>
          <w:sz w:val="16"/>
        </w:rPr>
        <w:t>million and an $6.6</w:t>
      </w:r>
      <w:r>
        <w:rPr>
          <w:rFonts w:ascii="Times New Roman" w:hAnsi="Times New Roman"/>
          <w:sz w:val="20"/>
        </w:rPr>
        <w:t xml:space="preserve"> </w:t>
      </w:r>
      <w:r>
        <w:rPr>
          <w:rFonts w:ascii="Times New Roman;serif" w:hAnsi="Times New Roman;serif"/>
          <w:b w:val="false"/>
          <w:sz w:val="16"/>
        </w:rPr>
        <w:t>million equity interest in PTSF II representing 23.1% of the total outstanding Class A Units of PTSF II. We recognized $0.2</w:t>
      </w:r>
      <w:r>
        <w:rPr>
          <w:rFonts w:ascii="Times New Roman" w:hAnsi="Times New Roman"/>
          <w:sz w:val="20"/>
        </w:rPr>
        <w:t xml:space="preserve"> </w:t>
      </w:r>
      <w:r>
        <w:rPr>
          <w:rFonts w:ascii="Times New Roman;serif" w:hAnsi="Times New Roman;serif"/>
          <w:b w:val="false"/>
          <w:sz w:val="16"/>
        </w:rPr>
        <w:t>million of realized gain upon the formation of PTSF II. As of June 30, 2023, our capital commitment of $15.0</w:t>
      </w:r>
      <w:r>
        <w:rPr>
          <w:rFonts w:ascii="Times New Roman" w:hAnsi="Times New Roman"/>
          <w:sz w:val="20"/>
        </w:rPr>
        <w:t xml:space="preserve"> </w:t>
      </w:r>
      <w:r>
        <w:rPr>
          <w:rFonts w:ascii="Times New Roman;serif" w:hAnsi="Times New Roman;serif"/>
          <w:b w:val="false"/>
          <w:sz w:val="16"/>
        </w:rPr>
        <w:t>million is 100% funded and we hold 23.1% of the total outstanding Class A Units of PTSF II and a 4.99% voting interest in the general partner which manages PTSF II.</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2. SIGNIFICANT ACCOUNTING POLICIES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 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significant accounting policies consistently applied are as follows:</w:t>
      </w:r>
    </w:p>
    <w:p>
      <w:pPr>
        <w:pStyle w:val="TextBody"/>
        <w:bidi w:val="0"/>
        <w:spacing w:before="0" w:after="0"/>
        <w:jc w:val="left"/>
        <w:rPr/>
      </w:pPr>
      <w:r>
        <w:rPr/>
        <w:t> </w:t>
      </w:r>
    </w:p>
    <w:p>
      <w:pPr>
        <w:pStyle w:val="TextBody"/>
        <w:bidi w:val="0"/>
        <w:spacing w:before="0" w:after="0"/>
        <w:jc w:val="left"/>
        <w:rPr>
          <w:rFonts w:ascii="Times New Roman" w:hAnsi="Times New Roman"/>
          <w:b/>
          <w:i/>
          <w:sz w:val="16"/>
        </w:rPr>
      </w:pPr>
      <w:r>
        <w:rPr>
          <w:rFonts w:ascii="Times New Roman" w:hAnsi="Times New Roman"/>
          <w:b/>
          <w:i/>
          <w:sz w:val="16"/>
        </w:rPr>
        <w:t>(a)</w:t>
      </w:r>
    </w:p>
    <w:p>
      <w:pPr>
        <w:pStyle w:val="TextBody"/>
        <w:bidi w:val="0"/>
        <w:jc w:val="left"/>
        <w:rPr>
          <w:rFonts w:ascii="Times New Roman;serif" w:hAnsi="Times New Roman;serif"/>
          <w:b/>
          <w:i/>
          <w:sz w:val="16"/>
        </w:rPr>
      </w:pPr>
      <w:r>
        <w:rPr>
          <w:rFonts w:ascii="Times New Roman;serif" w:hAnsi="Times New Roman;serif"/>
          <w:b/>
          <w:i/>
          <w:sz w:val="16"/>
        </w:rPr>
        <w:t>Investment Valuations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Our quarterly valuation process begins with each portfolio company or investment being initially valued by the investment professionals of the Investment Adviser responsible for the portfolio investment;</w:t>
      </w:r>
    </w:p>
    <w:p>
      <w:pPr>
        <w:pStyle w:val="TextBody"/>
        <w:bidi w:val="0"/>
        <w:spacing w:before="16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160" w:after="0"/>
        <w:jc w:val="both"/>
        <w:rPr>
          <w:rFonts w:ascii="Times New Roman" w:hAnsi="Times New Roman"/>
          <w:b w:val="false"/>
          <w:sz w:val="16"/>
        </w:rPr>
      </w:pPr>
      <w:r>
        <w:rPr>
          <w:rFonts w:ascii="Times New Roman" w:hAnsi="Times New Roman"/>
          <w:b w:val="false"/>
          <w:sz w:val="16"/>
        </w:rPr>
        <w:t>(2)</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 xml:space="preserve">Preliminary valuation conclusions are then documented and discussed with the management of the Investment Adviser; </w:t>
      </w:r>
    </w:p>
    <w:p>
      <w:pPr>
        <w:pStyle w:val="TextBody"/>
        <w:bidi w:val="0"/>
        <w:spacing w:before="160" w:after="0"/>
        <w:jc w:val="both"/>
        <w:rPr>
          <w:rFonts w:ascii="Times New Roman" w:hAnsi="Times New Roman"/>
          <w:b w:val="false"/>
          <w:sz w:val="16"/>
        </w:rPr>
      </w:pPr>
      <w:r>
        <w:rPr>
          <w:rFonts w:ascii="Times New Roman" w:hAnsi="Times New Roman"/>
          <w:b w:val="false"/>
          <w:sz w:val="16"/>
        </w:rPr>
        <w:t>(3)</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spacing w:before="160" w:after="0"/>
        <w:jc w:val="both"/>
        <w:rPr>
          <w:rFonts w:ascii="Times New Roman" w:hAnsi="Times New Roman"/>
          <w:b w:val="false"/>
          <w:sz w:val="16"/>
        </w:rPr>
      </w:pPr>
      <w:r>
        <w:rPr>
          <w:rFonts w:ascii="Times New Roman" w:hAnsi="Times New Roman"/>
          <w:b w:val="false"/>
          <w:sz w:val="16"/>
        </w:rPr>
        <w:t>(4)</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spacing w:before="160" w:after="0"/>
        <w:jc w:val="both"/>
        <w:rPr>
          <w:rFonts w:ascii="Times New Roman" w:hAnsi="Times New Roman"/>
          <w:b w:val="false"/>
          <w:sz w:val="16"/>
        </w:rPr>
      </w:pPr>
      <w:r>
        <w:rPr>
          <w:rFonts w:ascii="Times New Roman" w:hAnsi="Times New Roman"/>
          <w:b w:val="false"/>
          <w:sz w:val="16"/>
        </w:rPr>
        <w:t>(5)</w:t>
      </w:r>
    </w:p>
    <w:p>
      <w:pPr>
        <w:pStyle w:val="TextBody"/>
        <w:bidi w:val="0"/>
        <w:spacing w:before="160" w:after="283"/>
        <w:jc w:val="both"/>
        <w:rPr>
          <w:rFonts w:ascii="Times New Roman;serif" w:hAnsi="Times New Roman;serif"/>
          <w:b w:val="false"/>
          <w:sz w:val="16"/>
        </w:rPr>
      </w:pPr>
      <w:r>
        <w:rPr>
          <w:rFonts w:ascii="Times New Roman;serif" w:hAnsi="Times New Roman;serif"/>
          <w:b w:val="false"/>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i/>
          <w:sz w:val="16"/>
        </w:rPr>
      </w:pPr>
      <w:r>
        <w:rPr>
          <w:rFonts w:ascii="Times New Roman" w:hAnsi="Times New Roman"/>
          <w:b/>
          <w:i/>
          <w:sz w:val="16"/>
        </w:rPr>
        <w:t>(b)</w:t>
      </w:r>
    </w:p>
    <w:p>
      <w:pPr>
        <w:pStyle w:val="TextBody"/>
        <w:bidi w:val="0"/>
        <w:jc w:val="left"/>
        <w:rPr>
          <w:rFonts w:ascii="Times New Roman;serif" w:hAnsi="Times New Roman;serif"/>
          <w:b/>
          <w:i/>
          <w:sz w:val="16"/>
        </w:rPr>
      </w:pPr>
      <w:r>
        <w:rPr>
          <w:rFonts w:ascii="Times New Roman;serif" w:hAnsi="Times New Roman;serif"/>
          <w:b/>
          <w:i/>
          <w:sz w:val="16"/>
        </w:rPr>
        <w:t>Security Transactions, Revenue Recognition, and Realized/Unrealized Gains or Losses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Credit Facility during the reporting period, including the reversal of previously recorded unrealized appreciation or depreciation, when gains or losses are realized.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2023, we had one</w:t>
      </w:r>
      <w:r>
        <w:rPr>
          <w:rFonts w:ascii="Times New Roman" w:hAnsi="Times New Roman"/>
          <w:sz w:val="20"/>
        </w:rPr>
        <w:t xml:space="preserve"> </w:t>
      </w:r>
      <w:r>
        <w:rPr>
          <w:rFonts w:ascii="Times New Roman;serif" w:hAnsi="Times New Roman;serif"/>
          <w:b w:val="false"/>
          <w:sz w:val="16"/>
        </w:rPr>
        <w:t>portfolio company on non-accrual, representing 1.1%</w:t>
      </w:r>
      <w:r>
        <w:rPr>
          <w:rFonts w:ascii="Times New Roman" w:hAnsi="Times New Roman"/>
          <w:sz w:val="20"/>
        </w:rPr>
        <w:t xml:space="preserve"> </w:t>
      </w:r>
      <w:r>
        <w:rPr>
          <w:rFonts w:ascii="Times New Roman;serif" w:hAnsi="Times New Roman;serif"/>
          <w:b w:val="false"/>
          <w:sz w:val="16"/>
        </w:rPr>
        <w:t>and zero</w:t>
      </w:r>
      <w:r>
        <w:rPr>
          <w:rFonts w:ascii="Times New Roman" w:hAnsi="Times New Roman"/>
          <w:sz w:val="20"/>
        </w:rPr>
        <w:t xml:space="preserve"> </w:t>
      </w:r>
      <w:r>
        <w:rPr>
          <w:rFonts w:ascii="Times New Roman;serif" w:hAnsi="Times New Roman;serif"/>
          <w:b w:val="false"/>
          <w:sz w:val="16"/>
        </w:rPr>
        <w:t>percent of our overall portfolio on a cost and fair value basis, respectively. As of September 30, 2022, we had one</w:t>
      </w:r>
      <w:r>
        <w:rPr>
          <w:rFonts w:ascii="Times New Roman" w:hAnsi="Times New Roman"/>
          <w:sz w:val="20"/>
        </w:rPr>
        <w:t xml:space="preserve"> </w:t>
      </w:r>
      <w:r>
        <w:rPr>
          <w:rFonts w:ascii="Times New Roman;serif" w:hAnsi="Times New Roman;serif"/>
          <w:b w:val="false"/>
          <w:sz w:val="16"/>
        </w:rPr>
        <w:t>portfolio company on non-accrual, representing 1.0% and zero</w:t>
      </w:r>
      <w:r>
        <w:rPr>
          <w:rFonts w:ascii="Times New Roman" w:hAnsi="Times New Roman"/>
          <w:sz w:val="20"/>
        </w:rPr>
        <w:t xml:space="preserve"> </w:t>
      </w:r>
      <w:r>
        <w:rPr>
          <w:rFonts w:ascii="Times New Roman;serif" w:hAnsi="Times New Roman;serif"/>
          <w:b w:val="false"/>
          <w:sz w:val="16"/>
        </w:rPr>
        <w:t>percent of our overall portfolio on a cost and fair value basis, respectively.</w:t>
      </w:r>
    </w:p>
    <w:p>
      <w:pPr>
        <w:pStyle w:val="TextBody"/>
        <w:bidi w:val="0"/>
        <w:spacing w:before="0" w:after="0"/>
        <w:jc w:val="left"/>
        <w:rPr/>
      </w:pPr>
      <w:r>
        <w:rPr/>
        <w:t> </w:t>
      </w:r>
    </w:p>
    <w:p>
      <w:pPr>
        <w:pStyle w:val="TextBody"/>
        <w:bidi w:val="0"/>
        <w:spacing w:before="0" w:after="0"/>
        <w:jc w:val="left"/>
        <w:rPr>
          <w:rFonts w:ascii="Times New Roman" w:hAnsi="Times New Roman"/>
          <w:b/>
          <w:i/>
          <w:sz w:val="16"/>
        </w:rPr>
      </w:pPr>
      <w:r>
        <w:rPr>
          <w:rFonts w:ascii="Times New Roman" w:hAnsi="Times New Roman"/>
          <w:b/>
          <w:i/>
          <w:sz w:val="16"/>
        </w:rPr>
        <w:t>(c)</w:t>
      </w:r>
    </w:p>
    <w:p>
      <w:pPr>
        <w:pStyle w:val="TextBody"/>
        <w:bidi w:val="0"/>
        <w:jc w:val="left"/>
        <w:rPr>
          <w:rFonts w:ascii="Times New Roman;serif" w:hAnsi="Times New Roman;serif"/>
          <w:b/>
          <w:i/>
          <w:sz w:val="16"/>
        </w:rPr>
      </w:pPr>
      <w:r>
        <w:rPr>
          <w:rFonts w:ascii="Times New Roman;serif" w:hAnsi="Times New Roman;serif"/>
          <w:b/>
          <w:i/>
          <w:sz w:val="16"/>
        </w:rPr>
        <w:t>Income Taxes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material federal income taxes. However, we may choose to retain a portion of our calendar year income, which may result in the imposition of an excise tax. Additionally, certain of the Company’s consolidated subsidiaries are subject to federal, state and local income taxes. For the three and nine months ended June 30, 2023, we recorded a provision for taxes on net investment income of $1.2</w:t>
      </w:r>
      <w:r>
        <w:rPr>
          <w:rFonts w:ascii="Times New Roman" w:hAnsi="Times New Roman"/>
          <w:sz w:val="20"/>
        </w:rPr>
        <w:t xml:space="preserve"> </w:t>
      </w:r>
      <w:r>
        <w:rPr>
          <w:rFonts w:ascii="Times New Roman;serif" w:hAnsi="Times New Roman;serif"/>
          <w:b w:val="false"/>
          <w:sz w:val="16"/>
        </w:rPr>
        <w:t>million and $3.6</w:t>
      </w:r>
      <w:r>
        <w:rPr>
          <w:rFonts w:ascii="Times New Roman" w:hAnsi="Times New Roman"/>
          <w:sz w:val="20"/>
        </w:rPr>
        <w:t xml:space="preserve"> </w:t>
      </w:r>
      <w:r>
        <w:rPr>
          <w:rFonts w:ascii="Times New Roman;serif" w:hAnsi="Times New Roman;serif"/>
          <w:b w:val="false"/>
          <w:sz w:val="16"/>
        </w:rPr>
        <w:t>million respectively, which pertains to U.S. federal excise tax. For the three and nine months ended June 30, 2022, we recorded a provision for taxes on net investment income of $0.2</w:t>
      </w:r>
      <w:r>
        <w:rPr>
          <w:rFonts w:ascii="Times New Roman" w:hAnsi="Times New Roman"/>
          <w:sz w:val="20"/>
        </w:rPr>
        <w:t xml:space="preserve"> </w:t>
      </w:r>
      <w:r>
        <w:rPr>
          <w:rFonts w:ascii="Times New Roman;serif" w:hAnsi="Times New Roman;serif"/>
          <w:b w:val="false"/>
          <w:sz w:val="16"/>
        </w:rPr>
        <w:t>million and $0.6</w:t>
      </w:r>
      <w:r>
        <w:rPr>
          <w:rFonts w:ascii="Times New Roman" w:hAnsi="Times New Roman"/>
          <w:sz w:val="20"/>
        </w:rPr>
        <w:t xml:space="preserve"> </w:t>
      </w:r>
      <w:r>
        <w:rPr>
          <w:rFonts w:ascii="Times New Roman;serif" w:hAnsi="Times New Roman;serif"/>
          <w:b w:val="false"/>
          <w:sz w:val="16"/>
        </w:rPr>
        <w:t>million respectively, all of which pertains to U.S. federal excise tax.</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The Taxable Subsidiary (PNNT Investment Holdings, LLC, a second-tier wholly-owned subsidiary of the Company) is subject to U.S. federal, state and local corporate income taxes. The income tax expense and related tax liabilities of the Taxable Subsidiary are reflected in the Company’s consolidated financial statements.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the Company recognized a provision for taxes of $1.7</w:t>
      </w:r>
      <w:r>
        <w:rPr>
          <w:rFonts w:ascii="Times New Roman" w:hAnsi="Times New Roman"/>
          <w:sz w:val="20"/>
        </w:rPr>
        <w:t xml:space="preserve"> </w:t>
      </w:r>
      <w:r>
        <w:rPr>
          <w:rFonts w:ascii="Times New Roman;serif" w:hAnsi="Times New Roman;serif"/>
          <w:b w:val="false"/>
          <w:sz w:val="16"/>
        </w:rPr>
        <w:t>million and $2.4</w:t>
      </w:r>
      <w:r>
        <w:rPr>
          <w:rFonts w:ascii="Times New Roman" w:hAnsi="Times New Roman"/>
          <w:sz w:val="20"/>
        </w:rPr>
        <w:t xml:space="preserve"> </w:t>
      </w:r>
      <w:r>
        <w:rPr>
          <w:rFonts w:ascii="Times New Roman;serif" w:hAnsi="Times New Roman;serif"/>
          <w:b w:val="false"/>
          <w:sz w:val="16"/>
        </w:rPr>
        <w:t>million, respectively, on net realized gain on investments by the Taxable Subsidiary. For the three and nine months ended June 30, 2022, the Company recognized a provision for taxes of $1.1</w:t>
      </w:r>
      <w:r>
        <w:rPr>
          <w:rFonts w:ascii="Times New Roman" w:hAnsi="Times New Roman"/>
          <w:sz w:val="20"/>
        </w:rPr>
        <w:t xml:space="preserve"> </w:t>
      </w:r>
      <w:r>
        <w:rPr>
          <w:rFonts w:ascii="Times New Roman;serif" w:hAnsi="Times New Roman;serif"/>
          <w:b w:val="false"/>
          <w:sz w:val="16"/>
        </w:rPr>
        <w:t>million and $6.2</w:t>
      </w:r>
      <w:r>
        <w:rPr>
          <w:rFonts w:ascii="Times New Roman" w:hAnsi="Times New Roman"/>
          <w:sz w:val="20"/>
        </w:rPr>
        <w:t xml:space="preserve"> </w:t>
      </w:r>
      <w:r>
        <w:rPr>
          <w:rFonts w:ascii="Times New Roman;serif" w:hAnsi="Times New Roman;serif"/>
          <w:b w:val="false"/>
          <w:sz w:val="16"/>
        </w:rPr>
        <w:t>million, respectively, on net realized gain on investments by the Taxable Subsidiary. For the three and nine months ended June 30, 2023, the Company recognized a provision for taxes of zero</w:t>
      </w:r>
      <w:r>
        <w:rPr>
          <w:rFonts w:ascii="Times New Roman" w:hAnsi="Times New Roman"/>
          <w:sz w:val="20"/>
        </w:rPr>
        <w:t xml:space="preserve"> </w:t>
      </w:r>
      <w:r>
        <w:rPr>
          <w:rFonts w:ascii="Times New Roman;serif" w:hAnsi="Times New Roman;serif"/>
          <w:b w:val="false"/>
          <w:sz w:val="16"/>
        </w:rPr>
        <w:t>and $(0.9) million, respectively, on net unrealized gain (loss) on investments by the Taxable Subsidiary. For the three and nine months ended June 30, 2022, the Company recognized a provision for taxes of $8.1</w:t>
      </w:r>
      <w:r>
        <w:rPr>
          <w:rFonts w:ascii="Times New Roman" w:hAnsi="Times New Roman"/>
          <w:sz w:val="20"/>
        </w:rPr>
        <w:t xml:space="preserve"> </w:t>
      </w:r>
      <w:r>
        <w:rPr>
          <w:rFonts w:ascii="Times New Roman;serif" w:hAnsi="Times New Roman;serif"/>
          <w:b w:val="false"/>
          <w:sz w:val="16"/>
        </w:rPr>
        <w:t>million and $8.1</w:t>
      </w:r>
      <w:r>
        <w:rPr>
          <w:rFonts w:ascii="Times New Roman" w:hAnsi="Times New Roman"/>
          <w:sz w:val="20"/>
        </w:rPr>
        <w:t xml:space="preserve"> </w:t>
      </w:r>
      <w:r>
        <w:rPr>
          <w:rFonts w:ascii="Times New Roman;serif" w:hAnsi="Times New Roman;serif"/>
          <w:b w:val="false"/>
          <w:sz w:val="16"/>
        </w:rPr>
        <w:t>million, respectively, on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2023 and (ii) the expected tax benefit resulting from the use of loss carryforwards to offset such gains. As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of June 30, 2023 and September 30, 2022, the Company recognized a provision for taxes of $1.5</w:t>
      </w:r>
      <w:r>
        <w:rPr>
          <w:rFonts w:ascii="Times New Roman" w:hAnsi="Times New Roman"/>
          <w:sz w:val="20"/>
        </w:rPr>
        <w:t xml:space="preserve"> </w:t>
      </w:r>
      <w:r>
        <w:rPr>
          <w:rFonts w:ascii="Times New Roman;serif" w:hAnsi="Times New Roman;serif"/>
          <w:b w:val="false"/>
          <w:sz w:val="16"/>
        </w:rPr>
        <w:t>million and $7.1</w:t>
      </w:r>
      <w:r>
        <w:rPr>
          <w:rFonts w:ascii="Times New Roman" w:hAnsi="Times New Roman"/>
          <w:sz w:val="20"/>
        </w:rPr>
        <w:t xml:space="preserve"> </w:t>
      </w:r>
      <w:r>
        <w:rPr>
          <w:rFonts w:ascii="Times New Roman;serif" w:hAnsi="Times New Roman;serif"/>
          <w:b w:val="false"/>
          <w:sz w:val="16"/>
        </w:rPr>
        <w:t>million, respectively, on net realized and unrealized gains on investments by the Taxable Subsidiary.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During the three and nine months ended June 30, 2023, the Company paid $1.9</w:t>
      </w:r>
      <w:r>
        <w:rPr>
          <w:rFonts w:ascii="Times New Roman" w:hAnsi="Times New Roman"/>
          <w:sz w:val="20"/>
        </w:rPr>
        <w:t xml:space="preserve"> </w:t>
      </w:r>
      <w:r>
        <w:rPr>
          <w:rFonts w:ascii="Times New Roman;serif" w:hAnsi="Times New Roman;serif"/>
          <w:b w:val="false"/>
          <w:sz w:val="16"/>
        </w:rPr>
        <w:t>million, in federal taxes on realized gains on the sale of investments held by the Taxable Subsidiary. During the three and nine months ended June 30, 2022, the Company paid zero</w:t>
      </w:r>
      <w:r>
        <w:rPr>
          <w:rFonts w:ascii="Times New Roman" w:hAnsi="Times New Roman"/>
          <w:sz w:val="20"/>
        </w:rPr>
        <w:t xml:space="preserve"> </w:t>
      </w:r>
      <w:r>
        <w:rPr>
          <w:rFonts w:ascii="Times New Roman;serif" w:hAnsi="Times New Roman;serif"/>
          <w:b w:val="false"/>
          <w:sz w:val="16"/>
        </w:rPr>
        <w:t>and $4.0</w:t>
      </w:r>
      <w:r>
        <w:rPr>
          <w:rFonts w:ascii="Times New Roman" w:hAnsi="Times New Roman"/>
          <w:sz w:val="20"/>
        </w:rPr>
        <w:t xml:space="preserve"> </w:t>
      </w:r>
      <w:r>
        <w:rPr>
          <w:rFonts w:ascii="Times New Roman;serif" w:hAnsi="Times New Roman;serif"/>
          <w:b w:val="false"/>
          <w:sz w:val="16"/>
        </w:rPr>
        <w:t>million, respectively, in federal taxes on realized gains on the sale of investments held by the Taxable Subsidiary. Due to offsetting losses in the year ended September 30, 2022, the $4.0</w:t>
      </w:r>
      <w:r>
        <w:rPr>
          <w:rFonts w:ascii="Times New Roman" w:hAnsi="Times New Roman"/>
          <w:sz w:val="20"/>
        </w:rPr>
        <w:t xml:space="preserve"> </w:t>
      </w:r>
      <w:r>
        <w:rPr>
          <w:rFonts w:ascii="Times New Roman;serif" w:hAnsi="Times New Roman;serif"/>
          <w:b w:val="false"/>
          <w:sz w:val="16"/>
        </w:rPr>
        <w:t>million is shown on the consolidated statement of assets and liabilities under prepaid expenses and other assets. The state and local tax liability of $8.6</w:t>
      </w:r>
      <w:r>
        <w:rPr>
          <w:rFonts w:ascii="Times New Roman" w:hAnsi="Times New Roman"/>
          <w:sz w:val="20"/>
        </w:rPr>
        <w:t xml:space="preserve"> </w:t>
      </w:r>
      <w:r>
        <w:rPr>
          <w:rFonts w:ascii="Times New Roman;serif" w:hAnsi="Times New Roman;serif"/>
          <w:b w:val="false"/>
          <w:sz w:val="16"/>
        </w:rPr>
        <w:t>million as of June 30, 2023 is included under accrued other expenses in the consolidated statement of assets and liabilities.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spacing w:before="160" w:after="0"/>
        <w:jc w:val="both"/>
        <w:rPr>
          <w:rFonts w:ascii="Times New Roman" w:hAnsi="Times New Roman"/>
          <w:sz w:val="20"/>
        </w:rPr>
      </w:pPr>
      <w:r>
        <w:rPr>
          <w:rFonts w:ascii="Times New Roman;serif" w:hAnsi="Times New Roman;serif"/>
          <w:b w:val="false"/>
          <w:sz w:val="16"/>
        </w:rPr>
        <w:t>Because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i/>
          <w:sz w:val="16"/>
        </w:rPr>
      </w:pPr>
      <w:r>
        <w:rPr>
          <w:rFonts w:ascii="Times New Roman" w:hAnsi="Times New Roman"/>
          <w:b/>
          <w:i/>
          <w:sz w:val="16"/>
        </w:rPr>
        <w:t>(d)</w:t>
      </w:r>
    </w:p>
    <w:p>
      <w:pPr>
        <w:pStyle w:val="TextBody"/>
        <w:bidi w:val="0"/>
        <w:jc w:val="both"/>
        <w:rPr>
          <w:rFonts w:ascii="Times New Roman;serif" w:hAnsi="Times New Roman;serif"/>
          <w:b/>
          <w:i/>
          <w:sz w:val="16"/>
        </w:rPr>
      </w:pPr>
      <w:r>
        <w:rPr>
          <w:rFonts w:ascii="Times New Roman;serif" w:hAnsi="Times New Roman;serif"/>
          <w:b/>
          <w:i/>
          <w:sz w:val="16"/>
        </w:rPr>
        <w:t>Distributions and Capital Transactions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Capital transactions, in connection with our dividend reinvestment plan or through offerings of our common stock, are recorded when issued and offering costs are charged as a reduction of capital upon issuance of our common stock.</w:t>
      </w:r>
    </w:p>
    <w:p>
      <w:pPr>
        <w:pStyle w:val="TextBody"/>
        <w:bidi w:val="0"/>
        <w:spacing w:before="0" w:after="0"/>
        <w:jc w:val="both"/>
        <w:rPr/>
      </w:pPr>
      <w:r>
        <w:rPr/>
        <w:t> </w:t>
      </w:r>
    </w:p>
    <w:p>
      <w:pPr>
        <w:pStyle w:val="TextBody"/>
        <w:bidi w:val="0"/>
        <w:spacing w:before="0" w:after="0"/>
        <w:jc w:val="both"/>
        <w:rPr>
          <w:rFonts w:ascii="Times New Roman" w:hAnsi="Times New Roman"/>
          <w:b/>
          <w:i/>
          <w:sz w:val="16"/>
        </w:rPr>
      </w:pPr>
      <w:r>
        <w:rPr>
          <w:rFonts w:ascii="Times New Roman" w:hAnsi="Times New Roman"/>
          <w:b/>
          <w:i/>
          <w:sz w:val="16"/>
        </w:rPr>
        <w:t>(e)</w:t>
      </w:r>
    </w:p>
    <w:p>
      <w:pPr>
        <w:pStyle w:val="TextBody"/>
        <w:bidi w:val="0"/>
        <w:jc w:val="both"/>
        <w:rPr>
          <w:rFonts w:ascii="Times New Roman;serif" w:hAnsi="Times New Roman;serif"/>
          <w:b/>
          <w:i/>
          <w:sz w:val="16"/>
        </w:rPr>
      </w:pPr>
      <w:r>
        <w:rPr>
          <w:rFonts w:ascii="Times New Roman;serif" w:hAnsi="Times New Roman;serif"/>
          <w:b/>
          <w:i/>
          <w:sz w:val="16"/>
        </w:rPr>
        <w:t>Foreign Currency Translation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books and records are maintained in U.S. dollars. Any foreign currency amounts are translated into U.S. dollars on the following basis:</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Fair value of investment securities, other assets and liabilities – at the exchange rates prevailing at the end of the applicable period; and</w:t>
      </w:r>
    </w:p>
    <w:p>
      <w:pPr>
        <w:pStyle w:val="TextBody"/>
        <w:bidi w:val="0"/>
        <w:spacing w:before="160" w:after="0"/>
        <w:jc w:val="both"/>
        <w:rPr>
          <w:rFonts w:ascii="Times New Roman" w:hAnsi="Times New Roman"/>
          <w:b w:val="false"/>
          <w:sz w:val="16"/>
        </w:rPr>
      </w:pPr>
      <w:r>
        <w:rPr>
          <w:rFonts w:ascii="Times New Roman" w:hAnsi="Times New Roman"/>
          <w:b w:val="false"/>
          <w:sz w:val="16"/>
        </w:rPr>
        <w:t>2.</w:t>
      </w:r>
    </w:p>
    <w:p>
      <w:pPr>
        <w:pStyle w:val="TextBody"/>
        <w:bidi w:val="0"/>
        <w:spacing w:before="160" w:after="283"/>
        <w:jc w:val="both"/>
        <w:rPr>
          <w:rFonts w:ascii="Times New Roman;serif" w:hAnsi="Times New Roman;serif"/>
          <w:b w:val="false"/>
          <w:sz w:val="16"/>
        </w:rPr>
      </w:pPr>
      <w:r>
        <w:rPr>
          <w:rFonts w:ascii="Times New Roman;serif" w:hAnsi="Times New Roman;serif"/>
          <w:b w:val="false"/>
          <w:sz w:val="16"/>
        </w:rPr>
        <w:t>Purchases and sales of investment securities, income and expenses – at the exchange rates prevailing on the respective dates of such transactions.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pStyle w:val="TextBody"/>
        <w:bidi w:val="0"/>
        <w:spacing w:before="0" w:after="0"/>
        <w:jc w:val="both"/>
        <w:rPr/>
      </w:pPr>
      <w:r>
        <w:rPr/>
        <w:t> </w:t>
      </w:r>
    </w:p>
    <w:p>
      <w:pPr>
        <w:pStyle w:val="TextBody"/>
        <w:bidi w:val="0"/>
        <w:spacing w:before="0" w:after="0"/>
        <w:jc w:val="both"/>
        <w:rPr>
          <w:rFonts w:ascii="Times New Roman" w:hAnsi="Times New Roman"/>
          <w:b/>
          <w:i/>
          <w:sz w:val="16"/>
        </w:rPr>
      </w:pPr>
      <w:r>
        <w:rPr>
          <w:rFonts w:ascii="Times New Roman" w:hAnsi="Times New Roman"/>
          <w:b/>
          <w:i/>
          <w:sz w:val="16"/>
        </w:rPr>
        <w:t>(f)</w:t>
      </w:r>
    </w:p>
    <w:p>
      <w:pPr>
        <w:pStyle w:val="TextBody"/>
        <w:bidi w:val="0"/>
        <w:jc w:val="both"/>
        <w:rPr>
          <w:rFonts w:ascii="Times New Roman;serif" w:hAnsi="Times New Roman;serif"/>
          <w:b/>
          <w:i/>
          <w:sz w:val="16"/>
        </w:rPr>
      </w:pPr>
      <w:r>
        <w:rPr>
          <w:rFonts w:ascii="Times New Roman;serif" w:hAnsi="Times New Roman;serif"/>
          <w:b/>
          <w:i/>
          <w:sz w:val="16"/>
        </w:rPr>
        <w:t>Consolidation</w:t>
      </w:r>
    </w:p>
    <w:p>
      <w:pPr>
        <w:pStyle w:val="TextBody"/>
        <w:bidi w:val="0"/>
        <w:spacing w:before="160" w:after="0"/>
        <w:jc w:val="both"/>
        <w:rPr>
          <w:rFonts w:ascii="Times New Roman" w:hAnsi="Times New Roman"/>
          <w:sz w:val="20"/>
        </w:rPr>
      </w:pPr>
      <w:r>
        <w:rPr>
          <w:rFonts w:ascii="Times New Roman;serif" w:hAnsi="Times New Roman;serif"/>
          <w:b w:val="false"/>
          <w:sz w:val="16"/>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w:t>
      </w:r>
      <w:r>
        <w:rPr>
          <w:rFonts w:ascii="Times New Roman" w:hAnsi="Times New Roman"/>
          <w:sz w:val="20"/>
        </w:rPr>
        <w:t xml:space="preserve"> </w:t>
      </w:r>
      <w:r>
        <w:rPr>
          <w:rFonts w:ascii="Times New Roman;serif" w:hAnsi="Times New Roman;serif"/>
          <w:b w:val="false"/>
          <w:sz w:val="16"/>
        </w:rPr>
        <w:t>See further description of our investment in PSLF in Note 4.</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i/>
          <w:sz w:val="16"/>
        </w:rPr>
      </w:pPr>
      <w:r>
        <w:rPr>
          <w:rFonts w:ascii="Times New Roman" w:hAnsi="Times New Roman"/>
          <w:b/>
          <w:i/>
          <w:sz w:val="16"/>
        </w:rPr>
        <w:t>(g)</w:t>
      </w:r>
    </w:p>
    <w:p>
      <w:pPr>
        <w:pStyle w:val="TextBody"/>
        <w:bidi w:val="0"/>
        <w:jc w:val="both"/>
        <w:rPr>
          <w:rFonts w:ascii="Times New Roman;serif" w:hAnsi="Times New Roman;serif"/>
          <w:b/>
          <w:i/>
          <w:sz w:val="16"/>
        </w:rPr>
      </w:pPr>
      <w:r>
        <w:rPr>
          <w:rFonts w:ascii="Times New Roman;serif" w:hAnsi="Times New Roman;serif"/>
          <w:b/>
          <w:i/>
          <w:sz w:val="16"/>
        </w:rPr>
        <w:t>Asset Transfers and Servicing</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Asset transfers that do not meet ASC Topic 860, Transfers and Servicing, requirements for sale accounting treatment are reflected in the Consolidated Statements of Assets and Liabilities and the Consolidated Schedules of Investments as investments.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(h) Recent Accounting Pronouncements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3. AGREEMENTS AND RELATED PARTY TRANSACTIONS</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16"/>
        </w:rPr>
      </w:pPr>
      <w:r>
        <w:rPr>
          <w:rFonts w:ascii="Times New Roman;serif" w:hAnsi="Times New Roman;serif"/>
          <w:b/>
          <w:i/>
          <w:sz w:val="16"/>
        </w:rPr>
        <w:t>(a) Investment Management Agreement</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Investment Management Agreement with the Investment Adviser was reapproved by our board of directors, including a majority of our directors who are not interested persons of us or the Investment Adviser, in February 2023.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For providing these services, the Investment Adviser receives a fee from us, consisting of two components— a base management fee and an incentive fee or, collectively, Management Fees.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Base Management Fee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w:t>
      </w:r>
      <w:r>
        <w:rPr>
          <w:rFonts w:ascii="Times New Roman" w:hAnsi="Times New Roman"/>
          <w:sz w:val="20"/>
        </w:rPr>
        <w:t xml:space="preserve"> </w:t>
      </w:r>
      <w:r>
        <w:rPr>
          <w:rFonts w:ascii="Times New Roman;serif" w:hAnsi="Times New Roman;serif"/>
          <w:b w:val="false"/>
          <w:sz w:val="16"/>
        </w:rPr>
        <w:t>The base management fee is calculated based on the average adjusted gross assets at the end of the two most recently completed calendar quarters, and appropriately adjusted for any share issuances or repurchases during the current calendar quarter.</w:t>
      </w:r>
      <w:r>
        <w:rPr>
          <w:rFonts w:ascii="Times New Roman" w:hAnsi="Times New Roman"/>
          <w:sz w:val="20"/>
        </w:rPr>
        <w:t xml:space="preserve"> </w:t>
      </w:r>
      <w:r>
        <w:rPr>
          <w:rFonts w:ascii="Times New Roman;serif" w:hAnsi="Times New Roman;serif"/>
          <w:b w:val="false"/>
          <w:sz w:val="16"/>
        </w:rPr>
        <w:t>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2023, the Investment Adviser earned base management fees of $4.0</w:t>
      </w:r>
      <w:r>
        <w:rPr>
          <w:rFonts w:ascii="Times New Roman" w:hAnsi="Times New Roman"/>
          <w:sz w:val="20"/>
        </w:rPr>
        <w:t xml:space="preserve"> </w:t>
      </w:r>
      <w:r>
        <w:rPr>
          <w:rFonts w:ascii="Times New Roman;serif" w:hAnsi="Times New Roman;serif"/>
          <w:b w:val="false"/>
          <w:sz w:val="16"/>
        </w:rPr>
        <w:t>million and</w:t>
      </w:r>
      <w:r>
        <w:rPr>
          <w:rFonts w:ascii="Times New Roman" w:hAnsi="Times New Roman"/>
          <w:sz w:val="20"/>
        </w:rPr>
        <w:t xml:space="preserve"> </w:t>
      </w:r>
      <w:r>
        <w:rPr>
          <w:rFonts w:ascii="Times New Roman;serif" w:hAnsi="Times New Roman;serif"/>
          <w:b w:val="false"/>
          <w:sz w:val="16"/>
        </w:rPr>
        <w:t>$12.6</w:t>
      </w:r>
      <w:r>
        <w:rPr>
          <w:rFonts w:ascii="Times New Roman" w:hAnsi="Times New Roman"/>
          <w:sz w:val="20"/>
        </w:rPr>
        <w:t xml:space="preserve"> </w:t>
      </w:r>
      <w:r>
        <w:rPr>
          <w:rFonts w:ascii="Times New Roman;serif" w:hAnsi="Times New Roman;serif"/>
          <w:b w:val="false"/>
          <w:sz w:val="16"/>
        </w:rPr>
        <w:t>million, respectively, from us. For the three and nine months ended June 30, 2022, the Investment Adviser earned base management fee of $4.9</w:t>
      </w:r>
      <w:r>
        <w:rPr>
          <w:rFonts w:ascii="Times New Roman" w:hAnsi="Times New Roman"/>
          <w:sz w:val="20"/>
        </w:rPr>
        <w:t xml:space="preserve"> </w:t>
      </w:r>
      <w:r>
        <w:rPr>
          <w:rFonts w:ascii="Times New Roman;serif" w:hAnsi="Times New Roman;serif"/>
          <w:b w:val="false"/>
          <w:sz w:val="16"/>
        </w:rPr>
        <w:t>million and $15.0</w:t>
      </w:r>
      <w:r>
        <w:rPr>
          <w:rFonts w:ascii="Times New Roman" w:hAnsi="Times New Roman"/>
          <w:sz w:val="20"/>
        </w:rPr>
        <w:t xml:space="preserve"> </w:t>
      </w:r>
      <w:r>
        <w:rPr>
          <w:rFonts w:ascii="Times New Roman;serif" w:hAnsi="Times New Roman;serif"/>
          <w:b w:val="false"/>
          <w:sz w:val="16"/>
        </w:rPr>
        <w:t>million, respectively, from us.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Incentive Fee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incentive fee has two parts, as follows:</w:t>
      </w:r>
    </w:p>
    <w:p>
      <w:pPr>
        <w:pStyle w:val="TextBody"/>
        <w:bidi w:val="0"/>
        <w:spacing w:before="160" w:after="0"/>
        <w:jc w:val="both"/>
        <w:rPr>
          <w:rFonts w:ascii="Times New Roman" w:hAnsi="Times New Roman"/>
          <w:sz w:val="20"/>
        </w:rPr>
      </w:pPr>
      <w:r>
        <w:rPr>
          <w:rFonts w:ascii="Times New Roman;serif" w:hAnsi="Times New Roman;serif"/>
          <w:b w:val="false"/>
          <w:sz w:val="16"/>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w:t>
      </w:r>
      <w:r>
        <w:rPr>
          <w:rFonts w:ascii="Times New Roman;serif" w:hAnsi="Times New Roman;serif"/>
          <w:sz w:val="16"/>
        </w:rPr>
        <w:t xml:space="preserve"> </w:t>
      </w:r>
      <w:r>
        <w:rPr>
          <w:rFonts w:ascii="Times New Roman;serif" w:hAnsi="Times New Roman;serif"/>
          <w:b w:val="false"/>
          <w:sz w:val="16"/>
        </w:rPr>
        <w:t>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w:t>
      </w:r>
      <w:r>
        <w:rPr>
          <w:rFonts w:ascii="Times New Roman" w:hAnsi="Times New Roman"/>
          <w:sz w:val="20"/>
        </w:rPr>
        <w:t xml:space="preserve"> </w:t>
      </w:r>
      <w:r>
        <w:rPr>
          <w:rFonts w:ascii="Times New Roman;serif" w:hAnsi="Times New Roman;serif"/>
          <w:b w:val="false"/>
          <w:sz w:val="16"/>
        </w:rPr>
        <w:t>These calculations are pro-rated for any share issuances or repurchases during the relevant quarter, if applicable.</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Times New Roman;serif" w:hAnsi="Times New Roman;serif"/>
          <w:b w:val="false"/>
          <w:sz w:val="16"/>
        </w:rPr>
        <w:t>For the three and nine months ended June 30, 2023, the Investment Adviser earned $4.9</w:t>
      </w:r>
      <w:r>
        <w:rPr>
          <w:rFonts w:ascii="Times New Roman" w:hAnsi="Times New Roman"/>
          <w:sz w:val="20"/>
        </w:rPr>
        <w:t xml:space="preserve"> </w:t>
      </w:r>
      <w:r>
        <w:rPr>
          <w:rFonts w:ascii="Times New Roman;serif" w:hAnsi="Times New Roman;serif"/>
          <w:b w:val="false"/>
          <w:sz w:val="16"/>
        </w:rPr>
        <w:t>million and $10.6</w:t>
      </w:r>
      <w:r>
        <w:rPr>
          <w:rFonts w:ascii="Times New Roman" w:hAnsi="Times New Roman"/>
          <w:sz w:val="20"/>
        </w:rPr>
        <w:t xml:space="preserve"> </w:t>
      </w:r>
      <w:r>
        <w:rPr>
          <w:rFonts w:ascii="Times New Roman;serif" w:hAnsi="Times New Roman;serif"/>
          <w:b w:val="false"/>
          <w:sz w:val="16"/>
        </w:rPr>
        <w:t>million, respectively, in incentive fees on net investment income from us. For the three and nine months ended June 30, 2022, the Investment Adviser earned an incentive fee of zero</w:t>
      </w:r>
      <w:r>
        <w:rPr>
          <w:rFonts w:ascii="Times New Roman" w:hAnsi="Times New Roman"/>
          <w:sz w:val="20"/>
        </w:rPr>
        <w:t xml:space="preserve"> </w:t>
      </w:r>
      <w:r>
        <w:rPr>
          <w:rFonts w:ascii="Times New Roman;serif" w:hAnsi="Times New Roman;serif"/>
          <w:b w:val="false"/>
          <w:sz w:val="16"/>
        </w:rPr>
        <w:t>and $2.7</w:t>
      </w:r>
      <w:r>
        <w:rPr>
          <w:rFonts w:ascii="Times New Roman" w:hAnsi="Times New Roman"/>
          <w:sz w:val="20"/>
        </w:rPr>
        <w:t xml:space="preserve"> </w:t>
      </w:r>
      <w:r>
        <w:rPr>
          <w:rFonts w:ascii="Times New Roman;serif" w:hAnsi="Times New Roman;serif"/>
          <w:b w:val="false"/>
          <w:sz w:val="16"/>
        </w:rPr>
        <w:t>million, respectively, on net investment income from us.</w:t>
      </w:r>
    </w:p>
    <w:p>
      <w:pPr>
        <w:pStyle w:val="TextBody"/>
        <w:bidi w:val="0"/>
        <w:spacing w:before="160" w:after="0"/>
        <w:jc w:val="both"/>
        <w:rPr>
          <w:rFonts w:ascii="Times New Roman" w:hAnsi="Times New Roman"/>
          <w:sz w:val="20"/>
        </w:rPr>
      </w:pPr>
      <w:r>
        <w:rPr>
          <w:rFonts w:ascii="Times New Roman;serif" w:hAnsi="Times New Roman;serif"/>
          <w:b w:val="false"/>
          <w:sz w:val="16"/>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2023 and 2022 , the Investment Adviser did not accrue an incentive fee on capital gains as calculated under the Investment Management Agreement (as described above).</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Times New Roman;serif" w:hAnsi="Times New Roman;serif"/>
          <w:b w:val="false"/>
          <w:sz w:val="16"/>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160" w:after="0"/>
        <w:jc w:val="both"/>
        <w:rPr>
          <w:rFonts w:ascii="Times New Roman" w:hAnsi="Times New Roman"/>
          <w:sz w:val="20"/>
        </w:rPr>
      </w:pPr>
      <w:r>
        <w:rPr>
          <w:rFonts w:ascii="Times New Roman;serif" w:hAnsi="Times New Roman;serif"/>
          <w:b w:val="false"/>
          <w:sz w:val="16"/>
        </w:rPr>
        <w:t>then there is no accrual for such year. There can be no assurance that such unrealized capital appreciation will be realized in the future. For each of the three and nine months ended June 30, 2023 and 2022 the</w:t>
      </w:r>
      <w:r>
        <w:rPr>
          <w:rFonts w:ascii="Times New Roman" w:hAnsi="Times New Roman"/>
          <w:sz w:val="20"/>
        </w:rPr>
        <w:t xml:space="preserve"> </w:t>
      </w:r>
      <w:r>
        <w:rPr>
          <w:rFonts w:ascii="Times New Roman;serif" w:hAnsi="Times New Roman;serif"/>
          <w:b w:val="false"/>
          <w:sz w:val="16"/>
        </w:rPr>
        <w:t>Investment Adviser did not accrue an incentive fee on capital gains as calculated under GAAP.</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(b) Administration Agreement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The Administration Agreement with the Administrator was reapproved by our board of directors, including a majority of our directors who are not interested persons of us, in February 2023.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amount billed by the Administrator may include offsets related to its administrative agreement with PSLF.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2023, we recorded $0.8</w:t>
      </w:r>
      <w:r>
        <w:rPr>
          <w:rFonts w:ascii="Times New Roman" w:hAnsi="Times New Roman"/>
          <w:sz w:val="20"/>
        </w:rPr>
        <w:t xml:space="preserve"> </w:t>
      </w:r>
      <w:r>
        <w:rPr>
          <w:rFonts w:ascii="Times New Roman;serif" w:hAnsi="Times New Roman;serif"/>
          <w:b w:val="false"/>
          <w:sz w:val="16"/>
        </w:rPr>
        <w:t>million and $1.4</w:t>
      </w:r>
      <w:r>
        <w:rPr>
          <w:rFonts w:ascii="Times New Roman" w:hAnsi="Times New Roman"/>
          <w:sz w:val="20"/>
        </w:rPr>
        <w:t xml:space="preserve"> </w:t>
      </w:r>
      <w:r>
        <w:rPr>
          <w:rFonts w:ascii="Times New Roman;serif" w:hAnsi="Times New Roman;serif"/>
          <w:b w:val="false"/>
          <w:sz w:val="16"/>
        </w:rPr>
        <w:t>million of administrative expenses, respectively. for the services described above. For the three and nine months ended June 30, 2022, we recorded $0.3</w:t>
      </w:r>
      <w:r>
        <w:rPr>
          <w:rFonts w:ascii="Times New Roman" w:hAnsi="Times New Roman"/>
          <w:sz w:val="20"/>
        </w:rPr>
        <w:t xml:space="preserve"> </w:t>
      </w:r>
      <w:r>
        <w:rPr>
          <w:rFonts w:ascii="Times New Roman;serif" w:hAnsi="Times New Roman;serif"/>
          <w:b w:val="false"/>
          <w:sz w:val="16"/>
        </w:rPr>
        <w:t>million and $0.8</w:t>
      </w:r>
      <w:r>
        <w:rPr>
          <w:rFonts w:ascii="Times New Roman" w:hAnsi="Times New Roman"/>
          <w:sz w:val="20"/>
        </w:rPr>
        <w:t xml:space="preserve"> </w:t>
      </w:r>
      <w:r>
        <w:rPr>
          <w:rFonts w:ascii="Times New Roman;serif" w:hAnsi="Times New Roman;serif"/>
          <w:b w:val="false"/>
          <w:sz w:val="16"/>
        </w:rPr>
        <w:t>million of administrative expenses, respectively, for the services described above.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(c) Other Related Party Transactions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There were no transactions subject to Rule 17a-7 under the 1940 Act during each of the three and nine months ended June 30, 2023 and 2022.</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we sold</w:t>
      </w:r>
      <w:r>
        <w:rPr>
          <w:rFonts w:ascii="Times New Roman" w:hAnsi="Times New Roman"/>
          <w:sz w:val="20"/>
        </w:rPr>
        <w:t xml:space="preserve"> </w:t>
      </w:r>
      <w:r>
        <w:rPr>
          <w:rFonts w:ascii="Times New Roman;serif" w:hAnsi="Times New Roman;serif"/>
          <w:b w:val="false"/>
          <w:sz w:val="16"/>
        </w:rPr>
        <w:t>$61.8</w:t>
      </w:r>
      <w:r>
        <w:rPr>
          <w:rFonts w:ascii="Times New Roman" w:hAnsi="Times New Roman"/>
          <w:sz w:val="20"/>
        </w:rPr>
        <w:t xml:space="preserve"> </w:t>
      </w:r>
      <w:r>
        <w:rPr>
          <w:rFonts w:ascii="Times New Roman;serif" w:hAnsi="Times New Roman;serif"/>
          <w:b w:val="false"/>
          <w:sz w:val="16"/>
        </w:rPr>
        <w:t>million</w:t>
      </w:r>
      <w:r>
        <w:rPr>
          <w:rFonts w:ascii="Times New Roman" w:hAnsi="Times New Roman"/>
          <w:sz w:val="20"/>
        </w:rPr>
        <w:t xml:space="preserve"> </w:t>
      </w:r>
      <w:r>
        <w:rPr>
          <w:rFonts w:ascii="Times New Roman;serif" w:hAnsi="Times New Roman;serif"/>
          <w:b w:val="false"/>
          <w:sz w:val="16"/>
        </w:rPr>
        <w:t>and $80.2</w:t>
      </w:r>
      <w:r>
        <w:rPr>
          <w:rFonts w:ascii="Times New Roman" w:hAnsi="Times New Roman"/>
          <w:sz w:val="20"/>
        </w:rPr>
        <w:t xml:space="preserve"> </w:t>
      </w:r>
      <w:r>
        <w:rPr>
          <w:rFonts w:ascii="Times New Roman;serif" w:hAnsi="Times New Roman;serif"/>
          <w:b w:val="false"/>
          <w:sz w:val="16"/>
        </w:rPr>
        <w:t>million in investments to PSLF at fair value, and recognized</w:t>
      </w:r>
      <w:r>
        <w:rPr>
          <w:rFonts w:ascii="Times New Roman" w:hAnsi="Times New Roman"/>
          <w:sz w:val="20"/>
        </w:rPr>
        <w:t xml:space="preserve"> </w:t>
      </w:r>
      <w:r>
        <w:rPr>
          <w:rFonts w:ascii="Times New Roman;serif" w:hAnsi="Times New Roman;serif"/>
          <w:b w:val="false"/>
          <w:sz w:val="16"/>
        </w:rPr>
        <w:t>less than $0.2</w:t>
      </w:r>
      <w:r>
        <w:rPr>
          <w:rFonts w:ascii="Times New Roman" w:hAnsi="Times New Roman"/>
          <w:sz w:val="20"/>
        </w:rPr>
        <w:t xml:space="preserve"> </w:t>
      </w:r>
      <w:r>
        <w:rPr>
          <w:rFonts w:ascii="Times New Roman;serif" w:hAnsi="Times New Roman;serif"/>
          <w:b w:val="false"/>
          <w:sz w:val="16"/>
        </w:rPr>
        <w:t>million and less than $0.3</w:t>
      </w:r>
      <w:r>
        <w:rPr>
          <w:rFonts w:ascii="Times New Roman" w:hAnsi="Times New Roman"/>
          <w:sz w:val="20"/>
        </w:rPr>
        <w:t xml:space="preserve"> </w:t>
      </w:r>
      <w:r>
        <w:rPr>
          <w:rFonts w:ascii="Times New Roman;serif" w:hAnsi="Times New Roman;serif"/>
          <w:b w:val="false"/>
          <w:sz w:val="16"/>
        </w:rPr>
        <w:t>million of net realized gains, respectively. For the three and nine months ended June 30, 2022, we sold $176.0</w:t>
      </w:r>
      <w:r>
        <w:rPr>
          <w:rFonts w:ascii="Times New Roman" w:hAnsi="Times New Roman"/>
          <w:sz w:val="20"/>
        </w:rPr>
        <w:t xml:space="preserve"> </w:t>
      </w:r>
      <w:r>
        <w:rPr>
          <w:rFonts w:ascii="Times New Roman;serif" w:hAnsi="Times New Roman;serif"/>
          <w:b w:val="false"/>
          <w:sz w:val="16"/>
        </w:rPr>
        <w:t>million and $235.6</w:t>
      </w:r>
      <w:r>
        <w:rPr>
          <w:rFonts w:ascii="Times New Roman" w:hAnsi="Times New Roman"/>
          <w:sz w:val="20"/>
        </w:rPr>
        <w:t xml:space="preserve"> </w:t>
      </w:r>
      <w:r>
        <w:rPr>
          <w:rFonts w:ascii="Times New Roman;serif" w:hAnsi="Times New Roman;serif"/>
          <w:b w:val="false"/>
          <w:sz w:val="16"/>
        </w:rPr>
        <w:t>million in investments to PSLF at fair value, respectively, and recognized $0.1million and $0.2</w:t>
      </w:r>
      <w:r>
        <w:rPr>
          <w:rFonts w:ascii="Times New Roman" w:hAnsi="Times New Roman"/>
          <w:sz w:val="20"/>
        </w:rPr>
        <w:t xml:space="preserve"> </w:t>
      </w:r>
      <w:r>
        <w:rPr>
          <w:rFonts w:ascii="Times New Roman;serif" w:hAnsi="Times New Roman;serif"/>
          <w:b w:val="false"/>
          <w:sz w:val="16"/>
        </w:rPr>
        <w:t>million of net realized gains, respectively.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we sold zero</w:t>
      </w:r>
      <w:r>
        <w:rPr>
          <w:rFonts w:ascii="Times New Roman" w:hAnsi="Times New Roman"/>
          <w:sz w:val="20"/>
        </w:rPr>
        <w:t xml:space="preserve"> </w:t>
      </w:r>
      <w:r>
        <w:rPr>
          <w:rFonts w:ascii="Times New Roman;serif" w:hAnsi="Times New Roman;serif"/>
          <w:b w:val="false"/>
          <w:sz w:val="16"/>
        </w:rPr>
        <w:t>in investments to PTSF II at fair value, and recognized zero of net realized gains. For three and nine months ended June 30, 2022, we sold zero</w:t>
      </w:r>
      <w:r>
        <w:rPr>
          <w:rFonts w:ascii="Times New Roman" w:hAnsi="Times New Roman"/>
          <w:sz w:val="20"/>
        </w:rPr>
        <w:t xml:space="preserve"> </w:t>
      </w:r>
      <w:r>
        <w:rPr>
          <w:rFonts w:ascii="Times New Roman;serif" w:hAnsi="Times New Roman;serif"/>
          <w:b w:val="false"/>
          <w:sz w:val="16"/>
        </w:rPr>
        <w:t>and $82.3</w:t>
      </w:r>
      <w:r>
        <w:rPr>
          <w:rFonts w:ascii="Times New Roman" w:hAnsi="Times New Roman"/>
          <w:sz w:val="20"/>
        </w:rPr>
        <w:t xml:space="preserve"> </w:t>
      </w:r>
      <w:r>
        <w:rPr>
          <w:rFonts w:ascii="Times New Roman;serif" w:hAnsi="Times New Roman;serif"/>
          <w:b w:val="false"/>
          <w:sz w:val="16"/>
        </w:rPr>
        <w:t>million in investments to PTSF II at fair value, respectively, and recognized zero</w:t>
      </w:r>
      <w:r>
        <w:rPr>
          <w:rFonts w:ascii="Times New Roman" w:hAnsi="Times New Roman"/>
          <w:sz w:val="20"/>
        </w:rPr>
        <w:t xml:space="preserve"> </w:t>
      </w:r>
      <w:r>
        <w:rPr>
          <w:rFonts w:ascii="Times New Roman;serif" w:hAnsi="Times New Roman;serif"/>
          <w:b w:val="false"/>
          <w:sz w:val="16"/>
        </w:rPr>
        <w:t>and $0.2</w:t>
      </w:r>
      <w:r>
        <w:rPr>
          <w:rFonts w:ascii="Times New Roman" w:hAnsi="Times New Roman"/>
          <w:sz w:val="20"/>
        </w:rPr>
        <w:t xml:space="preserve"> </w:t>
      </w:r>
      <w:r>
        <w:rPr>
          <w:rFonts w:ascii="Times New Roman;serif" w:hAnsi="Times New Roman;serif"/>
          <w:b w:val="false"/>
          <w:sz w:val="16"/>
        </w:rPr>
        <w:t>million of net realized gains,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16"/>
        </w:rPr>
        <w:t>4.</w:t>
      </w:r>
      <w:r>
        <w:rPr>
          <w:rFonts w:ascii="Times New Roman" w:hAnsi="Times New Roman"/>
          <w:sz w:val="20"/>
        </w:rPr>
        <w:t xml:space="preserve"> </w:t>
      </w:r>
      <w:r>
        <w:rPr>
          <w:rFonts w:ascii="Times New Roman;serif" w:hAnsi="Times New Roman;serif"/>
          <w:b/>
          <w:sz w:val="16"/>
        </w:rPr>
        <w:t>INVESTMENTS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purchases of investments, including PIK interest totaled $70.5</w:t>
      </w:r>
      <w:r>
        <w:rPr>
          <w:rFonts w:ascii="Times New Roman" w:hAnsi="Times New Roman"/>
          <w:sz w:val="20"/>
        </w:rPr>
        <w:t xml:space="preserve"> </w:t>
      </w:r>
      <w:r>
        <w:rPr>
          <w:rFonts w:ascii="Times New Roman;serif" w:hAnsi="Times New Roman;serif"/>
          <w:b w:val="false"/>
          <w:sz w:val="16"/>
        </w:rPr>
        <w:t>million and $216.8</w:t>
      </w:r>
      <w:r>
        <w:rPr>
          <w:rFonts w:ascii="Times New Roman" w:hAnsi="Times New Roman"/>
          <w:sz w:val="20"/>
        </w:rPr>
        <w:t xml:space="preserve"> </w:t>
      </w:r>
      <w:r>
        <w:rPr>
          <w:rFonts w:ascii="Times New Roman;serif" w:hAnsi="Times New Roman;serif"/>
          <w:b w:val="false"/>
          <w:sz w:val="16"/>
        </w:rPr>
        <w:t>million, respectively. For the three and nine months ended June 30, 2022, purchases of investments, including PIK interest, totaled $326.3</w:t>
      </w:r>
      <w:r>
        <w:rPr>
          <w:rFonts w:ascii="Times New Roman" w:hAnsi="Times New Roman"/>
          <w:sz w:val="20"/>
        </w:rPr>
        <w:t xml:space="preserve"> </w:t>
      </w:r>
      <w:r>
        <w:rPr>
          <w:rFonts w:ascii="Times New Roman;serif" w:hAnsi="Times New Roman;serif"/>
          <w:b w:val="false"/>
          <w:sz w:val="16"/>
        </w:rPr>
        <w:t>million and $808.2</w:t>
      </w:r>
      <w:r>
        <w:rPr>
          <w:rFonts w:ascii="Times New Roman" w:hAnsi="Times New Roman"/>
          <w:sz w:val="20"/>
        </w:rPr>
        <w:t xml:space="preserve"> </w:t>
      </w:r>
      <w:r>
        <w:rPr>
          <w:rFonts w:ascii="Times New Roman;serif" w:hAnsi="Times New Roman;serif"/>
          <w:b w:val="false"/>
          <w:sz w:val="16"/>
        </w:rPr>
        <w:t>million, respectively. For the three and nine months ended June 30, 2023, sales and repayments of investments totaled $135.7</w:t>
      </w:r>
      <w:r>
        <w:rPr>
          <w:rFonts w:ascii="Times New Roman" w:hAnsi="Times New Roman"/>
          <w:sz w:val="20"/>
        </w:rPr>
        <w:t xml:space="preserve"> </w:t>
      </w:r>
      <w:r>
        <w:rPr>
          <w:rFonts w:ascii="Times New Roman;serif" w:hAnsi="Times New Roman;serif"/>
          <w:b w:val="false"/>
          <w:sz w:val="16"/>
        </w:rPr>
        <w:t>million and $280.5</w:t>
      </w:r>
      <w:r>
        <w:rPr>
          <w:rFonts w:ascii="Times New Roman" w:hAnsi="Times New Roman"/>
          <w:sz w:val="20"/>
        </w:rPr>
        <w:t xml:space="preserve"> </w:t>
      </w:r>
      <w:r>
        <w:rPr>
          <w:rFonts w:ascii="Times New Roman;serif" w:hAnsi="Times New Roman;serif"/>
          <w:b w:val="false"/>
          <w:sz w:val="16"/>
        </w:rPr>
        <w:t>million, respectively.</w:t>
      </w:r>
      <w:r>
        <w:rPr>
          <w:rFonts w:ascii="Times New Roman" w:hAnsi="Times New Roman"/>
          <w:sz w:val="20"/>
        </w:rPr>
        <w:t xml:space="preserve"> </w:t>
      </w:r>
      <w:r>
        <w:rPr>
          <w:rFonts w:ascii="Times New Roman;serif" w:hAnsi="Times New Roman;serif"/>
          <w:b w:val="false"/>
          <w:sz w:val="16"/>
        </w:rPr>
        <w:t>For the three and nine months ended June 30, 2022, sales and repayments of investments totaled $198.3</w:t>
      </w:r>
      <w:r>
        <w:rPr>
          <w:rFonts w:ascii="Times New Roman" w:hAnsi="Times New Roman"/>
          <w:sz w:val="20"/>
        </w:rPr>
        <w:t xml:space="preserve"> </w:t>
      </w:r>
      <w:r>
        <w:rPr>
          <w:rFonts w:ascii="Times New Roman;serif" w:hAnsi="Times New Roman;serif"/>
          <w:b w:val="false"/>
          <w:sz w:val="16"/>
        </w:rPr>
        <w:t>million and $736.0</w:t>
      </w:r>
      <w:r>
        <w:rPr>
          <w:rFonts w:ascii="Times New Roman" w:hAnsi="Times New Roman"/>
          <w:sz w:val="20"/>
        </w:rPr>
        <w:t xml:space="preserve"> </w:t>
      </w:r>
      <w:r>
        <w:rPr>
          <w:rFonts w:ascii="Times New Roman;serif" w:hAnsi="Times New Roman;serif"/>
          <w:b w:val="false"/>
          <w:sz w:val="16"/>
        </w:rPr>
        <w:t>million,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Investments and cash and cash equivalents consisted of the following:</w:t>
      </w:r>
    </w:p>
    <w:p>
      <w:pPr>
        <w:pStyle w:val="TextBody"/>
        <w:bidi w:val="0"/>
        <w:spacing w:before="0" w:after="0"/>
        <w:jc w:val="left"/>
        <w:rPr/>
      </w:pPr>
      <w:r>
        <w:rPr/>
        <w:t> </w:t>
      </w:r>
    </w:p>
    <w:tbl>
      <w:tblPr>
        <w:tblW w:w="8752" w:type="dxa"/>
        <w:jc w:val="left"/>
        <w:tblInd w:w="0" w:type="dxa"/>
        <w:tblLayout w:type="fixed"/>
        <w:tblCellMar>
          <w:top w:w="28" w:type="dxa"/>
          <w:left w:w="28" w:type="dxa"/>
          <w:bottom w:w="28" w:type="dxa"/>
          <w:right w:w="28" w:type="dxa"/>
        </w:tblCellMar>
      </w:tblPr>
      <w:tblGrid>
        <w:gridCol w:w="3451"/>
        <w:gridCol w:w="146"/>
        <w:gridCol w:w="196"/>
        <w:gridCol w:w="826"/>
        <w:gridCol w:w="146"/>
        <w:gridCol w:w="146"/>
        <w:gridCol w:w="196"/>
        <w:gridCol w:w="826"/>
        <w:gridCol w:w="146"/>
        <w:gridCol w:w="146"/>
        <w:gridCol w:w="196"/>
        <w:gridCol w:w="826"/>
        <w:gridCol w:w="146"/>
        <w:gridCol w:w="146"/>
        <w:gridCol w:w="196"/>
        <w:gridCol w:w="82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 xml:space="preserve">Investment Classification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600,038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590,521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652,055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630,965</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94,810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129,936</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 / corporate notes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53,622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52,401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53,468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53,255</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notes in PSLF</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102,325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88,011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88,011</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313,591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273,036</w:t>
            </w:r>
          </w:p>
        </w:tc>
        <w:tc>
          <w:tcPr>
            <w:tcW w:w="191" w:type="dxa"/>
            <w:tcBorders/>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 in PSLF</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58,643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58,959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49,362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51,098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1,094,700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1,075,880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1,302,029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1,226,301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52,844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52,666</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5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 and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1,137,420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1,118,656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1,354,873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1,278,967</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The table below describes investments by industry classification and enumerates the percentage, by fair value, of the total portfolio assets (excluding cash and cash equivalents) in such industries as of:</w:t>
      </w:r>
    </w:p>
    <w:p>
      <w:pPr>
        <w:pStyle w:val="TextBody"/>
        <w:bidi w:val="0"/>
        <w:spacing w:before="0" w:after="0"/>
        <w:jc w:val="left"/>
        <w:rPr/>
      </w:pPr>
      <w:r>
        <w:rPr/>
        <w:t> </w:t>
      </w:r>
    </w:p>
    <w:tbl>
      <w:tblPr>
        <w:tblW w:w="7472" w:type="dxa"/>
        <w:jc w:val="left"/>
        <w:tblInd w:w="0" w:type="dxa"/>
        <w:tblLayout w:type="fixed"/>
        <w:tblCellMar>
          <w:top w:w="28" w:type="dxa"/>
          <w:left w:w="28" w:type="dxa"/>
          <w:bottom w:w="28" w:type="dxa"/>
          <w:right w:w="28" w:type="dxa"/>
        </w:tblCellMar>
      </w:tblPr>
      <w:tblGrid>
        <w:gridCol w:w="3361"/>
        <w:gridCol w:w="146"/>
        <w:gridCol w:w="361"/>
        <w:gridCol w:w="929"/>
        <w:gridCol w:w="146"/>
        <w:gridCol w:w="241"/>
        <w:gridCol w:w="146"/>
        <w:gridCol w:w="477"/>
        <w:gridCol w:w="1233"/>
        <w:gridCol w:w="146"/>
        <w:gridCol w:w="286"/>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Industry Classification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June 30, 2023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September 30, 2022 </w:t>
            </w:r>
            <w:r>
              <w:rPr>
                <w:rFonts w:ascii="Times New Roman;serif" w:hAnsi="Times New Roman;serif"/>
                <w:b/>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Business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Products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Media</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Financial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Telecommunications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Environmental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Auto Sector</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Aerospace and Defense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Home and Office Furnishings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Electronics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Transportation</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Building Materials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Education</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Insurance</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4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0"/>
              <w:ind w:left="0" w:right="0" w:hanging="0"/>
              <w:jc w:val="left"/>
              <w:rPr/>
            </w:pPr>
            <w:r>
              <w:rPr/>
              <w:t> </w:t>
            </w:r>
          </w:p>
        </w:tc>
        <w:tc>
          <w:tcPr>
            <w:tcW w:w="929"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vAlign w:val="center"/>
          </w:tcPr>
          <w:p>
            <w:pPr>
              <w:pStyle w:val="TableContents"/>
              <w:bidi w:val="0"/>
              <w:spacing w:before="0" w:after="0"/>
              <w:ind w:left="0" w:right="0" w:hanging="0"/>
              <w:jc w:val="left"/>
              <w:rPr/>
            </w:pPr>
            <w:r>
              <w:rPr/>
              <w:t> </w:t>
            </w:r>
          </w:p>
        </w:tc>
        <w:tc>
          <w:tcPr>
            <w:tcW w:w="123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Other</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pPr>
            <w:r>
              <w:rPr/>
              <w:t> </w:t>
            </w:r>
          </w:p>
        </w:tc>
      </w:tr>
      <w:tr>
        <w:trPr/>
        <w:tc>
          <w:tcPr>
            <w:tcW w:w="33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vAlign w:val="center"/>
          </w:tcPr>
          <w:p>
            <w:pPr>
              <w:pStyle w:val="TableContents"/>
              <w:bidi w:val="0"/>
              <w:spacing w:before="0" w:after="0"/>
              <w:ind w:left="0" w:right="0" w:hanging="0"/>
              <w:jc w:val="left"/>
              <w:rPr/>
            </w:pPr>
            <w:r>
              <w:rPr/>
              <w:t> </w:t>
            </w:r>
          </w:p>
        </w:tc>
        <w:tc>
          <w:tcPr>
            <w:tcW w:w="36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4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40" w:after="0"/>
        <w:jc w:val="left"/>
        <w:rPr>
          <w:rFonts w:ascii="Times New Roman" w:hAnsi="Times New Roman"/>
          <w:b w:val="false"/>
          <w:sz w:val="12"/>
        </w:rPr>
      </w:pPr>
      <w:r>
        <w:rPr>
          <w:rFonts w:ascii="Times New Roman" w:hAnsi="Times New Roman"/>
          <w:b w:val="false"/>
          <w:sz w:val="12"/>
        </w:rPr>
        <w:t>(1)</w:t>
      </w:r>
    </w:p>
    <w:p>
      <w:pPr>
        <w:pStyle w:val="TextBody"/>
        <w:bidi w:val="0"/>
        <w:spacing w:before="40" w:after="283"/>
        <w:jc w:val="left"/>
        <w:rPr>
          <w:rFonts w:ascii="Times New Roman;serif" w:hAnsi="Times New Roman;serif"/>
          <w:b w:val="false"/>
          <w:sz w:val="12"/>
        </w:rPr>
      </w:pPr>
      <w:r>
        <w:rPr>
          <w:rFonts w:ascii="Times New Roman;serif" w:hAnsi="Times New Roman;serif"/>
          <w:b w:val="false"/>
          <w:sz w:val="12"/>
        </w:rPr>
        <w:t>Excludes investments in PSLF.</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PennantPark Senior Loan Fund, LLC</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July 2020, we and Pantheon formed PSLF, an unconsolidated joint venture. PSLF invests primarily in middle-market and other corporate debt securities consistent with its strategy. PSLF was formed as a Delaware limited liability company. As of June 30, 2023 and September 30, 2022, PSLF had total assets of $839.0</w:t>
      </w:r>
      <w:r>
        <w:rPr>
          <w:rFonts w:ascii="Times New Roman" w:hAnsi="Times New Roman"/>
          <w:sz w:val="20"/>
        </w:rPr>
        <w:t xml:space="preserve"> </w:t>
      </w:r>
      <w:r>
        <w:rPr>
          <w:rFonts w:ascii="Times New Roman;serif" w:hAnsi="Times New Roman;serif"/>
          <w:b w:val="false"/>
          <w:sz w:val="16"/>
        </w:rPr>
        <w:t>million and $781.3</w:t>
      </w:r>
      <w:r>
        <w:rPr>
          <w:rFonts w:ascii="Times New Roman" w:hAnsi="Times New Roman"/>
          <w:sz w:val="20"/>
        </w:rPr>
        <w:t xml:space="preserve"> </w:t>
      </w:r>
      <w:r>
        <w:rPr>
          <w:rFonts w:ascii="Times New Roman;serif" w:hAnsi="Times New Roman;serif"/>
          <w:b w:val="false"/>
          <w:sz w:val="16"/>
        </w:rPr>
        <w:t>million, respectively and its investment portfolio consisted of debt investments in 92</w:t>
      </w:r>
      <w:r>
        <w:rPr>
          <w:rFonts w:ascii="Times New Roman" w:hAnsi="Times New Roman"/>
          <w:sz w:val="20"/>
        </w:rPr>
        <w:t xml:space="preserve"> </w:t>
      </w:r>
      <w:r>
        <w:rPr>
          <w:rFonts w:ascii="Times New Roman;serif" w:hAnsi="Times New Roman;serif"/>
          <w:b w:val="false"/>
          <w:sz w:val="16"/>
        </w:rPr>
        <w:t>and 80</w:t>
      </w:r>
      <w:r>
        <w:rPr>
          <w:rFonts w:ascii="Times New Roman" w:hAnsi="Times New Roman"/>
          <w:sz w:val="20"/>
        </w:rPr>
        <w:t xml:space="preserve"> </w:t>
      </w:r>
      <w:r>
        <w:rPr>
          <w:rFonts w:ascii="Times New Roman;serif" w:hAnsi="Times New Roman;serif"/>
          <w:b w:val="false"/>
          <w:sz w:val="16"/>
        </w:rPr>
        <w:t>portfolio companies, respectively. As of June 30, 2023, at fair value, the largest investment in a single portfolio company in PSLF was $19.6</w:t>
      </w:r>
      <w:r>
        <w:rPr>
          <w:rFonts w:ascii="Times New Roman" w:hAnsi="Times New Roman"/>
          <w:sz w:val="20"/>
        </w:rPr>
        <w:t xml:space="preserve"> </w:t>
      </w:r>
      <w:r>
        <w:rPr>
          <w:rFonts w:ascii="Times New Roman;serif" w:hAnsi="Times New Roman;serif"/>
          <w:b w:val="false"/>
          <w:sz w:val="16"/>
        </w:rPr>
        <w:t>million and the five largest investments totaled $97.6</w:t>
      </w:r>
      <w:r>
        <w:rPr>
          <w:rFonts w:ascii="Times New Roman" w:hAnsi="Times New Roman"/>
          <w:sz w:val="20"/>
        </w:rPr>
        <w:t xml:space="preserve"> </w:t>
      </w:r>
      <w:r>
        <w:rPr>
          <w:rFonts w:ascii="Times New Roman;serif" w:hAnsi="Times New Roman;serif"/>
          <w:b w:val="false"/>
          <w:sz w:val="16"/>
        </w:rPr>
        <w:t>million. As of September 30, 2022, at fair value, the largest investment in a single portfolio company in PSLF was $19.9</w:t>
      </w:r>
      <w:r>
        <w:rPr>
          <w:rFonts w:ascii="Times New Roman" w:hAnsi="Times New Roman"/>
          <w:sz w:val="20"/>
        </w:rPr>
        <w:t xml:space="preserve"> </w:t>
      </w:r>
      <w:r>
        <w:rPr>
          <w:rFonts w:ascii="Times New Roman;serif" w:hAnsi="Times New Roman;serif"/>
          <w:b w:val="false"/>
          <w:sz w:val="16"/>
        </w:rPr>
        <w:t>million and the five largest investments totaled $98.5</w:t>
      </w:r>
      <w:r>
        <w:rPr>
          <w:rFonts w:ascii="Times New Roman" w:hAnsi="Times New Roman"/>
          <w:sz w:val="20"/>
        </w:rPr>
        <w:t xml:space="preserve"> </w:t>
      </w:r>
      <w:r>
        <w:rPr>
          <w:rFonts w:ascii="Times New Roman;serif" w:hAnsi="Times New Roman;serif"/>
          <w:b w:val="false"/>
          <w:sz w:val="16"/>
        </w:rPr>
        <w:t>million. PSLF invests in portfolio companies in the same industries in which we may directly invest.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and Pantheon provide capital to PSLF in the form of subordinated notes and equity interests. As of June 30, 2023 and September 30, 2022, we and Pantheon owned 60.5% and 39.5%, respectively, of each of the outstanding subordinated notes and equity interests of PSLF. As of June 30, 2023 and September 30, 2022 its investment in PSLF consisted of subordinated notes of $102.3</w:t>
      </w:r>
      <w:r>
        <w:rPr>
          <w:rFonts w:ascii="Times New Roman" w:hAnsi="Times New Roman"/>
          <w:sz w:val="20"/>
        </w:rPr>
        <w:t xml:space="preserve"> </w:t>
      </w:r>
      <w:r>
        <w:rPr>
          <w:rFonts w:ascii="Times New Roman;serif" w:hAnsi="Times New Roman;serif"/>
          <w:b w:val="false"/>
          <w:sz w:val="16"/>
        </w:rPr>
        <w:t>million (additional $13.6</w:t>
      </w:r>
      <w:r>
        <w:rPr>
          <w:rFonts w:ascii="Times New Roman" w:hAnsi="Times New Roman"/>
          <w:sz w:val="20"/>
        </w:rPr>
        <w:t xml:space="preserve"> </w:t>
      </w:r>
      <w:r>
        <w:rPr>
          <w:rFonts w:ascii="Times New Roman;serif" w:hAnsi="Times New Roman;serif"/>
          <w:b w:val="false"/>
          <w:sz w:val="16"/>
        </w:rPr>
        <w:t>million unfunded) and $88.0</w:t>
      </w:r>
      <w:r>
        <w:rPr>
          <w:rFonts w:ascii="Times New Roman" w:hAnsi="Times New Roman"/>
          <w:sz w:val="20"/>
        </w:rPr>
        <w:t xml:space="preserve"> </w:t>
      </w:r>
      <w:r>
        <w:rPr>
          <w:rFonts w:ascii="Times New Roman;serif" w:hAnsi="Times New Roman;serif"/>
          <w:b w:val="false"/>
          <w:sz w:val="16"/>
        </w:rPr>
        <w:t>million (additional $27.9</w:t>
      </w:r>
      <w:r>
        <w:rPr>
          <w:rFonts w:ascii="Times New Roman" w:hAnsi="Times New Roman"/>
          <w:sz w:val="20"/>
        </w:rPr>
        <w:t xml:space="preserve"> </w:t>
      </w:r>
      <w:r>
        <w:rPr>
          <w:rFonts w:ascii="Times New Roman;serif" w:hAnsi="Times New Roman;serif"/>
          <w:b w:val="false"/>
          <w:sz w:val="16"/>
        </w:rPr>
        <w:t>million unfunded), respectively, and equity interests of $58.6</w:t>
      </w:r>
      <w:r>
        <w:rPr>
          <w:rFonts w:ascii="Times New Roman" w:hAnsi="Times New Roman"/>
          <w:sz w:val="20"/>
        </w:rPr>
        <w:t xml:space="preserve"> </w:t>
      </w:r>
      <w:r>
        <w:rPr>
          <w:rFonts w:ascii="Times New Roman;serif" w:hAnsi="Times New Roman;serif"/>
          <w:b w:val="false"/>
          <w:sz w:val="16"/>
        </w:rPr>
        <w:t>million (additional $8.8</w:t>
      </w:r>
      <w:r>
        <w:rPr>
          <w:rFonts w:ascii="Times New Roman" w:hAnsi="Times New Roman"/>
          <w:sz w:val="20"/>
        </w:rPr>
        <w:t xml:space="preserve"> </w:t>
      </w:r>
      <w:r>
        <w:rPr>
          <w:rFonts w:ascii="Times New Roman;serif" w:hAnsi="Times New Roman;serif"/>
          <w:b w:val="false"/>
          <w:sz w:val="16"/>
        </w:rPr>
        <w:t>million unfunded) and $54.8</w:t>
      </w:r>
      <w:r>
        <w:rPr>
          <w:rFonts w:ascii="Times New Roman" w:hAnsi="Times New Roman"/>
          <w:sz w:val="20"/>
        </w:rPr>
        <w:t xml:space="preserve"> </w:t>
      </w:r>
      <w:r>
        <w:rPr>
          <w:rFonts w:ascii="Times New Roman;serif" w:hAnsi="Times New Roman;serif"/>
          <w:b w:val="false"/>
          <w:sz w:val="16"/>
        </w:rPr>
        <w:t>million (additional $18.3</w:t>
      </w:r>
      <w:r>
        <w:rPr>
          <w:rFonts w:ascii="Times New Roman" w:hAnsi="Times New Roman"/>
          <w:sz w:val="20"/>
        </w:rPr>
        <w:t xml:space="preserve"> </w:t>
      </w:r>
      <w:r>
        <w:rPr>
          <w:rFonts w:ascii="Times New Roman;serif" w:hAnsi="Times New Roman;serif"/>
          <w:b w:val="false"/>
          <w:sz w:val="16"/>
        </w:rPr>
        <w:t>million unfunded), respectively.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Additionally, PSLF, through its wholly-owned subsidiary, or PSLF Subsidiary, has entered into a $325.0</w:t>
      </w:r>
      <w:r>
        <w:rPr>
          <w:rFonts w:ascii="Times New Roman" w:hAnsi="Times New Roman"/>
          <w:sz w:val="20"/>
        </w:rPr>
        <w:t xml:space="preserve"> </w:t>
      </w:r>
      <w:r>
        <w:rPr>
          <w:rFonts w:ascii="Times New Roman;serif" w:hAnsi="Times New Roman;serif"/>
          <w:b w:val="false"/>
          <w:sz w:val="16"/>
        </w:rPr>
        <w:t>million (increased from $225.0</w:t>
      </w:r>
      <w:r>
        <w:rPr>
          <w:rFonts w:ascii="Times New Roman" w:hAnsi="Times New Roman"/>
          <w:sz w:val="20"/>
        </w:rPr>
        <w:t xml:space="preserve"> </w:t>
      </w:r>
      <w:r>
        <w:rPr>
          <w:rFonts w:ascii="Times New Roman;serif" w:hAnsi="Times New Roman;serif"/>
          <w:b w:val="false"/>
          <w:sz w:val="16"/>
        </w:rPr>
        <w:t>million on September 2, 2022) senior secured revolving credit facility, or the PSLF Credit Facility, with BNP Paribas, which bears interest at SOFR (or an alternative risk-free interest rate index) plus 260</w:t>
      </w:r>
      <w:r>
        <w:rPr>
          <w:rFonts w:ascii="Times New Roman;serif" w:hAnsi="Times New Roman;serif"/>
          <w:sz w:val="16"/>
        </w:rPr>
        <w:t xml:space="preserve"> </w:t>
      </w:r>
      <w:r>
        <w:rPr>
          <w:rFonts w:ascii="Times New Roman;serif" w:hAnsi="Times New Roman;serif"/>
          <w:b w:val="false"/>
          <w:sz w:val="16"/>
        </w:rPr>
        <w:t>basis points during the investment period and is subject to leverage and borrowing base restrictions.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March 2022, PSLF completed a $304.0</w:t>
      </w:r>
      <w:r>
        <w:rPr>
          <w:rFonts w:ascii="Times New Roman" w:hAnsi="Times New Roman"/>
          <w:sz w:val="20"/>
        </w:rPr>
        <w:t xml:space="preserve"> </w:t>
      </w:r>
      <w:r>
        <w:rPr>
          <w:rFonts w:ascii="Times New Roman;serif" w:hAnsi="Times New Roman;serif"/>
          <w:b w:val="false"/>
          <w:sz w:val="16"/>
        </w:rPr>
        <w:t>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Below is a summary of PSLF’s portfolio at fair value:</w:t>
      </w:r>
    </w:p>
    <w:p>
      <w:pPr>
        <w:pStyle w:val="TextBody"/>
        <w:bidi w:val="0"/>
        <w:spacing w:before="0" w:after="0"/>
        <w:jc w:val="left"/>
        <w:rPr/>
      </w:pPr>
      <w:r>
        <w:rPr/>
        <w:t> </w:t>
      </w:r>
    </w:p>
    <w:tbl>
      <w:tblPr>
        <w:tblW w:w="8050" w:type="dxa"/>
        <w:jc w:val="left"/>
        <w:tblInd w:w="0" w:type="dxa"/>
        <w:tblLayout w:type="fixed"/>
        <w:tblCellMar>
          <w:top w:w="28" w:type="dxa"/>
          <w:left w:w="28" w:type="dxa"/>
          <w:bottom w:w="28" w:type="dxa"/>
          <w:right w:w="28" w:type="dxa"/>
        </w:tblCellMar>
      </w:tblPr>
      <w:tblGrid>
        <w:gridCol w:w="4561"/>
        <w:gridCol w:w="146"/>
        <w:gridCol w:w="248"/>
        <w:gridCol w:w="877"/>
        <w:gridCol w:w="241"/>
        <w:gridCol w:w="146"/>
        <w:gridCol w:w="341"/>
        <w:gridCol w:w="1204"/>
        <w:gridCol w:w="28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thousands)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793,940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730,108</w:t>
            </w:r>
          </w:p>
        </w:tc>
        <w:tc>
          <w:tcPr>
            <w:tcW w:w="286"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cost yield on income producing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Number of portfolio companies in PSLF</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286"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Largest portfolio company investment at fair value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19,639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19,906</w:t>
            </w:r>
          </w:p>
        </w:tc>
        <w:tc>
          <w:tcPr>
            <w:tcW w:w="286"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of five largest portfolio company investments at fair value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97,590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98,502</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Below is a listing of PSLF’s individual investments as of June 30, 2023 ($ in thousands)</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520"/>
        <w:gridCol w:w="146"/>
        <w:gridCol w:w="625"/>
        <w:gridCol w:w="146"/>
        <w:gridCol w:w="2175"/>
        <w:gridCol w:w="146"/>
        <w:gridCol w:w="151"/>
        <w:gridCol w:w="390"/>
        <w:gridCol w:w="211"/>
        <w:gridCol w:w="146"/>
        <w:gridCol w:w="705"/>
        <w:gridCol w:w="146"/>
        <w:gridCol w:w="146"/>
        <w:gridCol w:w="436"/>
        <w:gridCol w:w="146"/>
        <w:gridCol w:w="146"/>
        <w:gridCol w:w="166"/>
        <w:gridCol w:w="436"/>
        <w:gridCol w:w="146"/>
        <w:gridCol w:w="146"/>
        <w:gridCol w:w="201"/>
        <w:gridCol w:w="529"/>
        <w:gridCol w:w="200"/>
      </w:tblGrid>
      <w:tr>
        <w:trPr/>
        <w:tc>
          <w:tcPr>
            <w:tcW w:w="2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- 814.7%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0" w:type="dxa"/>
            <w:gridSpan w:val="2"/>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Packaging and Glass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14,280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7/24/2025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Amsive Holding Corporation (f/k/a Vision Purchaser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6/10/2025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13,715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7/21/2027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9,581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 Term Loan 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3/7/2028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11,732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7/1/2029</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13,622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8,865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9/17/2024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17,419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12/4/2025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9/26/2029</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6/14/2028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17,238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8/20/2026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7/13/2027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3,932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14,158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1/10/2029</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6,079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Electro Rent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3/15/2027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6/17/2028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2/23/2028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4,318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3/16/2026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8/10/2027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6,294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14,036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17,269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IG Investments Holdings,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9/22/2028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5,440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19,639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8/27/2025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19,553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14,738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2/18/2027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19,477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2/3/2026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12,066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1/31/2030</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6,207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 DS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7,785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4/16/2027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9/28/2027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3,978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7,373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8,492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(New Issue)</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Pequod Merger Sub,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7,153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5/8/2026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12,526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2/28/2028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9,384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6/20/2025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3/10/2025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9,734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6,825</w:t>
            </w:r>
          </w:p>
        </w:tc>
        <w:tc>
          <w:tcPr>
            <w:tcW w:w="20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3045"/>
        <w:gridCol w:w="146"/>
        <w:gridCol w:w="624"/>
        <w:gridCol w:w="146"/>
        <w:gridCol w:w="1569"/>
        <w:gridCol w:w="146"/>
        <w:gridCol w:w="151"/>
        <w:gridCol w:w="390"/>
        <w:gridCol w:w="211"/>
        <w:gridCol w:w="146"/>
        <w:gridCol w:w="696"/>
        <w:gridCol w:w="146"/>
        <w:gridCol w:w="146"/>
        <w:gridCol w:w="436"/>
        <w:gridCol w:w="146"/>
        <w:gridCol w:w="146"/>
        <w:gridCol w:w="166"/>
        <w:gridCol w:w="496"/>
        <w:gridCol w:w="146"/>
        <w:gridCol w:w="146"/>
        <w:gridCol w:w="178"/>
        <w:gridCol w:w="584"/>
        <w:gridCol w:w="199"/>
      </w:tblGrid>
      <w:tr>
        <w:trPr/>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4,839</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6/13/2029</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14,515</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Systems Holding Company</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5/3/2024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11,389</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7/17/2025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9,146</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12,038</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Summit Behavioral Healthcare,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3,563</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15,702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Team Services Group,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2,936</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10,901</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5,344</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4,416</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5,450</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16,721</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7,949</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10,527</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4,497</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6/15/2026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3,790</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11,158</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19,352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805,986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793,940</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- 814.7%</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- 41.1%</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- 855.7%</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846,021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833,975</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(755.7)%</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(736,519</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97,456</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pStyle w:val="TextBody"/>
        <w:bidi w:val="0"/>
        <w:spacing w:before="40" w:after="0"/>
        <w:jc w:val="left"/>
        <w:rPr>
          <w:rFonts w:ascii="Times New Roman" w:hAnsi="Times New Roman"/>
          <w:b w:val="false"/>
          <w:sz w:val="12"/>
        </w:rPr>
      </w:pPr>
      <w:r>
        <w:rPr>
          <w:rFonts w:ascii="Times New Roman" w:hAnsi="Times New Roman"/>
          <w:b w:val="false"/>
          <w:sz w:val="12"/>
        </w:rPr>
        <w:t>(2)</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Valued based on PSLF’s accounting policy.</w:t>
      </w:r>
    </w:p>
    <w:p>
      <w:pPr>
        <w:pStyle w:val="TextBody"/>
        <w:bidi w:val="0"/>
        <w:spacing w:before="40" w:after="0"/>
        <w:jc w:val="left"/>
        <w:rPr>
          <w:rFonts w:ascii="Times New Roman" w:hAnsi="Times New Roman"/>
          <w:b w:val="false"/>
          <w:sz w:val="13"/>
        </w:rPr>
      </w:pPr>
      <w:r>
        <w:rPr>
          <w:rFonts w:ascii="Times New Roman" w:hAnsi="Times New Roman"/>
          <w:b w:val="false"/>
          <w:sz w:val="13"/>
        </w:rPr>
        <w:t>(3)</w:t>
      </w:r>
    </w:p>
    <w:p>
      <w:pPr>
        <w:pStyle w:val="TextBody"/>
        <w:bidi w:val="0"/>
        <w:spacing w:before="40" w:after="283"/>
        <w:jc w:val="left"/>
        <w:rPr>
          <w:rFonts w:ascii="Times New Roman;serif" w:hAnsi="Times New Roman;serif"/>
          <w:b w:val="false"/>
          <w:sz w:val="13"/>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p>
    <w:p>
      <w:pPr>
        <w:pStyle w:val="TextBody"/>
        <w:bidi w:val="0"/>
        <w:spacing w:before="4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40" w:after="0"/>
        <w:jc w:val="left"/>
        <w:rPr>
          <w:rFonts w:ascii="Times New Roman" w:hAnsi="Times New Roman"/>
          <w:sz w:val="20"/>
        </w:rPr>
      </w:pPr>
      <w:r>
        <w:rPr>
          <w:rFonts w:ascii="Times New Roman;serif" w:hAnsi="Times New Roman;serif"/>
          <w:b w:val="false"/>
          <w:sz w:val="12"/>
        </w:rPr>
        <w:br/>
      </w:r>
      <w:r>
        <w:rPr>
          <w:rFonts w:ascii="Times New Roman" w:hAnsi="Times New Roman"/>
          <w:sz w:val="20"/>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Below is a listing of PSLF’s individual investments as of September 30, 2022 ($ in thousands):</w:t>
      </w:r>
    </w:p>
    <w:tbl>
      <w:tblPr>
        <w:tblW w:w="10205" w:type="dxa"/>
        <w:jc w:val="left"/>
        <w:tblInd w:w="0" w:type="dxa"/>
        <w:tblLayout w:type="fixed"/>
        <w:tblCellMar>
          <w:top w:w="28" w:type="dxa"/>
          <w:left w:w="28" w:type="dxa"/>
          <w:bottom w:w="28" w:type="dxa"/>
          <w:right w:w="28" w:type="dxa"/>
        </w:tblCellMar>
      </w:tblPr>
      <w:tblGrid>
        <w:gridCol w:w="2545"/>
        <w:gridCol w:w="146"/>
        <w:gridCol w:w="586"/>
        <w:gridCol w:w="146"/>
        <w:gridCol w:w="2191"/>
        <w:gridCol w:w="146"/>
        <w:gridCol w:w="151"/>
        <w:gridCol w:w="390"/>
        <w:gridCol w:w="211"/>
        <w:gridCol w:w="146"/>
        <w:gridCol w:w="709"/>
        <w:gridCol w:w="146"/>
        <w:gridCol w:w="146"/>
        <w:gridCol w:w="436"/>
        <w:gridCol w:w="146"/>
        <w:gridCol w:w="146"/>
        <w:gridCol w:w="166"/>
        <w:gridCol w:w="436"/>
        <w:gridCol w:w="146"/>
        <w:gridCol w:w="146"/>
        <w:gridCol w:w="201"/>
        <w:gridCol w:w="530"/>
        <w:gridCol w:w="193"/>
      </w:tblGrid>
      <w:tr>
        <w:trPr/>
        <w:tc>
          <w:tcPr>
            <w:tcW w:w="2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- 864.4%</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gridSpan w:val="2"/>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Packaging and Glass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12/21/23</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19,906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Amsive Holding Corporation (f/k/a Vision Purchaser Corporation)</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06/10/25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15,168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6,536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 Term Loan 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03/07/28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11,701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07/01/29</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14,700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17,596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12/02/22</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17,194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8,819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6,339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14,658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9,726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06/17/28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03/16/26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7,013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19,516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14,721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16,617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IG Investments Holdings,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12/07/23</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19,800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19,754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12/20/23</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02/18/27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19,526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 DS Corp.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7,880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OIS Management Services,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(New Issue)</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05/08/26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2,309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12,566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02/28/28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9,505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13,070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03/10/25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6,791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06/13/29</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Systems Holding Company</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6M L+675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11,978</w:t>
            </w:r>
          </w:p>
        </w:tc>
        <w:tc>
          <w:tcPr>
            <w:tcW w:w="19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936"/>
        <w:gridCol w:w="146"/>
        <w:gridCol w:w="622"/>
        <w:gridCol w:w="146"/>
        <w:gridCol w:w="1691"/>
        <w:gridCol w:w="146"/>
        <w:gridCol w:w="151"/>
        <w:gridCol w:w="390"/>
        <w:gridCol w:w="211"/>
        <w:gridCol w:w="146"/>
        <w:gridCol w:w="687"/>
        <w:gridCol w:w="146"/>
        <w:gridCol w:w="146"/>
        <w:gridCol w:w="436"/>
        <w:gridCol w:w="146"/>
        <w:gridCol w:w="146"/>
        <w:gridCol w:w="166"/>
        <w:gridCol w:w="496"/>
        <w:gridCol w:w="146"/>
        <w:gridCol w:w="146"/>
        <w:gridCol w:w="178"/>
        <w:gridCol w:w="582"/>
        <w:gridCol w:w="199"/>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15,870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3,271</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11,096</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5,557</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4,509</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16,946</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4/3/2028</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11,208</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4,604</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5/24/2027</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 Housewares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9,755</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19,499</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738,219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730,108</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- 864.4%</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- 50.9%</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- 915.3%</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781,185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773,074</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(815.3)%</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(688,612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84,462</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Represents floating rate instruments that accrue interest at a predetermined spread relative to an index, typically the applicable LIBOR or “L” , Secured Overnight Financing Rate or "SOFR"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pStyle w:val="TextBody"/>
        <w:bidi w:val="0"/>
        <w:spacing w:before="40" w:after="0"/>
        <w:jc w:val="left"/>
        <w:rPr>
          <w:rFonts w:ascii="Times New Roman" w:hAnsi="Times New Roman"/>
          <w:b w:val="false"/>
          <w:sz w:val="12"/>
        </w:rPr>
      </w:pPr>
      <w:r>
        <w:rPr>
          <w:rFonts w:ascii="Times New Roman" w:hAnsi="Times New Roman"/>
          <w:b w:val="false"/>
          <w:sz w:val="12"/>
        </w:rPr>
        <w:t>(2)</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Valued based on PSLF’s accounting policy.</w:t>
      </w:r>
    </w:p>
    <w:p>
      <w:pPr>
        <w:pStyle w:val="TextBody"/>
        <w:bidi w:val="0"/>
        <w:spacing w:before="40" w:after="0"/>
        <w:jc w:val="left"/>
        <w:rPr>
          <w:rFonts w:ascii="Times New Roman" w:hAnsi="Times New Roman"/>
          <w:b w:val="false"/>
          <w:sz w:val="13"/>
        </w:rPr>
      </w:pPr>
      <w:r>
        <w:rPr>
          <w:rFonts w:ascii="Times New Roman" w:hAnsi="Times New Roman"/>
          <w:b w:val="false"/>
          <w:sz w:val="13"/>
        </w:rPr>
        <w:t>(3)</w:t>
      </w:r>
    </w:p>
    <w:p>
      <w:pPr>
        <w:pStyle w:val="TextBody"/>
        <w:bidi w:val="0"/>
        <w:spacing w:before="40" w:after="283"/>
        <w:jc w:val="left"/>
        <w:rPr>
          <w:rFonts w:ascii="Times New Roman;serif" w:hAnsi="Times New Roman;serif"/>
          <w:sz w:val="20"/>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r>
        <w:rPr>
          <w:rFonts w:ascii="Times New Roman;serif" w:hAnsi="Times New Roman;serif"/>
          <w:b w:val="false"/>
          <w:sz w:val="12"/>
        </w:rPr>
        <w:br/>
      </w:r>
      <w:r>
        <w:rPr>
          <w:rFonts w:ascii="Times New Roman;serif" w:hAnsi="Times New Roman;serif"/>
          <w:sz w:val="20"/>
        </w:rPr>
        <w:t> </w:t>
      </w:r>
    </w:p>
    <w:p>
      <w:pPr>
        <w:pStyle w:val="TextBody"/>
        <w:bidi w:val="0"/>
        <w:spacing w:before="4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Below are the consolidated statements of assets and liabilities for PSLF ($ in thousands):</w:t>
      </w:r>
    </w:p>
    <w:p>
      <w:pPr>
        <w:pStyle w:val="TextBody"/>
        <w:bidi w:val="0"/>
        <w:spacing w:before="0" w:after="0"/>
        <w:jc w:val="left"/>
        <w:rPr/>
      </w:pPr>
      <w:r>
        <w:rPr/>
        <w:t> </w:t>
      </w:r>
    </w:p>
    <w:tbl>
      <w:tblPr>
        <w:tblW w:w="9660" w:type="dxa"/>
        <w:jc w:val="left"/>
        <w:tblInd w:w="0" w:type="dxa"/>
        <w:tblLayout w:type="fixed"/>
        <w:tblCellMar>
          <w:top w:w="28" w:type="dxa"/>
          <w:left w:w="28" w:type="dxa"/>
          <w:bottom w:w="28" w:type="dxa"/>
          <w:right w:w="28" w:type="dxa"/>
        </w:tblCellMar>
      </w:tblPr>
      <w:tblGrid>
        <w:gridCol w:w="5761"/>
        <w:gridCol w:w="146"/>
        <w:gridCol w:w="248"/>
        <w:gridCol w:w="877"/>
        <w:gridCol w:w="146"/>
        <w:gridCol w:w="146"/>
        <w:gridCol w:w="341"/>
        <w:gridCol w:w="1204"/>
        <w:gridCol w:w="79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Investments at fair value (amortized cost—$805,986</w:t>
            </w:r>
            <w:r>
              <w:rPr>
                <w:rFonts w:ascii="Times New Roman" w:hAnsi="Times New Roman"/>
                <w:sz w:val="20"/>
              </w:rPr>
              <w:t> </w:t>
            </w:r>
            <w:r>
              <w:rPr>
                <w:rFonts w:ascii="Times New Roman;serif" w:hAnsi="Times New Roman;serif"/>
                <w:b w:val="false"/>
                <w:sz w:val="16"/>
              </w:rPr>
              <w:t>and $738,219, respectively)</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793,940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730,108</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Cash and cash equivalents (cost—$40,035</w:t>
            </w:r>
            <w:r>
              <w:rPr>
                <w:rFonts w:ascii="Times New Roman" w:hAnsi="Times New Roman"/>
                <w:sz w:val="20"/>
              </w:rPr>
              <w:t> </w:t>
            </w:r>
            <w:r>
              <w:rPr>
                <w:rFonts w:ascii="Times New Roman;serif" w:hAnsi="Times New Roman;serif"/>
                <w:b w:val="false"/>
                <w:sz w:val="16"/>
              </w:rPr>
              <w:t>and $42,966, respectively)</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42,966</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investments sold</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3,870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838,983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781,287</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257,600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2034 Asset-backed debt, net (par—$246,000)</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243,896</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payable to members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145,472</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37,658</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credit facility and asset backed debt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4,676</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 payable to members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notes to members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2,703</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741,527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696,825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sz w:val="16"/>
              </w:rPr>
            </w:pPr>
            <w:r>
              <w:rPr>
                <w:rFonts w:ascii="Times New Roman;serif" w:hAnsi="Times New Roman;serif"/>
                <w:b w:val="false"/>
                <w:sz w:val="16"/>
              </w:rPr>
              <w:t xml:space="preserve">Commitments and contingencies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righ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Members' equity</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84,462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 and members' equity</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838,983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781,287</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40" w:after="0"/>
        <w:jc w:val="left"/>
        <w:rPr/>
      </w:pPr>
      <w:r>
        <w:rPr/>
        <w:t>———————————</w:t>
      </w:r>
    </w:p>
    <w:p>
      <w:pPr>
        <w:pStyle w:val="TextBody"/>
        <w:bidi w:val="0"/>
        <w:spacing w:before="40" w:after="0"/>
        <w:jc w:val="left"/>
        <w:rPr>
          <w:rFonts w:ascii="Times New Roman" w:hAnsi="Times New Roman"/>
          <w:b w:val="false"/>
          <w:sz w:val="12"/>
        </w:rPr>
      </w:pPr>
      <w:r>
        <w:rPr>
          <w:rFonts w:ascii="Times New Roman" w:hAnsi="Times New Roman"/>
          <w:b w:val="false"/>
          <w:sz w:val="12"/>
        </w:rPr>
        <w:t>(1)</w:t>
      </w:r>
    </w:p>
    <w:p>
      <w:pPr>
        <w:pStyle w:val="TextBody"/>
        <w:bidi w:val="0"/>
        <w:spacing w:before="40" w:after="283"/>
        <w:jc w:val="left"/>
        <w:rPr>
          <w:rFonts w:ascii="Times New Roman;serif" w:hAnsi="Times New Roman;serif"/>
          <w:sz w:val="16"/>
        </w:rPr>
      </w:pPr>
      <w:r>
        <w:rPr>
          <w:rFonts w:ascii="Times New Roman;serif" w:hAnsi="Times New Roman;serif"/>
          <w:b w:val="false"/>
          <w:sz w:val="12"/>
        </w:rPr>
        <w:t>As of June 30, 2023 and September 30, 2022, PSLF had unfunded commitments to fund investments of $0.1</w:t>
      </w:r>
      <w:r>
        <w:rPr>
          <w:rFonts w:ascii="Times New Roman;serif" w:hAnsi="Times New Roman;serif"/>
          <w:sz w:val="16"/>
        </w:rPr>
        <w:t xml:space="preserve"> </w:t>
      </w:r>
      <w:r>
        <w:rPr>
          <w:rFonts w:ascii="Times New Roman;serif" w:hAnsi="Times New Roman;serif"/>
          <w:b w:val="false"/>
          <w:sz w:val="12"/>
        </w:rPr>
        <w:t>million and $0.1</w:t>
      </w:r>
      <w:r>
        <w:rPr>
          <w:rFonts w:ascii="Times New Roman;serif" w:hAnsi="Times New Roman;serif"/>
          <w:sz w:val="16"/>
        </w:rPr>
        <w:t xml:space="preserve"> </w:t>
      </w:r>
      <w:r>
        <w:rPr>
          <w:rFonts w:ascii="Times New Roman;serif" w:hAnsi="Times New Roman;serif"/>
          <w:b w:val="false"/>
          <w:sz w:val="12"/>
        </w:rPr>
        <w:t>million, respectively</w:t>
      </w:r>
    </w:p>
    <w:p>
      <w:pPr>
        <w:pStyle w:val="TextBody"/>
        <w:bidi w:val="0"/>
        <w:spacing w:before="4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Below are the consolidated statements of operations for PSLF ($ in thousands):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944"/>
        <w:gridCol w:w="146"/>
        <w:gridCol w:w="234"/>
        <w:gridCol w:w="720"/>
        <w:gridCol w:w="198"/>
        <w:gridCol w:w="174"/>
        <w:gridCol w:w="234"/>
        <w:gridCol w:w="684"/>
        <w:gridCol w:w="166"/>
        <w:gridCol w:w="146"/>
        <w:gridCol w:w="222"/>
        <w:gridCol w:w="682"/>
        <w:gridCol w:w="188"/>
        <w:gridCol w:w="165"/>
        <w:gridCol w:w="222"/>
        <w:gridCol w:w="682"/>
        <w:gridCol w:w="398"/>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398" w:type="dxa"/>
            <w:tcBorders/>
            <w:vAlign w:val="center"/>
          </w:tcPr>
          <w:p>
            <w:pPr>
              <w:pStyle w:val="TableContents"/>
              <w:bidi w:val="0"/>
              <w:spacing w:before="0" w:after="0"/>
              <w:ind w:left="0" w:right="0" w:hanging="0"/>
              <w:jc w:val="center"/>
              <w:rPr/>
            </w:pPr>
            <w:r>
              <w:rPr/>
              <w:t> </w:t>
            </w:r>
          </w:p>
        </w:tc>
      </w:tr>
      <w:tr>
        <w:trPr/>
        <w:tc>
          <w:tcPr>
            <w:tcW w:w="4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firstLine="200"/>
              <w:jc w:val="righ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22,848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62,916</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23,759</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1,270</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23,270</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64,186</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23,919</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firstLine="200"/>
              <w:jc w:val="righ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 on credit facility and asset-backed debt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9,798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26,487</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5,838</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 on notes to members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5,397</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15,123</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7,861</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Administration fees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513</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1,733</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879</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335</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15,902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43,828</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14,913</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7,368</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20,358</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9,006</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hanging="0"/>
              <w:jc w:val="righ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w:t>
            </w:r>
          </w:p>
        </w:tc>
        <w:tc>
          <w:tcPr>
            <w:tcW w:w="398" w:type="dxa"/>
            <w:tcBorders/>
            <w:vAlign w:val="center"/>
          </w:tcPr>
          <w:p>
            <w:pPr>
              <w:pStyle w:val="TableContents"/>
              <w:bidi w:val="0"/>
              <w:spacing w:before="0" w:after="0"/>
              <w:ind w:left="0" w:right="0" w:hanging="0"/>
              <w:jc w:val="lef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(3,934</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(4,357</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 (loss) from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1,640</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(3,956</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(3,851</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members' equity resulting from operations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9,008</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16,402</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5,155</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w:t>
      </w:r>
    </w:p>
    <w:p>
      <w:pPr>
        <w:pStyle w:val="TextBody"/>
        <w:bidi w:val="0"/>
        <w:spacing w:before="0" w:after="0"/>
        <w:jc w:val="left"/>
        <w:rPr>
          <w:rFonts w:ascii="Times New Roman" w:hAnsi="Times New Roman"/>
          <w:sz w:val="20"/>
        </w:rPr>
      </w:pPr>
      <w:r>
        <w:rPr>
          <w:rFonts w:ascii="Times New Roman;serif" w:hAnsi="Times New Roman;serif"/>
          <w:b w:val="false"/>
          <w:sz w:val="8"/>
        </w:rPr>
        <w:t xml:space="preserve">(*) </w:t>
      </w:r>
      <w:r>
        <w:rPr>
          <w:rFonts w:ascii="Times New Roman;serif" w:hAnsi="Times New Roman;serif"/>
          <w:b w:val="false"/>
          <w:sz w:val="12"/>
        </w:rPr>
        <w:t>No management or incentive fees are payable by PSLF.</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5. FAIR VALUE OF FINANCIAL INSTRUMENTS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ASC 820 classifies the inputs used to measure these fair values into the following hierarchies: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80"/>
        <w:gridCol w:w="9433"/>
        <w:gridCol w:w="192"/>
      </w:tblGrid>
      <w:tr>
        <w:trPr/>
        <w:tc>
          <w:tcPr>
            <w:tcW w:w="580" w:type="dxa"/>
            <w:tcBorders/>
            <w:vAlign w:val="center"/>
          </w:tcPr>
          <w:p>
            <w:pPr>
              <w:pStyle w:val="TableContents"/>
              <w:bidi w:val="0"/>
              <w:spacing w:before="0" w:after="283"/>
              <w:jc w:val="left"/>
              <w:rPr>
                <w:sz w:val="4"/>
                <w:szCs w:val="4"/>
              </w:rPr>
            </w:pPr>
            <w:r>
              <w:rPr>
                <w:sz w:val="4"/>
                <w:szCs w:val="4"/>
              </w:rPr>
            </w:r>
          </w:p>
        </w:tc>
        <w:tc>
          <w:tcPr>
            <w:tcW w:w="94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8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1:</w:t>
            </w:r>
          </w:p>
        </w:tc>
        <w:tc>
          <w:tcPr>
            <w:tcW w:w="943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quoted prices (unadjusted) in active markets for identical assets or liabilities, accessible by us at the measurement date.</w:t>
            </w:r>
          </w:p>
          <w:p>
            <w:pPr>
              <w:pStyle w:val="TableContents"/>
              <w:bidi w:val="0"/>
              <w:spacing w:before="0" w:after="0"/>
              <w:ind w:left="0" w:right="0" w:hanging="0"/>
              <w:jc w:val="both"/>
              <w:rPr/>
            </w:pPr>
            <w:r>
              <w:rPr/>
              <w:t> </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2:</w:t>
            </w:r>
          </w:p>
        </w:tc>
        <w:tc>
          <w:tcPr>
            <w:tcW w:w="943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ableContents"/>
              <w:bidi w:val="0"/>
              <w:spacing w:before="0" w:after="0"/>
              <w:ind w:left="0" w:right="0" w:hanging="0"/>
              <w:jc w:val="both"/>
              <w:rPr/>
            </w:pPr>
            <w:r>
              <w:rPr/>
              <w:t> </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3:</w:t>
            </w:r>
          </w:p>
        </w:tc>
        <w:tc>
          <w:tcPr>
            <w:tcW w:w="943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unobservable for an asset or liability because they are based on our own assumptions about how market participants would price the asset or liability.</w:t>
            </w:r>
          </w:p>
          <w:p>
            <w:pPr>
              <w:pStyle w:val="TableContents"/>
              <w:bidi w:val="0"/>
              <w:spacing w:before="0" w:after="0"/>
              <w:ind w:left="0" w:right="0" w:hanging="0"/>
              <w:jc w:val="both"/>
              <w:rPr/>
            </w:pPr>
            <w:r>
              <w:rPr/>
              <w:t> </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bl>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A financial instrument’s categorization within the valuation hierarchy is based upon the lowest level of input that is significant to the fair value measurement. Generally, most of our investments, our Credit Facility and our SBA debentures are classified as Level 3. Our 2026 Notes and 2026 Notes-2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 review of fair value hierarchy classifications is conducted on a quarterly basis. Changes in our ability to observe valuation inputs may result in a reclassification for certain financial assets or liabilities.</w:t>
      </w:r>
      <w:r>
        <w:rPr>
          <w:rFonts w:ascii="Times New Roman" w:hAnsi="Times New Roman"/>
          <w:sz w:val="20"/>
        </w:rPr>
        <w:t xml:space="preserve"> </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In addition to using the above inputs to value cash equivalents, investments, our SBA debentures, our 2026 Notes, our 2026 Notes -2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remainder of our investment portfolio and our long-term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discount for lack of marketability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Level 3 valuation techniques, unobservable inputs and ranges were categorized as follows for ASC 820 purposes:</w:t>
      </w:r>
    </w:p>
    <w:p>
      <w:pPr>
        <w:pStyle w:val="TextBody"/>
        <w:bidi w:val="0"/>
        <w:spacing w:before="0" w:after="0"/>
        <w:jc w:val="both"/>
        <w:rPr/>
      </w:pPr>
      <w:r>
        <w:rPr/>
        <w:t> </w:t>
      </w:r>
    </w:p>
    <w:tbl>
      <w:tblPr>
        <w:tblW w:w="10169" w:type="dxa"/>
        <w:jc w:val="left"/>
        <w:tblInd w:w="0" w:type="dxa"/>
        <w:tblLayout w:type="fixed"/>
        <w:tblCellMar>
          <w:top w:w="28" w:type="dxa"/>
          <w:left w:w="28" w:type="dxa"/>
          <w:bottom w:w="28" w:type="dxa"/>
          <w:right w:w="28" w:type="dxa"/>
        </w:tblCellMar>
      </w:tblPr>
      <w:tblGrid>
        <w:gridCol w:w="2596"/>
        <w:gridCol w:w="146"/>
        <w:gridCol w:w="215"/>
        <w:gridCol w:w="910"/>
        <w:gridCol w:w="146"/>
        <w:gridCol w:w="146"/>
        <w:gridCol w:w="1801"/>
        <w:gridCol w:w="146"/>
        <w:gridCol w:w="2101"/>
        <w:gridCol w:w="146"/>
        <w:gridCol w:w="18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 Category ($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at </w:t>
              <w:br/>
              <w:t>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 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 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Range of Input</w:t>
              <w:br/>
              <w:t>(Weighted Average)</w:t>
            </w:r>
            <w:r>
              <w:rPr>
                <w:rFonts w:ascii="Times New Roman" w:hAnsi="Times New Roman"/>
                <w:sz w:val="16"/>
              </w:rPr>
              <w:t> </w:t>
            </w:r>
            <w:r>
              <w:rPr>
                <w:rFonts w:ascii="Times New Roman;serif" w:hAnsi="Times New Roman;serif"/>
                <w:b/>
                <w:sz w:val="11"/>
              </w:rPr>
              <w:t>(1)</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center"/>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34,045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Broker/Dealer bids or quotes</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556,476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7.0% - 16.2% (10.8%)</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Broker/Dealer bids or quotes</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13.0% - 21.2% (15.0%)</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 / corporate notes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154,726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13.3% - 18.7% (14.1%)</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158,108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0.3x - 18.8x (11.0x)</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6,571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t>DLOM</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firstLine="400"/>
              <w:jc w:val="center"/>
              <w:rPr>
                <w:rFonts w:ascii="Times New Roman;serif" w:hAnsi="Times New Roman;serif"/>
                <w:b w:val="false"/>
                <w:sz w:val="16"/>
              </w:rPr>
            </w:pPr>
            <w:r>
              <w:rPr>
                <w:rFonts w:ascii="Times New Roman;serif" w:hAnsi="Times New Roman;serif"/>
                <w:b w:val="false"/>
                <w:sz w:val="16"/>
              </w:rPr>
              <w:t>21.7%</w:t>
            </w:r>
          </w:p>
        </w:tc>
      </w:tr>
      <w:tr>
        <w:trPr/>
        <w:tc>
          <w:tcPr>
            <w:tcW w:w="2596"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Level 3 investments</w:t>
            </w:r>
          </w:p>
        </w:tc>
        <w:tc>
          <w:tcPr>
            <w:tcW w:w="146" w:type="dxa"/>
            <w:tcBorders/>
            <w:vAlign w:val="center"/>
          </w:tcPr>
          <w:p>
            <w:pPr>
              <w:pStyle w:val="TableContents"/>
              <w:bidi w:val="0"/>
              <w:spacing w:before="0" w:after="0"/>
              <w:ind w:left="0" w:right="0" w:hanging="0"/>
              <w:jc w:val="left"/>
              <w:rPr/>
            </w:pPr>
            <w:r>
              <w:rPr/>
              <w:t> </w:t>
            </w:r>
          </w:p>
        </w:tc>
        <w:tc>
          <w:tcPr>
            <w:tcW w:w="21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1,004,736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pPr>
            <w:r>
              <w:rPr/>
              <w:t> </w:t>
            </w:r>
          </w:p>
        </w:tc>
      </w:tr>
      <w:tr>
        <w:trPr/>
        <w:tc>
          <w:tcPr>
            <w:tcW w:w="25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Debt Category</w:t>
            </w:r>
            <w:r>
              <w:rPr>
                <w:rFonts w:ascii="Times New Roman" w:hAnsi="Times New Roman"/>
                <w:sz w:val="16"/>
              </w:rPr>
              <w:t>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pPr>
            <w:r>
              <w:rPr/>
              <w:t> </w:t>
            </w:r>
          </w:p>
        </w:tc>
      </w:tr>
      <w:tr>
        <w:trPr/>
        <w:tc>
          <w:tcPr>
            <w:tcW w:w="25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Truist Credit Facility</w:t>
            </w:r>
          </w:p>
        </w:tc>
        <w:tc>
          <w:tcPr>
            <w:tcW w:w="146" w:type="dxa"/>
            <w:tcBorders/>
            <w:vAlign w:val="center"/>
          </w:tcPr>
          <w:p>
            <w:pPr>
              <w:pStyle w:val="TableContents"/>
              <w:bidi w:val="0"/>
              <w:spacing w:before="0" w:after="0"/>
              <w:ind w:left="0" w:right="0" w:hanging="0"/>
              <w:jc w:val="left"/>
              <w:rPr/>
            </w:pPr>
            <w:r>
              <w:rPr/>
              <w:t> </w:t>
            </w:r>
          </w:p>
        </w:tc>
        <w:tc>
          <w:tcPr>
            <w:tcW w:w="2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101"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2.6%</w:t>
            </w:r>
          </w:p>
        </w:tc>
      </w:tr>
    </w:tbl>
    <w:p>
      <w:pPr>
        <w:pStyle w:val="TextBody"/>
        <w:pBdr>
          <w:bottom w:val="single" w:sz="2" w:space="1" w:color="000000"/>
        </w:pBdr>
        <w:bidi w:val="0"/>
        <w:spacing w:before="0" w:after="0"/>
        <w:jc w:val="left"/>
        <w:rPr/>
      </w:pPr>
      <w:r>
        <w:rPr/>
        <w:t> </w:t>
      </w:r>
    </w:p>
    <w:p>
      <w:pPr>
        <w:pStyle w:val="TextBody"/>
        <w:bidi w:val="0"/>
        <w:spacing w:before="40" w:after="0"/>
        <w:jc w:val="left"/>
        <w:rPr>
          <w:rFonts w:ascii="Times New Roman" w:hAnsi="Times New Roman"/>
          <w:b w:val="false"/>
          <w:sz w:val="12"/>
        </w:rPr>
      </w:pPr>
      <w:r>
        <w:rPr>
          <w:rFonts w:ascii="Times New Roman" w:hAnsi="Times New Roman"/>
          <w:b w:val="false"/>
          <w:sz w:val="12"/>
        </w:rPr>
        <w:t>(1)</w:t>
      </w:r>
    </w:p>
    <w:p>
      <w:pPr>
        <w:pStyle w:val="TextBody"/>
        <w:bidi w:val="0"/>
        <w:spacing w:before="40" w:after="0"/>
        <w:jc w:val="left"/>
        <w:rPr>
          <w:rFonts w:ascii="Times New Roman;serif" w:hAnsi="Times New Roman;serif"/>
          <w:b w:val="false"/>
          <w:sz w:val="12"/>
        </w:rPr>
      </w:pPr>
      <w:r>
        <w:rPr>
          <w:rFonts w:ascii="Times New Roman;serif" w:hAnsi="Times New Roman;serif"/>
          <w:b w:val="false"/>
          <w:sz w:val="12"/>
        </w:rPr>
        <w:t>The weighted averages disclosed in the table above were weighted by their relative fair value.</w:t>
      </w:r>
    </w:p>
    <w:p>
      <w:pPr>
        <w:pStyle w:val="TextBody"/>
        <w:bidi w:val="0"/>
        <w:spacing w:before="40" w:after="0"/>
        <w:jc w:val="left"/>
        <w:rPr>
          <w:rFonts w:ascii="Times New Roman" w:hAnsi="Times New Roman"/>
          <w:b w:val="false"/>
          <w:sz w:val="12"/>
        </w:rPr>
      </w:pPr>
      <w:r>
        <w:rPr>
          <w:rFonts w:ascii="Times New Roman" w:hAnsi="Times New Roman"/>
          <w:b w:val="false"/>
          <w:sz w:val="12"/>
        </w:rPr>
        <w:t>(2)</w:t>
      </w:r>
    </w:p>
    <w:p>
      <w:pPr>
        <w:pStyle w:val="TextBody"/>
        <w:bidi w:val="0"/>
        <w:spacing w:before="40" w:after="283"/>
        <w:jc w:val="left"/>
        <w:rPr>
          <w:rFonts w:ascii="Times New Roman;serif" w:hAnsi="Times New Roman;serif"/>
          <w:b w:val="false"/>
          <w:sz w:val="12"/>
        </w:rPr>
      </w:pPr>
      <w:r>
        <w:rPr>
          <w:rFonts w:ascii="Times New Roman;serif" w:hAnsi="Times New Roman;serif"/>
          <w:b w:val="false"/>
          <w:sz w:val="12"/>
        </w:rPr>
        <w:t>DLOM is defined as discount for lack of marketability.</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464"/>
        <w:gridCol w:w="146"/>
        <w:gridCol w:w="287"/>
        <w:gridCol w:w="1213"/>
        <w:gridCol w:w="146"/>
        <w:gridCol w:w="146"/>
        <w:gridCol w:w="1728"/>
        <w:gridCol w:w="146"/>
        <w:gridCol w:w="2015"/>
        <w:gridCol w:w="146"/>
        <w:gridCol w:w="1768"/>
      </w:tblGrid>
      <w:tr>
        <w:trPr/>
        <w:tc>
          <w:tcPr>
            <w:tcW w:w="2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r>
      <w:tr>
        <w:trPr/>
        <w:tc>
          <w:tcPr>
            <w:tcW w:w="2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 xml:space="preserve">Asset Category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Fair value at </w:t>
              <w:br/>
              <w:t>September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72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Valuation Technique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01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Unobservable Input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6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Range of Input</w:t>
              <w:br/>
              <w:t xml:space="preserve">(Weighted Average) </w:t>
            </w:r>
            <w:r>
              <w:rPr>
                <w:rFonts w:ascii="Times New Roman;serif" w:hAnsi="Times New Roman;serif"/>
                <w:b/>
                <w:sz w:val="11"/>
              </w:rPr>
              <w:t>(1)</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center"/>
              <w:rPr/>
            </w:pPr>
            <w:r>
              <w:rPr/>
              <w:t> </w:t>
            </w:r>
          </w:p>
        </w:tc>
        <w:tc>
          <w:tcPr>
            <w:tcW w:w="28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44,530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center"/>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Broker/Dealer bids or quotes</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569,488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7.0% – 20.2% (10.8%)</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14.0x</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Broker/Dealer bids or quotes</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108,336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13.3% – 17.0% (14.4%)</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6.0x</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 / corporate notes</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141,265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10.8x – 17.2x (12.3x)</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 </w:t>
            </w:r>
          </w:p>
        </w:tc>
        <w:tc>
          <w:tcPr>
            <w:tcW w:w="121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215,131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EBITDA multiple</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3.3x – 21.4x (9.1x)</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42,031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Enterprise Market Value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val="false"/>
                <w:sz w:val="16"/>
              </w:rPr>
              <w:t>DLOM</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firstLine="200"/>
              <w:jc w:val="center"/>
              <w:rPr>
                <w:rFonts w:ascii="Times New Roman;serif" w:hAnsi="Times New Roman;serif"/>
                <w:b w:val="false"/>
                <w:sz w:val="16"/>
              </w:rPr>
            </w:pPr>
            <w:r>
              <w:rPr>
                <w:rFonts w:ascii="Times New Roman;serif" w:hAnsi="Times New Roman;serif"/>
                <w:b w:val="false"/>
                <w:sz w:val="16"/>
              </w:rPr>
              <w:t>11.8</w:t>
            </w:r>
          </w:p>
        </w:tc>
      </w:tr>
      <w:tr>
        <w:trPr/>
        <w:tc>
          <w:tcPr>
            <w:tcW w:w="246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Total Level 3 investments</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1,159,327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r>
      <w:tr>
        <w:trPr/>
        <w:tc>
          <w:tcPr>
            <w:tcW w:w="246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 xml:space="preserve">Debt Category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50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pPr>
            <w:r>
              <w:rPr/>
              <w:t> </w:t>
            </w:r>
          </w:p>
        </w:tc>
      </w:tr>
      <w:tr>
        <w:trPr/>
        <w:tc>
          <w:tcPr>
            <w:tcW w:w="246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Truist Credit Facility</w:t>
            </w:r>
          </w:p>
        </w:tc>
        <w:tc>
          <w:tcPr>
            <w:tcW w:w="146" w:type="dxa"/>
            <w:tcBorders/>
            <w:vAlign w:val="center"/>
          </w:tcPr>
          <w:p>
            <w:pPr>
              <w:pStyle w:val="TableContents"/>
              <w:bidi w:val="0"/>
              <w:spacing w:before="0" w:after="0"/>
              <w:ind w:left="0" w:right="0" w:hanging="0"/>
              <w:jc w:val="left"/>
              <w:rPr/>
            </w:pPr>
            <w:r>
              <w:rPr/>
              <w:t> </w:t>
            </w:r>
          </w:p>
        </w:tc>
        <w:tc>
          <w:tcPr>
            <w:tcW w:w="28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376,687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2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Comparable</w:t>
            </w:r>
          </w:p>
        </w:tc>
        <w:tc>
          <w:tcPr>
            <w:tcW w:w="146" w:type="dxa"/>
            <w:tcBorders/>
            <w:vAlign w:val="center"/>
          </w:tcPr>
          <w:p>
            <w:pPr>
              <w:pStyle w:val="TableContents"/>
              <w:bidi w:val="0"/>
              <w:spacing w:before="0" w:after="0"/>
              <w:ind w:left="0" w:right="0" w:hanging="0"/>
              <w:jc w:val="left"/>
              <w:rPr/>
            </w:pPr>
            <w:r>
              <w:rPr/>
              <w:t> </w:t>
            </w:r>
          </w:p>
        </w:tc>
        <w:tc>
          <w:tcPr>
            <w:tcW w:w="2015"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Market yield</w:t>
            </w:r>
          </w:p>
        </w:tc>
        <w:tc>
          <w:tcPr>
            <w:tcW w:w="146" w:type="dxa"/>
            <w:tcBorders/>
            <w:vAlign w:val="center"/>
          </w:tcPr>
          <w:p>
            <w:pPr>
              <w:pStyle w:val="TableContents"/>
              <w:bidi w:val="0"/>
              <w:spacing w:before="0" w:after="0"/>
              <w:ind w:left="0" w:right="0" w:hanging="0"/>
              <w:jc w:val="left"/>
              <w:rPr/>
            </w:pPr>
            <w:r>
              <w:rPr/>
              <w:t> </w:t>
            </w:r>
          </w:p>
        </w:tc>
        <w:tc>
          <w:tcPr>
            <w:tcW w:w="1768"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2.4%</w:t>
            </w:r>
          </w:p>
        </w:tc>
      </w:tr>
    </w:tbl>
    <w:p>
      <w:pPr>
        <w:pStyle w:val="TextBody"/>
        <w:pBdr>
          <w:bottom w:val="single" w:sz="2" w:space="1" w:color="000000"/>
        </w:pBdr>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val="false"/>
          <w:sz w:val="12"/>
        </w:rPr>
      </w:pPr>
      <w:r>
        <w:rPr>
          <w:rFonts w:ascii="Times New Roman" w:hAnsi="Times New Roman"/>
          <w:b w:val="false"/>
          <w:sz w:val="12"/>
        </w:rPr>
        <w:t>1.</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The weighted averages disclosed in the table above were weighted by their relative fair value.</w:t>
      </w:r>
    </w:p>
    <w:p>
      <w:pPr>
        <w:pStyle w:val="TextBody"/>
        <w:bidi w:val="0"/>
        <w:spacing w:before="0" w:after="0"/>
        <w:jc w:val="left"/>
        <w:rPr>
          <w:rFonts w:ascii="Times New Roman" w:hAnsi="Times New Roman"/>
          <w:b w:val="false"/>
          <w:sz w:val="12"/>
        </w:rPr>
      </w:pPr>
      <w:r>
        <w:rPr>
          <w:rFonts w:ascii="Times New Roman" w:hAnsi="Times New Roman"/>
          <w:b w:val="false"/>
          <w:sz w:val="12"/>
        </w:rPr>
        <w:t>2.</w:t>
      </w:r>
    </w:p>
    <w:p>
      <w:pPr>
        <w:pStyle w:val="TextBody"/>
        <w:bidi w:val="0"/>
        <w:jc w:val="left"/>
        <w:rPr>
          <w:rFonts w:ascii="Times New Roman;serif" w:hAnsi="Times New Roman;serif"/>
          <w:b w:val="false"/>
          <w:sz w:val="12"/>
        </w:rPr>
      </w:pPr>
      <w:r>
        <w:rPr>
          <w:rFonts w:ascii="Times New Roman;serif" w:hAnsi="Times New Roman;serif"/>
          <w:b w:val="false"/>
          <w:sz w:val="12"/>
        </w:rPr>
        <w:t>DLOM is defined as discount for lack of marketability.</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investments, cash and cash equivalents, Truist Credit Facility, SBA debentures, 2024 Notes, 2026 Notes and 2026 Notes-2 were categorized as follows in the fair value hierarchy:</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735"/>
        <w:gridCol w:w="146"/>
        <w:gridCol w:w="196"/>
        <w:gridCol w:w="826"/>
        <w:gridCol w:w="146"/>
        <w:gridCol w:w="146"/>
        <w:gridCol w:w="196"/>
        <w:gridCol w:w="601"/>
        <w:gridCol w:w="146"/>
        <w:gridCol w:w="146"/>
        <w:gridCol w:w="196"/>
        <w:gridCol w:w="691"/>
        <w:gridCol w:w="146"/>
        <w:gridCol w:w="146"/>
        <w:gridCol w:w="196"/>
        <w:gridCol w:w="826"/>
        <w:gridCol w:w="146"/>
        <w:gridCol w:w="146"/>
        <w:gridCol w:w="450"/>
        <w:gridCol w:w="1385"/>
        <w:gridCol w:w="593"/>
      </w:tblGrid>
      <w:tr>
        <w:trPr/>
        <w:tc>
          <w:tcPr>
            <w:tcW w:w="2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1"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June 30, 2023</w:t>
            </w:r>
          </w:p>
        </w:tc>
        <w:tc>
          <w:tcPr>
            <w:tcW w:w="593" w:type="dxa"/>
            <w:tcBorders/>
            <w:vAlign w:val="center"/>
          </w:tcPr>
          <w:p>
            <w:pPr>
              <w:pStyle w:val="TableContents"/>
              <w:bidi w:val="0"/>
              <w:spacing w:before="0" w:after="0"/>
              <w:ind w:left="0" w:right="0" w:hanging="0"/>
              <w:jc w:val="center"/>
              <w:rPr/>
            </w:pPr>
            <w:r>
              <w:rPr/>
              <w:t> </w:t>
            </w:r>
          </w:p>
        </w:tc>
      </w:tr>
      <w:tr>
        <w:trPr/>
        <w:tc>
          <w:tcPr>
            <w:tcW w:w="2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Description</w:t>
            </w:r>
            <w:r>
              <w:rPr>
                <w:rFonts w:ascii="Times New Roman" w:hAnsi="Times New Roman"/>
                <w:sz w:val="16"/>
              </w:rPr>
              <w:t>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Measured at Net Asset Value</w:t>
            </w:r>
            <w:r>
              <w:rPr>
                <w:rFonts w:ascii="Times New Roman" w:hAnsi="Times New Roman"/>
                <w:sz w:val="16"/>
              </w:rPr>
              <w:t> </w:t>
            </w:r>
            <w:r>
              <w:rPr>
                <w:rFonts w:ascii="Times New Roman;serif" w:hAnsi="Times New Roman;serif"/>
                <w:b/>
                <w:sz w:val="11"/>
              </w:rPr>
              <w:t>(1)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840,057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235,823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164,679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71,144</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35"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1,075,880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1,004,736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71,144</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35"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 and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1,099,500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23,620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1,004,736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71,144</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Truist Credit Facility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2026 Notes</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147,443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147,443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2026 Notes-2</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162,013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162,013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35"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debt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617,117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309,456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65"/>
        <w:gridCol w:w="9940"/>
      </w:tblGrid>
      <w:tr>
        <w:trPr/>
        <w:tc>
          <w:tcPr>
            <w:tcW w:w="265" w:type="dxa"/>
            <w:tcBorders/>
            <w:vAlign w:val="center"/>
          </w:tcPr>
          <w:p>
            <w:pPr>
              <w:pStyle w:val="TableContents"/>
              <w:bidi w:val="0"/>
              <w:spacing w:before="0" w:after="283"/>
              <w:jc w:val="left"/>
              <w:rPr>
                <w:sz w:val="4"/>
                <w:szCs w:val="4"/>
              </w:rPr>
            </w:pPr>
            <w:r>
              <w:rPr>
                <w:sz w:val="4"/>
                <w:szCs w:val="4"/>
              </w:rPr>
            </w:r>
          </w:p>
        </w:tc>
        <w:tc>
          <w:tcPr>
            <w:tcW w:w="9940" w:type="dxa"/>
            <w:tcBorders/>
            <w:vAlign w:val="center"/>
          </w:tcPr>
          <w:p>
            <w:pPr>
              <w:pStyle w:val="TableContents"/>
              <w:bidi w:val="0"/>
              <w:spacing w:before="0" w:after="283"/>
              <w:jc w:val="left"/>
              <w:rPr>
                <w:sz w:val="4"/>
                <w:szCs w:val="4"/>
              </w:rPr>
            </w:pPr>
            <w:r>
              <w:rPr>
                <w:sz w:val="4"/>
                <w:szCs w:val="4"/>
              </w:rPr>
            </w:r>
          </w:p>
        </w:tc>
      </w:tr>
      <w:tr>
        <w:trPr/>
        <w:tc>
          <w:tcPr>
            <w:tcW w:w="2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(1)</w:t>
            </w:r>
          </w:p>
        </w:tc>
        <w:tc>
          <w:tcPr>
            <w:tcW w:w="994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In accordance with ASC Subtopic 820-10, Fair Value Measurements and Disclosures, or ASC 820-10, our equity investment in PSLF and PTSF II are measured using the net asset value per share (or its equivalent) as a practical expedient for fair value, and thus has not been classified in the fair value hierarchy.</w:t>
            </w:r>
          </w:p>
        </w:tc>
      </w:tr>
      <w:tr>
        <w:trPr/>
        <w:tc>
          <w:tcPr>
            <w:tcW w:w="26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994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13"/>
              </w:rPr>
            </w:pPr>
            <w:r>
              <w:rPr>
                <w:rFonts w:ascii="Times New Roman;serif" w:hAnsi="Times New Roman;serif"/>
                <w:b w:val="false"/>
                <w:sz w:val="13"/>
              </w:rPr>
              <w:t>We elected not to apply ASC 825-10 to the 2026 Notes and the 2026 Notes-2, and thus the balance reported in the Consolidated Statement of Assets and Liabilities represents the carrying value.</w:t>
            </w:r>
            <w:r>
              <w:rPr>
                <w:rFonts w:ascii="Times New Roman" w:hAnsi="Times New Roman"/>
                <w:sz w:val="13"/>
              </w:rPr>
              <w:t xml:space="preserve"> </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735"/>
        <w:gridCol w:w="146"/>
        <w:gridCol w:w="196"/>
        <w:gridCol w:w="826"/>
        <w:gridCol w:w="146"/>
        <w:gridCol w:w="146"/>
        <w:gridCol w:w="196"/>
        <w:gridCol w:w="601"/>
        <w:gridCol w:w="146"/>
        <w:gridCol w:w="146"/>
        <w:gridCol w:w="196"/>
        <w:gridCol w:w="691"/>
        <w:gridCol w:w="146"/>
        <w:gridCol w:w="146"/>
        <w:gridCol w:w="196"/>
        <w:gridCol w:w="826"/>
        <w:gridCol w:w="146"/>
        <w:gridCol w:w="146"/>
        <w:gridCol w:w="450"/>
        <w:gridCol w:w="1385"/>
        <w:gridCol w:w="593"/>
      </w:tblGrid>
      <w:tr>
        <w:trPr/>
        <w:tc>
          <w:tcPr>
            <w:tcW w:w="2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731" w:type="dxa"/>
            <w:gridSpan w:val="18"/>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 at September 30, 2022</w:t>
            </w:r>
          </w:p>
        </w:tc>
        <w:tc>
          <w:tcPr>
            <w:tcW w:w="593" w:type="dxa"/>
            <w:tcBorders/>
            <w:vAlign w:val="center"/>
          </w:tcPr>
          <w:p>
            <w:pPr>
              <w:pStyle w:val="TableContents"/>
              <w:bidi w:val="0"/>
              <w:spacing w:before="0" w:after="0"/>
              <w:ind w:left="0" w:right="0" w:hanging="0"/>
              <w:jc w:val="center"/>
              <w:rPr/>
            </w:pPr>
            <w:r>
              <w:rPr/>
              <w:t> </w:t>
            </w:r>
          </w:p>
        </w:tc>
      </w:tr>
      <w:tr>
        <w:trPr/>
        <w:tc>
          <w:tcPr>
            <w:tcW w:w="27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Description</w:t>
            </w:r>
            <w:r>
              <w:rPr>
                <w:rFonts w:ascii="Times New Roman" w:hAnsi="Times New Roman"/>
                <w:sz w:val="16"/>
              </w:rPr>
              <w:t>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83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Measured at Net Asset Value</w:t>
            </w:r>
            <w:r>
              <w:rPr>
                <w:rFonts w:ascii="Times New Roman" w:hAnsi="Times New Roman"/>
                <w:sz w:val="16"/>
              </w:rPr>
              <w:t> </w:t>
            </w:r>
            <w:r>
              <w:rPr>
                <w:rFonts w:ascii="Times New Roman;serif" w:hAnsi="Times New Roman;serif"/>
                <w:b/>
                <w:sz w:val="11"/>
              </w:rPr>
              <w:t>(1)</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Debt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902,165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902,165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Equity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324,136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257,162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66,670</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35"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1,226,301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1,159,327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66,670</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52,666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52,666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35"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investments and cash and cash equivalents</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1,278,967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52,970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1,159,327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66,670</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Truist Credit Facility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SBA Debentures </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2026 Notes </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146,767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vAlign w:val="center"/>
          </w:tcPr>
          <w:p>
            <w:pPr>
              <w:pStyle w:val="TableContents"/>
              <w:bidi w:val="0"/>
              <w:spacing w:before="0" w:after="0"/>
              <w:ind w:left="0" w:right="0" w:hanging="0"/>
              <w:jc w:val="left"/>
              <w:rPr/>
            </w:pPr>
            <w:r>
              <w:rPr/>
              <w:t> </w:t>
            </w:r>
          </w:p>
        </w:tc>
        <w:tc>
          <w:tcPr>
            <w:tcW w:w="1385" w:type="dxa"/>
            <w:tcBorders/>
            <w:vAlign w:val="center"/>
          </w:tcPr>
          <w:p>
            <w:pPr>
              <w:pStyle w:val="TableContents"/>
              <w:bidi w:val="0"/>
              <w:spacing w:before="0" w:after="0"/>
              <w:ind w:left="0" w:right="0" w:hanging="0"/>
              <w:jc w:val="right"/>
              <w:rPr/>
            </w:pPr>
            <w:r>
              <w:rPr/>
              <w:t>—</w:t>
            </w:r>
          </w:p>
        </w:tc>
        <w:tc>
          <w:tcPr>
            <w:tcW w:w="593" w:type="dxa"/>
            <w:tcBorders/>
            <w:vAlign w:val="center"/>
          </w:tcPr>
          <w:p>
            <w:pPr>
              <w:pStyle w:val="TableContents"/>
              <w:bidi w:val="0"/>
              <w:spacing w:before="0" w:after="0"/>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2026-2 Notes </w:t>
            </w:r>
            <w:r>
              <w:rPr>
                <w:rFonts w:ascii="Times New Roman;serif" w:hAnsi="Times New Roman;serif"/>
                <w:b w:val="false"/>
                <w:sz w:val="11"/>
              </w:rPr>
              <w:t>(2)</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161,373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161,373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2735"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Total debt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704,513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308,140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396,373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3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64"/>
        <w:gridCol w:w="9941"/>
      </w:tblGrid>
      <w:tr>
        <w:trPr/>
        <w:tc>
          <w:tcPr>
            <w:tcW w:w="264" w:type="dxa"/>
            <w:tcBorders/>
            <w:vAlign w:val="center"/>
          </w:tcPr>
          <w:p>
            <w:pPr>
              <w:pStyle w:val="TableContents"/>
              <w:bidi w:val="0"/>
              <w:spacing w:before="0" w:after="283"/>
              <w:jc w:val="left"/>
              <w:rPr>
                <w:sz w:val="4"/>
                <w:szCs w:val="4"/>
              </w:rPr>
            </w:pPr>
            <w:r>
              <w:rPr>
                <w:sz w:val="4"/>
                <w:szCs w:val="4"/>
              </w:rPr>
            </w:r>
          </w:p>
        </w:tc>
        <w:tc>
          <w:tcPr>
            <w:tcW w:w="9941" w:type="dxa"/>
            <w:tcBorders/>
            <w:vAlign w:val="center"/>
          </w:tcPr>
          <w:p>
            <w:pPr>
              <w:pStyle w:val="TableContents"/>
              <w:bidi w:val="0"/>
              <w:spacing w:before="0" w:after="283"/>
              <w:jc w:val="left"/>
              <w:rPr>
                <w:sz w:val="4"/>
                <w:szCs w:val="4"/>
              </w:rPr>
            </w:pPr>
            <w:r>
              <w:rPr>
                <w:sz w:val="4"/>
                <w:szCs w:val="4"/>
              </w:rPr>
            </w:r>
          </w:p>
        </w:tc>
      </w:tr>
      <w:tr>
        <w:trPr/>
        <w:tc>
          <w:tcPr>
            <w:tcW w:w="26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(1)</w:t>
            </w:r>
          </w:p>
        </w:tc>
        <w:tc>
          <w:tcPr>
            <w:tcW w:w="99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tc>
      </w:tr>
      <w:tr>
        <w:trPr/>
        <w:tc>
          <w:tcPr>
            <w:tcW w:w="26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(2)</w:t>
            </w:r>
          </w:p>
        </w:tc>
        <w:tc>
          <w:tcPr>
            <w:tcW w:w="99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3"/>
              </w:rPr>
            </w:pPr>
            <w:r>
              <w:rPr>
                <w:rFonts w:ascii="Times New Roman;serif" w:hAnsi="Times New Roman;serif"/>
                <w:b w:val="false"/>
                <w:sz w:val="13"/>
              </w:rPr>
              <w:t>We elected not to apply ASC 825-10 to the SBA debentures, the 2026 Notes and the 2026 Notes-2, and thus the balance reported in the Consolidated Statement of Assets and Liabilities represents the carrying value. As of September 30, 2022, the carrying value of the SBA debentures approximates the fair value.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The tables below show a reconciliation of the beginning and ending balances for investments measured at fair value using significant unobservable inputs (Level 3):</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20"/>
        <w:gridCol w:w="146"/>
        <w:gridCol w:w="205"/>
        <w:gridCol w:w="786"/>
        <w:gridCol w:w="166"/>
        <w:gridCol w:w="146"/>
        <w:gridCol w:w="205"/>
        <w:gridCol w:w="786"/>
        <w:gridCol w:w="166"/>
        <w:gridCol w:w="146"/>
        <w:gridCol w:w="196"/>
        <w:gridCol w:w="826"/>
        <w:gridCol w:w="611"/>
      </w:tblGrid>
      <w:tr>
        <w:trPr/>
        <w:tc>
          <w:tcPr>
            <w:tcW w:w="5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2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 2023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Description</w:t>
            </w:r>
            <w:r>
              <w:rPr>
                <w:rFonts w:ascii="Times New Roman" w:hAnsi="Times New Roman"/>
                <w:sz w:val="16"/>
              </w:rPr>
              <w:t>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Debt</w:t>
              <w:br/>
              <w:t>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Totals</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Beginning Balance</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902,165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257,162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1,159,327</w:t>
            </w:r>
          </w:p>
        </w:tc>
        <w:tc>
          <w:tcPr>
            <w:tcW w:w="611" w:type="dxa"/>
            <w:tcBorders/>
            <w:vAlign w:val="center"/>
          </w:tcPr>
          <w:p>
            <w:pPr>
              <w:pStyle w:val="TableContents"/>
              <w:bidi w:val="0"/>
              <w:spacing w:before="0" w:after="0"/>
              <w:ind w:left="0" w:right="0" w:firstLine="400"/>
              <w:jc w:val="left"/>
              <w:rPr/>
            </w:pPr>
            <w:r>
              <w:rPr/>
              <w:t> </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gain (loss)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(17,013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(128,201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(145,214</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9,320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47,121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56,441</w:t>
            </w:r>
          </w:p>
        </w:tc>
        <w:tc>
          <w:tcPr>
            <w:tcW w:w="611" w:type="dxa"/>
            <w:tcBorders/>
            <w:vAlign w:val="center"/>
          </w:tcPr>
          <w:p>
            <w:pPr>
              <w:pStyle w:val="TableContents"/>
              <w:bidi w:val="0"/>
              <w:spacing w:before="0" w:after="0"/>
              <w:ind w:left="0" w:right="0" w:firstLine="400"/>
              <w:jc w:val="left"/>
              <w:rPr/>
            </w:pPr>
            <w:r>
              <w:rPr/>
              <w:t> </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PIK interest, net discount accretion and non-cash exchanges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190,764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22,345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213,109</w:t>
            </w:r>
          </w:p>
        </w:tc>
        <w:tc>
          <w:tcPr>
            <w:tcW w:w="611" w:type="dxa"/>
            <w:tcBorders/>
            <w:vAlign w:val="center"/>
          </w:tcPr>
          <w:p>
            <w:pPr>
              <w:pStyle w:val="TableContents"/>
              <w:bidi w:val="0"/>
              <w:spacing w:before="0" w:after="0"/>
              <w:ind w:left="0" w:right="0" w:firstLine="400"/>
              <w:jc w:val="left"/>
              <w:rPr/>
            </w:pPr>
            <w:r>
              <w:rPr/>
              <w:t> </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Sales, repayments and non-cash exchanges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(245,179</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(33,748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(278,927</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Transfers in/out of Level 3</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Ending Balance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840,057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164,679</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1,004,736</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reported within the net change in</w:t>
              <w:br/>
              <w:t>   unrealized appreciation on investments in our Consolidated Statements of Operations</w:t>
              <w:br/>
              <w:t>   attributable to our Level 3 assets still held at the reporting date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1,974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(35,423</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5820"/>
        <w:gridCol w:w="146"/>
        <w:gridCol w:w="205"/>
        <w:gridCol w:w="786"/>
        <w:gridCol w:w="166"/>
        <w:gridCol w:w="146"/>
        <w:gridCol w:w="205"/>
        <w:gridCol w:w="786"/>
        <w:gridCol w:w="166"/>
        <w:gridCol w:w="146"/>
        <w:gridCol w:w="196"/>
        <w:gridCol w:w="826"/>
        <w:gridCol w:w="611"/>
      </w:tblGrid>
      <w:tr>
        <w:trPr/>
        <w:tc>
          <w:tcPr>
            <w:tcW w:w="5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20"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62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 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Description</w:t>
            </w:r>
            <w:r>
              <w:rPr>
                <w:rFonts w:ascii="Times New Roman" w:hAnsi="Times New Roman"/>
                <w:sz w:val="16"/>
              </w:rPr>
              <w:t> </w:t>
            </w:r>
            <w:r>
              <w:rPr>
                <w:rFonts w:ascii="Times New Roman;serif" w:hAnsi="Times New Roman;serif"/>
                <w:b w:val="false"/>
                <w:sz w:val="16"/>
              </w:rPr>
              <w:t>($ in thousands)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Debt</w:t>
              <w:br/>
              <w:t>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br/>
              <w:t> investments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2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Totals</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8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Beginning Balance</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850,593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360,428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1,211,021</w:t>
            </w:r>
          </w:p>
        </w:tc>
        <w:tc>
          <w:tcPr>
            <w:tcW w:w="611" w:type="dxa"/>
            <w:tcBorders/>
            <w:vAlign w:val="center"/>
          </w:tcPr>
          <w:p>
            <w:pPr>
              <w:pStyle w:val="TableContents"/>
              <w:bidi w:val="0"/>
              <w:spacing w:before="0" w:after="0"/>
              <w:ind w:left="0" w:right="0" w:firstLine="400"/>
              <w:jc w:val="left"/>
              <w:rPr/>
            </w:pPr>
            <w:r>
              <w:rPr/>
              <w:t> </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gain (loss)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(10,046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92,381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82,335</w:t>
            </w:r>
          </w:p>
        </w:tc>
        <w:tc>
          <w:tcPr>
            <w:tcW w:w="611" w:type="dxa"/>
            <w:tcBorders/>
            <w:vAlign w:val="center"/>
          </w:tcPr>
          <w:p>
            <w:pPr>
              <w:pStyle w:val="TableContents"/>
              <w:bidi w:val="0"/>
              <w:spacing w:before="0" w:after="0"/>
              <w:ind w:left="0" w:right="0" w:firstLine="400"/>
              <w:jc w:val="left"/>
              <w:rPr/>
            </w:pPr>
            <w:r>
              <w:rPr/>
              <w:t> </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(18,198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(77,122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(95,320</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Purchases, PIK interest, net discount accretion and non-cash exchanges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746,389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73,925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820,314</w:t>
            </w:r>
          </w:p>
        </w:tc>
        <w:tc>
          <w:tcPr>
            <w:tcW w:w="611" w:type="dxa"/>
            <w:tcBorders/>
            <w:vAlign w:val="center"/>
          </w:tcPr>
          <w:p>
            <w:pPr>
              <w:pStyle w:val="TableContents"/>
              <w:bidi w:val="0"/>
              <w:spacing w:before="0" w:after="0"/>
              <w:ind w:left="0" w:right="0" w:firstLine="400"/>
              <w:jc w:val="left"/>
              <w:rPr/>
            </w:pPr>
            <w:r>
              <w:rPr/>
              <w:t> </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Sales, repayments and non-cash exchanges</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(596,101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vAlign w:val="center"/>
          </w:tcPr>
          <w:p>
            <w:pPr>
              <w:pStyle w:val="TableContents"/>
              <w:bidi w:val="0"/>
              <w:spacing w:before="0" w:after="0"/>
              <w:ind w:left="0" w:right="0" w:hanging="0"/>
              <w:jc w:val="left"/>
              <w:rPr/>
            </w:pPr>
            <w:r>
              <w:rPr/>
              <w:t> </w:t>
            </w:r>
          </w:p>
        </w:tc>
        <w:tc>
          <w:tcPr>
            <w:tcW w:w="78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(176,215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(772,316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820"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Transfers in/out of Level 3</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Ending Balance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972,637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273,397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1,246,034</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8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reported within the net change in</w:t>
              <w:br/>
              <w:t>   unrealized appreciation on investments in our Consolidated Statements of Operations</w:t>
              <w:br/>
              <w:t>   attributable to our Level 3 assets still held at the reporting date</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(13,954</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0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(77,771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2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(91,725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The table below shows a reconciliation of the beginning and ending balances for liabilities measured at fair value using significant unobservable inputs (Level 3):</w:t>
      </w:r>
    </w:p>
    <w:p>
      <w:pPr>
        <w:pStyle w:val="TextBody"/>
        <w:bidi w:val="0"/>
        <w:spacing w:before="0" w:after="0"/>
        <w:jc w:val="left"/>
        <w:rPr/>
      </w:pPr>
      <w:r>
        <w:rPr/>
        <w:t> </w:t>
      </w:r>
    </w:p>
    <w:tbl>
      <w:tblPr>
        <w:tblW w:w="8184" w:type="dxa"/>
        <w:jc w:val="left"/>
        <w:tblInd w:w="0" w:type="dxa"/>
        <w:tblLayout w:type="fixed"/>
        <w:tblCellMar>
          <w:top w:w="28" w:type="dxa"/>
          <w:left w:w="28" w:type="dxa"/>
          <w:bottom w:w="28" w:type="dxa"/>
          <w:right w:w="28" w:type="dxa"/>
        </w:tblCellMar>
      </w:tblPr>
      <w:tblGrid>
        <w:gridCol w:w="5221"/>
        <w:gridCol w:w="146"/>
        <w:gridCol w:w="196"/>
        <w:gridCol w:w="751"/>
        <w:gridCol w:w="166"/>
        <w:gridCol w:w="146"/>
        <w:gridCol w:w="196"/>
        <w:gridCol w:w="751"/>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2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Long-Term Credit Facility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2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Beginning Balance (cost – $385,920</w:t>
            </w:r>
            <w:r>
              <w:rPr>
                <w:rFonts w:ascii="Times New Roman" w:hAnsi="Times New Roman"/>
                <w:sz w:val="20"/>
              </w:rPr>
              <w:t> </w:t>
            </w:r>
            <w:r>
              <w:rPr>
                <w:rFonts w:ascii="Times New Roman;serif" w:hAnsi="Times New Roman;serif"/>
                <w:b w:val="false"/>
                <w:sz w:val="16"/>
              </w:rPr>
              <w:t>and $316,545,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376,687</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314,813</w:t>
            </w:r>
          </w:p>
        </w:tc>
        <w:tc>
          <w:tcPr>
            <w:tcW w:w="611" w:type="dxa"/>
            <w:tcBorders/>
            <w:vAlign w:val="center"/>
          </w:tcPr>
          <w:p>
            <w:pPr>
              <w:pStyle w:val="TableContents"/>
              <w:bidi w:val="0"/>
              <w:spacing w:before="0" w:after="0"/>
              <w:ind w:left="0" w:right="0" w:firstLine="400"/>
              <w:jc w:val="left"/>
              <w:rPr/>
            </w:pPr>
            <w:r>
              <w:rPr/>
              <w:t> </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included in earnings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2,474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(9,183</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221" w:type="dxa"/>
            <w:tcBorders/>
            <w:vAlign w:val="center"/>
          </w:tcPr>
          <w:p>
            <w:pPr>
              <w:pStyle w:val="TableContents"/>
              <w:bidi w:val="0"/>
              <w:spacing w:before="0" w:after="0"/>
              <w:ind w:left="400" w:right="0" w:hanging="0"/>
              <w:jc w:val="left"/>
              <w:rPr>
                <w:rFonts w:ascii="Times New Roman" w:hAnsi="Times New Roman"/>
                <w:sz w:val="16"/>
              </w:rPr>
            </w:pPr>
            <w:r>
              <w:rPr>
                <w:rFonts w:ascii="Times New Roman;serif" w:hAnsi="Times New Roman;serif"/>
                <w:b w:val="false"/>
                <w:sz w:val="16"/>
              </w:rPr>
              <w:t xml:space="preserve">Borrowings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122,500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815,841</w:t>
            </w:r>
          </w:p>
        </w:tc>
        <w:tc>
          <w:tcPr>
            <w:tcW w:w="611" w:type="dxa"/>
            <w:tcBorders/>
            <w:vAlign w:val="center"/>
          </w:tcPr>
          <w:p>
            <w:pPr>
              <w:pStyle w:val="TableContents"/>
              <w:bidi w:val="0"/>
              <w:spacing w:before="0" w:after="0"/>
              <w:ind w:left="0" w:right="0" w:firstLine="400"/>
              <w:jc w:val="left"/>
              <w:rPr/>
            </w:pPr>
            <w:r>
              <w:rPr/>
              <w:t> </w:t>
            </w:r>
          </w:p>
        </w:tc>
      </w:tr>
      <w:tr>
        <w:trPr/>
        <w:tc>
          <w:tcPr>
            <w:tcW w:w="5221" w:type="dxa"/>
            <w:tcBorders/>
            <w:vAlign w:val="center"/>
          </w:tcPr>
          <w:p>
            <w:pPr>
              <w:pStyle w:val="TableContents"/>
              <w:bidi w:val="0"/>
              <w:spacing w:before="0" w:after="0"/>
              <w:ind w:left="400" w:right="0" w:hanging="0"/>
              <w:jc w:val="left"/>
              <w:rPr>
                <w:rFonts w:ascii="Times New Roman" w:hAnsi="Times New Roman"/>
                <w:sz w:val="16"/>
              </w:rPr>
            </w:pPr>
            <w:r>
              <w:rPr>
                <w:rFonts w:ascii="Times New Roman;serif" w:hAnsi="Times New Roman;serif"/>
                <w:b w:val="false"/>
                <w:sz w:val="16"/>
              </w:rPr>
              <w:t xml:space="preserve">Repayments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(194,000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(709,466</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Transfers in and/or out of Level 3</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Ending Balance (cost – $314,420</w:t>
            </w:r>
            <w:r>
              <w:rPr>
                <w:rFonts w:ascii="Times New Roman" w:hAnsi="Times New Roman"/>
                <w:sz w:val="20"/>
              </w:rPr>
              <w:t> </w:t>
            </w:r>
            <w:r>
              <w:rPr>
                <w:rFonts w:ascii="Times New Roman;serif" w:hAnsi="Times New Roman;serif"/>
                <w:b w:val="false"/>
                <w:sz w:val="16"/>
              </w:rPr>
              <w:t>and $422,920,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412,005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221" w:type="dxa"/>
            <w:tcBorders/>
            <w:vAlign w:val="center"/>
          </w:tcPr>
          <w:p>
            <w:pPr>
              <w:pStyle w:val="TableContents"/>
              <w:bidi w:val="0"/>
              <w:spacing w:before="0" w:after="0"/>
              <w:ind w:left="400" w:right="0" w:hanging="0"/>
              <w:jc w:val="left"/>
              <w:rPr>
                <w:rFonts w:ascii="Times New Roman;serif" w:hAnsi="Times New Roman;serif"/>
                <w:b w:val="false"/>
                <w:sz w:val="16"/>
              </w:rPr>
            </w:pPr>
            <w:r>
              <w:rPr>
                <w:rFonts w:ascii="Times New Roman;serif" w:hAnsi="Times New Roman;serif"/>
                <w:b w:val="false"/>
                <w:sz w:val="16"/>
              </w:rPr>
              <w:t>Temporary draws outstanding, at cost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221" w:type="dxa"/>
            <w:tcBorders/>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16"/>
              </w:rPr>
              <w:t>Ending Balance (cost – $314,420</w:t>
            </w:r>
            <w:r>
              <w:rPr>
                <w:rFonts w:ascii="Times New Roman" w:hAnsi="Times New Roman"/>
                <w:sz w:val="20"/>
              </w:rPr>
              <w:t> </w:t>
            </w:r>
            <w:r>
              <w:rPr>
                <w:rFonts w:ascii="Times New Roman;serif" w:hAnsi="Times New Roman;serif"/>
                <w:b w:val="false"/>
                <w:sz w:val="16"/>
              </w:rPr>
              <w:t>and $422,920, respectively)</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307,661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412,005</w:t>
            </w:r>
          </w:p>
        </w:tc>
        <w:tc>
          <w:tcPr>
            <w:tcW w:w="6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16"/>
        </w:rPr>
      </w:pPr>
      <w:r>
        <w:rPr>
          <w:rFonts w:ascii="Times New Roman" w:hAnsi="Times New Roman"/>
          <w:b w:val="false"/>
          <w:sz w:val="16"/>
        </w:rPr>
        <w:t>(1)</w:t>
      </w:r>
    </w:p>
    <w:p>
      <w:pPr>
        <w:pStyle w:val="TextBody"/>
        <w:bidi w:val="0"/>
        <w:jc w:val="left"/>
        <w:rPr>
          <w:rFonts w:ascii="Times New Roman;serif" w:hAnsi="Times New Roman;serif"/>
          <w:b w:val="false"/>
          <w:sz w:val="16"/>
        </w:rPr>
      </w:pPr>
      <w:r>
        <w:rPr>
          <w:rFonts w:ascii="Times New Roman;serif" w:hAnsi="Times New Roman;serif"/>
          <w:b w:val="false"/>
          <w:sz w:val="16"/>
        </w:rPr>
        <w:t>Excludes temporary draws.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As of June 30, 2023, we had outstanding non-U.S. dollar borrowings on our Credit Facility. Net change in fair value on foreign currency translation on outstanding borrowings is listed below ($ in thousands):</w:t>
      </w:r>
    </w:p>
    <w:p>
      <w:pPr>
        <w:pStyle w:val="TextBody"/>
        <w:bidi w:val="0"/>
        <w:spacing w:before="0" w:after="0"/>
        <w:jc w:val="left"/>
        <w:rPr/>
      </w:pPr>
      <w:r>
        <w:rPr/>
        <w:t> </w:t>
      </w:r>
    </w:p>
    <w:tbl>
      <w:tblPr>
        <w:tblW w:w="9856" w:type="dxa"/>
        <w:jc w:val="left"/>
        <w:tblInd w:w="0" w:type="dxa"/>
        <w:tblLayout w:type="fixed"/>
        <w:tblCellMar>
          <w:top w:w="28" w:type="dxa"/>
          <w:left w:w="28" w:type="dxa"/>
          <w:bottom w:w="28" w:type="dxa"/>
          <w:right w:w="28" w:type="dxa"/>
        </w:tblCellMar>
      </w:tblPr>
      <w:tblGrid>
        <w:gridCol w:w="1426"/>
        <w:gridCol w:w="146"/>
        <w:gridCol w:w="357"/>
        <w:gridCol w:w="1098"/>
        <w:gridCol w:w="146"/>
        <w:gridCol w:w="146"/>
        <w:gridCol w:w="308"/>
        <w:gridCol w:w="952"/>
        <w:gridCol w:w="146"/>
        <w:gridCol w:w="146"/>
        <w:gridCol w:w="284"/>
        <w:gridCol w:w="871"/>
        <w:gridCol w:w="146"/>
        <w:gridCol w:w="146"/>
        <w:gridCol w:w="1516"/>
        <w:gridCol w:w="146"/>
        <w:gridCol w:w="425"/>
        <w:gridCol w:w="1240"/>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Foreign Currency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Borrowed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Borrowing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British Pound</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45,769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September 30, 2023</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42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1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65"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As of September 30, 2022, we had outstanding non-U.S. dollar borrowings on our Truist Credit Facility. Net change in fair value on foreign currency translation on outstanding borrowings is listed below ($ in thousands):</w:t>
      </w:r>
    </w:p>
    <w:p>
      <w:pPr>
        <w:pStyle w:val="TextBody"/>
        <w:bidi w:val="0"/>
        <w:spacing w:before="0" w:after="0"/>
        <w:jc w:val="left"/>
        <w:rPr/>
      </w:pPr>
      <w:r>
        <w:rPr/>
        <w:t> </w:t>
      </w:r>
    </w:p>
    <w:tbl>
      <w:tblPr>
        <w:tblW w:w="9826" w:type="dxa"/>
        <w:jc w:val="left"/>
        <w:tblInd w:w="0" w:type="dxa"/>
        <w:tblLayout w:type="fixed"/>
        <w:tblCellMar>
          <w:top w:w="28" w:type="dxa"/>
          <w:left w:w="28" w:type="dxa"/>
          <w:bottom w:w="28" w:type="dxa"/>
          <w:right w:w="28" w:type="dxa"/>
        </w:tblCellMar>
      </w:tblPr>
      <w:tblGrid>
        <w:gridCol w:w="1426"/>
        <w:gridCol w:w="146"/>
        <w:gridCol w:w="357"/>
        <w:gridCol w:w="1098"/>
        <w:gridCol w:w="146"/>
        <w:gridCol w:w="146"/>
        <w:gridCol w:w="308"/>
        <w:gridCol w:w="952"/>
        <w:gridCol w:w="146"/>
        <w:gridCol w:w="146"/>
        <w:gridCol w:w="284"/>
        <w:gridCol w:w="871"/>
        <w:gridCol w:w="146"/>
        <w:gridCol w:w="146"/>
        <w:gridCol w:w="1486"/>
        <w:gridCol w:w="146"/>
        <w:gridCol w:w="425"/>
        <w:gridCol w:w="1240"/>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Foreign Currency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Amount Borrowed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Borrowing 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Current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Reset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6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Fair Value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British Pound</w:t>
            </w:r>
          </w:p>
        </w:tc>
        <w:tc>
          <w:tcPr>
            <w:tcW w:w="146" w:type="dxa"/>
            <w:tcBorders/>
            <w:vAlign w:val="center"/>
          </w:tcPr>
          <w:p>
            <w:pPr>
              <w:pStyle w:val="TableContents"/>
              <w:bidi w:val="0"/>
              <w:spacing w:before="0" w:after="0"/>
              <w:ind w:left="0" w:right="0" w:hanging="0"/>
              <w:jc w:val="left"/>
              <w:rPr/>
            </w:pPr>
            <w:r>
              <w:rPr/>
              <w:t> </w:t>
            </w:r>
          </w:p>
        </w:tc>
        <w:tc>
          <w:tcPr>
            <w:tcW w:w="357"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9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5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49,420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8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8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December 31, 2022</w:t>
            </w:r>
          </w:p>
        </w:tc>
        <w:tc>
          <w:tcPr>
            <w:tcW w:w="146" w:type="dxa"/>
            <w:tcBorders/>
            <w:vAlign w:val="center"/>
          </w:tcPr>
          <w:p>
            <w:pPr>
              <w:pStyle w:val="TableContents"/>
              <w:bidi w:val="0"/>
              <w:spacing w:before="0" w:after="0"/>
              <w:ind w:left="0" w:right="0" w:hanging="0"/>
              <w:jc w:val="left"/>
              <w:rPr/>
            </w:pPr>
            <w:r>
              <w:rPr/>
              <w:t> </w:t>
            </w:r>
          </w:p>
        </w:tc>
        <w:tc>
          <w:tcPr>
            <w:tcW w:w="425"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4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during the three and nine months ended June 30,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us to display the fair value of the selected assets and liabilities on the face of the Consolidated Statements of Assets and Liabilities and changes in fair value of the Truist Credit Facility is reported in our Consolidated Statements of Operations. We did not elect to apply ASC 825-10 to any other financial assets or liabilities, including the 2024 Notes, the 2026 Notes, 2026 Notes-2, and the SBA debentures.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our Credit Facility had a net change in unrealized (appreciation) depreciation of $(8.4) million and $(2.5) million, respectively. For the three and nine months ended June 30, 2022, the Truist Credit Facility had a net change in unrealized (appreciation) depreciation of $8.9</w:t>
      </w:r>
      <w:r>
        <w:rPr>
          <w:rFonts w:ascii="Times New Roman" w:hAnsi="Times New Roman"/>
          <w:sz w:val="20"/>
        </w:rPr>
        <w:t xml:space="preserve"> </w:t>
      </w:r>
      <w:r>
        <w:rPr>
          <w:rFonts w:ascii="Times New Roman;serif" w:hAnsi="Times New Roman;serif"/>
          <w:b w:val="false"/>
          <w:sz w:val="16"/>
        </w:rPr>
        <w:t>million and $9.2</w:t>
      </w:r>
      <w:r>
        <w:rPr>
          <w:rFonts w:ascii="Times New Roman" w:hAnsi="Times New Roman"/>
          <w:sz w:val="20"/>
        </w:rPr>
        <w:t xml:space="preserve"> </w:t>
      </w:r>
      <w:r>
        <w:rPr>
          <w:rFonts w:ascii="Times New Roman;serif" w:hAnsi="Times New Roman;serif"/>
          <w:b w:val="false"/>
          <w:sz w:val="16"/>
        </w:rPr>
        <w:t>million, respectively. As of June 30, 2023 and September 30, 2022, the net unrealized (appreciation) depreciation on the Truist Credit Facility totaled $6.8</w:t>
      </w:r>
      <w:r>
        <w:rPr>
          <w:rFonts w:ascii="Times New Roman" w:hAnsi="Times New Roman"/>
          <w:sz w:val="20"/>
        </w:rPr>
        <w:t xml:space="preserve"> </w:t>
      </w:r>
      <w:r>
        <w:rPr>
          <w:rFonts w:ascii="Times New Roman;serif" w:hAnsi="Times New Roman;serif"/>
          <w:b w:val="false"/>
          <w:sz w:val="16"/>
        </w:rPr>
        <w:t>million and $9.2</w:t>
      </w:r>
      <w:r>
        <w:rPr>
          <w:rFonts w:ascii="Times New Roman" w:hAnsi="Times New Roman"/>
          <w:sz w:val="20"/>
        </w:rPr>
        <w:t xml:space="preserve"> </w:t>
      </w:r>
      <w:r>
        <w:rPr>
          <w:rFonts w:ascii="Times New Roman;serif" w:hAnsi="Times New Roman;serif"/>
          <w:b w:val="false"/>
          <w:sz w:val="16"/>
        </w:rPr>
        <w:t>million, respectively. We use an independent valuation service to measure the fair value of our Truist Credit Facility in a manner consistent with the valuation process that our board of directors uses to value our investments.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6. TRANSACTIONS WITH AFFILIATED COMPANIES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2023 were as follows ($ in thousands):</w:t>
      </w:r>
    </w:p>
    <w:p>
      <w:pPr>
        <w:pStyle w:val="TextBody"/>
        <w:bidi w:val="0"/>
        <w:spacing w:before="0" w:after="0"/>
        <w:jc w:val="left"/>
        <w:rPr/>
      </w:pPr>
      <w:r>
        <w:rPr/>
        <w:t> </w:t>
      </w:r>
    </w:p>
    <w:tbl>
      <w:tblPr>
        <w:tblW w:w="10725" w:type="dxa"/>
        <w:jc w:val="left"/>
        <w:tblInd w:w="0" w:type="dxa"/>
        <w:tblLayout w:type="fixed"/>
        <w:tblCellMar>
          <w:top w:w="28" w:type="dxa"/>
          <w:left w:w="28" w:type="dxa"/>
          <w:bottom w:w="28" w:type="dxa"/>
          <w:right w:w="28" w:type="dxa"/>
        </w:tblCellMar>
      </w:tblPr>
      <w:tblGrid>
        <w:gridCol w:w="1141"/>
        <w:gridCol w:w="146"/>
        <w:gridCol w:w="181"/>
        <w:gridCol w:w="586"/>
        <w:gridCol w:w="146"/>
        <w:gridCol w:w="146"/>
        <w:gridCol w:w="188"/>
        <w:gridCol w:w="533"/>
        <w:gridCol w:w="146"/>
        <w:gridCol w:w="146"/>
        <w:gridCol w:w="181"/>
        <w:gridCol w:w="631"/>
        <w:gridCol w:w="151"/>
        <w:gridCol w:w="146"/>
        <w:gridCol w:w="239"/>
        <w:gridCol w:w="677"/>
        <w:gridCol w:w="151"/>
        <w:gridCol w:w="146"/>
        <w:gridCol w:w="181"/>
        <w:gridCol w:w="586"/>
        <w:gridCol w:w="146"/>
        <w:gridCol w:w="146"/>
        <w:gridCol w:w="181"/>
        <w:gridCol w:w="511"/>
        <w:gridCol w:w="146"/>
        <w:gridCol w:w="146"/>
        <w:gridCol w:w="181"/>
        <w:gridCol w:w="436"/>
        <w:gridCol w:w="146"/>
        <w:gridCol w:w="146"/>
        <w:gridCol w:w="181"/>
        <w:gridCol w:w="511"/>
        <w:gridCol w:w="146"/>
        <w:gridCol w:w="146"/>
        <w:gridCol w:w="181"/>
        <w:gridCol w:w="631"/>
        <w:gridCol w:w="296"/>
      </w:tblGrid>
      <w:tr>
        <w:trPr/>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1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Name of Investment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Fair Value at</w:t>
              <w:br/>
              <w:t>September 30, 2022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2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4"/>
              </w:rPr>
            </w:pPr>
            <w:r>
              <w:rPr>
                <w:rFonts w:ascii="Times New Roman;serif" w:hAnsi="Times New Roman;serif"/>
                <w:b/>
                <w:sz w:val="14"/>
              </w:rPr>
              <w:t>Gross</w:t>
              <w:br/>
              <w:t>Additions</w:t>
            </w:r>
            <w:r>
              <w:rPr>
                <w:rFonts w:ascii="Times New Roman;serif" w:hAnsi="Times New Roman;serif"/>
                <w:b/>
                <w:sz w:val="9"/>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Gross</w:t>
              <w:br/>
              <w:t>Reductions</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Net Change in</w:t>
              <w:br/>
              <w:t>Appreciation /</w:t>
              <w:br/>
              <w:t>(Depreciation)</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Fair Value at June 30, 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Interest</w:t>
              <w:b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1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PIK</w:t>
              <w:br/>
              <w:t>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Dividend Income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8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4"/>
              </w:rPr>
            </w:pPr>
            <w:r>
              <w:rPr>
                <w:rFonts w:ascii="Times New Roman;serif" w:hAnsi="Times New Roman;serif"/>
                <w:b/>
                <w:sz w:val="14"/>
              </w:rPr>
              <w:t>Net Realized</w:t>
              <w:br/>
              <w:t>Gains</w:t>
              <w:br/>
              <w:t>(Losses)</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Controlled Affiliates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296" w:type="dxa"/>
            <w:tcBorders/>
            <w:vAlign w:val="center"/>
          </w:tcPr>
          <w:p>
            <w:pPr>
              <w:pStyle w:val="TableContents"/>
              <w:bidi w:val="0"/>
              <w:spacing w:before="0" w:after="0"/>
              <w:ind w:left="0" w:right="0" w:hanging="0"/>
              <w:jc w:val="right"/>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AKW Holdings Limited</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45,995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5,951</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54,096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Mailsouth Inc.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 </w:t>
            </w:r>
          </w:p>
        </w:tc>
      </w:tr>
      <w:tr>
        <w:trPr/>
        <w:tc>
          <w:tcPr>
            <w:tcW w:w="114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PennantPark Senior Loan Fund, LLC </w:t>
            </w:r>
            <w:r>
              <w:rPr>
                <w:rFonts w:ascii="Times New Roman;serif" w:hAnsi="Times New Roman;serif"/>
                <w:b w:val="false"/>
                <w:sz w:val="9"/>
              </w:rPr>
              <w:t>(3)</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139,109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23,595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(1,420</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161,284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9,150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RAM Energy LLC</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74,282</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(162,708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88,426</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(133,098</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14"/>
              </w:rPr>
            </w:pPr>
            <w:r>
              <w:rPr>
                <w:rFonts w:ascii="Times New Roman;serif" w:hAnsi="Times New Roman;serif"/>
                <w:b w:val="false"/>
                <w:sz w:val="14"/>
              </w:rPr>
              <w:t>)</w:t>
            </w:r>
          </w:p>
        </w:tc>
      </w:tr>
      <w:tr>
        <w:trPr/>
        <w:tc>
          <w:tcPr>
            <w:tcW w:w="1141" w:type="dxa"/>
            <w:tcBorders/>
            <w:vAlign w:val="center"/>
          </w:tcPr>
          <w:p>
            <w:pPr>
              <w:pStyle w:val="TableContents"/>
              <w:bidi w:val="0"/>
              <w:spacing w:before="0" w:after="0"/>
              <w:ind w:left="100" w:right="0" w:hanging="0"/>
              <w:jc w:val="left"/>
              <w:rPr>
                <w:rFonts w:ascii="Times New Roman;serif" w:hAnsi="Times New Roman;serif"/>
                <w:b w:val="false"/>
                <w:sz w:val="14"/>
              </w:rPr>
            </w:pPr>
            <w:r>
              <w:rPr>
                <w:rFonts w:ascii="Times New Roman;serif" w:hAnsi="Times New Roman;serif"/>
                <w:b w:val="false"/>
                <w:sz w:val="14"/>
              </w:rPr>
              <w:t>Total Controlled Affiliates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259,386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25,745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(162,708</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92,957</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215,380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10,898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2,150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11,344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(133,098</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Non-Controlled Affiliates</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2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gridSpan w:val="2"/>
            <w:tcBorders/>
            <w:vAlign w:val="center"/>
          </w:tcPr>
          <w:p>
            <w:pPr>
              <w:pStyle w:val="TableContents"/>
              <w:bidi w:val="0"/>
              <w:spacing w:before="0" w:after="0"/>
              <w:ind w:left="0" w:right="0" w:hanging="0"/>
              <w:jc w:val="right"/>
              <w:rPr/>
            </w:pPr>
            <w:r>
              <w:rPr/>
              <w:t> </w:t>
            </w:r>
          </w:p>
        </w:tc>
        <w:tc>
          <w:tcPr>
            <w:tcW w:w="15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6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1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12" w:type="dxa"/>
            <w:gridSpan w:val="2"/>
            <w:tcBorders/>
            <w:vAlign w:val="center"/>
          </w:tcPr>
          <w:p>
            <w:pPr>
              <w:pStyle w:val="TableContents"/>
              <w:bidi w:val="0"/>
              <w:spacing w:before="0" w:after="0"/>
              <w:ind w:left="0" w:right="0" w:hanging="0"/>
              <w:jc w:val="right"/>
              <w:rPr/>
            </w:pPr>
            <w:r>
              <w:rPr/>
              <w:t> </w:t>
            </w:r>
          </w:p>
        </w:tc>
        <w:tc>
          <w:tcPr>
            <w:tcW w:w="296" w:type="dxa"/>
            <w:tcBorders/>
            <w:vAlign w:val="center"/>
          </w:tcPr>
          <w:p>
            <w:pPr>
              <w:pStyle w:val="TableContents"/>
              <w:bidi w:val="0"/>
              <w:spacing w:before="0" w:after="0"/>
              <w:ind w:left="0" w:right="0" w:hanging="0"/>
              <w:jc w:val="right"/>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Cascade Environmental Holdings,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32,791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33,294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JF Intermediate, LLC</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533"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15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677"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(96</w:t>
            </w:r>
          </w:p>
        </w:tc>
        <w:tc>
          <w:tcPr>
            <w:tcW w:w="151" w:type="dxa"/>
            <w:tcBorders/>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pPr>
            <w:r>
              <w:rPr/>
              <w:t>—</w:t>
            </w:r>
          </w:p>
        </w:tc>
        <w:tc>
          <w:tcPr>
            <w:tcW w:w="296" w:type="dxa"/>
            <w:tcBorders/>
            <w:vAlign w:val="center"/>
          </w:tcPr>
          <w:p>
            <w:pPr>
              <w:pStyle w:val="TableContents"/>
              <w:bidi w:val="0"/>
              <w:spacing w:before="0" w:after="0"/>
              <w:ind w:left="0" w:right="0" w:hanging="0"/>
              <w:jc w:val="left"/>
              <w:rPr/>
            </w:pPr>
            <w:r>
              <w:rPr/>
              <w:t> </w:t>
            </w:r>
          </w:p>
        </w:tc>
      </w:tr>
      <w:tr>
        <w:trPr/>
        <w:tc>
          <w:tcPr>
            <w:tcW w:w="1141" w:type="dxa"/>
            <w:tcBorders/>
            <w:vAlign w:val="center"/>
          </w:tcPr>
          <w:p>
            <w:pPr>
              <w:pStyle w:val="TableContents"/>
              <w:bidi w:val="0"/>
              <w:spacing w:before="0" w:after="0"/>
              <w:ind w:left="0" w:right="0" w:hanging="0"/>
              <w:jc w:val="left"/>
              <w:rPr>
                <w:rFonts w:ascii="Times New Roman" w:hAnsi="Times New Roman"/>
                <w:sz w:val="14"/>
              </w:rPr>
            </w:pPr>
            <w:r>
              <w:rPr>
                <w:rFonts w:ascii="Times New Roman;serif" w:hAnsi="Times New Roman;serif"/>
                <w:b w:val="false"/>
                <w:sz w:val="14"/>
              </w:rPr>
              <w:t xml:space="preserve">Walker Edison Furniture Company LLC </w:t>
            </w:r>
            <w:r>
              <w:rPr>
                <w:rFonts w:ascii="Times New Roman;serif" w:hAnsi="Times New Roman;serif"/>
                <w:b w:val="false"/>
                <w:sz w:val="9"/>
              </w:rPr>
              <w:t>(2)</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16,845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(1,911</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14,934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1141" w:type="dxa"/>
            <w:tcBorders/>
            <w:vAlign w:val="center"/>
          </w:tcPr>
          <w:p>
            <w:pPr>
              <w:pStyle w:val="TableContents"/>
              <w:bidi w:val="0"/>
              <w:spacing w:before="0" w:after="0"/>
              <w:ind w:left="100" w:right="0" w:hanging="0"/>
              <w:jc w:val="left"/>
              <w:rPr/>
            </w:pPr>
            <w:r>
              <w:rPr/>
              <w:t> </w:t>
            </w:r>
            <w:r>
              <w:rPr>
                <w:rFonts w:ascii="Times New Roman;serif" w:hAnsi="Times New Roman;serif"/>
                <w:b w:val="false"/>
                <w:sz w:val="14"/>
              </w:rPr>
              <w:t>Total Non-Controlled Affiliates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34,760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3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17,760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(2,323</w:t>
            </w:r>
          </w:p>
        </w:tc>
        <w:tc>
          <w:tcPr>
            <w:tcW w:w="15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50,197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81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310</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1141" w:type="dxa"/>
            <w:tcBorders/>
            <w:vAlign w:val="center"/>
          </w:tcPr>
          <w:p>
            <w:pPr>
              <w:pStyle w:val="TableContents"/>
              <w:bidi w:val="0"/>
              <w:spacing w:before="0" w:after="0"/>
              <w:ind w:left="0" w:right="0" w:hanging="0"/>
              <w:jc w:val="left"/>
              <w:rPr>
                <w:rFonts w:ascii="Times New Roman;serif" w:hAnsi="Times New Roman;serif"/>
                <w:b/>
                <w:sz w:val="14"/>
              </w:rPr>
            </w:pPr>
            <w:r>
              <w:rPr>
                <w:rFonts w:ascii="Times New Roman;serif" w:hAnsi="Times New Roman;serif"/>
                <w:b/>
                <w:sz w:val="14"/>
              </w:rPr>
              <w:t>Total Controlled and</w:t>
              <w:br/>
              <w:t>   Non-Controlled Affiliates</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294,146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3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43,505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(162,708</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vAlign w:val="center"/>
          </w:tcPr>
          <w:p>
            <w:pPr>
              <w:pStyle w:val="TableContents"/>
              <w:bidi w:val="0"/>
              <w:spacing w:before="0" w:after="0"/>
              <w:ind w:left="0" w:right="0" w:hanging="0"/>
              <w:jc w:val="left"/>
              <w:rPr/>
            </w:pPr>
            <w:r>
              <w:rPr/>
              <w:t> </w:t>
            </w:r>
          </w:p>
        </w:tc>
        <w:tc>
          <w:tcPr>
            <w:tcW w:w="23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90,634</w:t>
            </w:r>
          </w:p>
        </w:tc>
        <w:tc>
          <w:tcPr>
            <w:tcW w:w="15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265,577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10,979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2,460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11,344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4"/>
              </w:rPr>
            </w:pPr>
            <w:r>
              <w:rPr>
                <w:rFonts w:ascii="Times New Roman;serif" w:hAnsi="Times New Roman;serif"/>
                <w:b w:val="false"/>
                <w:sz w:val="14"/>
              </w:rPr>
              <w:t>(133,098</w:t>
            </w:r>
          </w:p>
        </w:tc>
        <w:tc>
          <w:tcPr>
            <w:tcW w:w="2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bl>
    <w:p>
      <w:pPr>
        <w:pStyle w:val="TextBody"/>
        <w:pBdr>
          <w:bottom w:val="single" w:sz="4" w:space="1" w:color="000000"/>
        </w:pBdr>
        <w:bidi w:val="0"/>
        <w:spacing w:before="0" w:after="0"/>
        <w:jc w:val="left"/>
        <w:rPr/>
      </w:pPr>
      <w:r>
        <w:rPr/>
        <w:t> </w:t>
      </w:r>
    </w:p>
    <w:p>
      <w:pPr>
        <w:pStyle w:val="TextBody"/>
        <w:bidi w:val="0"/>
        <w:spacing w:before="0" w:after="0"/>
        <w:jc w:val="left"/>
        <w:rPr>
          <w:rFonts w:ascii="Times New Roman" w:hAnsi="Times New Roman"/>
          <w:b/>
          <w:sz w:val="12"/>
        </w:rPr>
      </w:pPr>
      <w:r>
        <w:rPr>
          <w:rFonts w:ascii="Times New Roman" w:hAnsi="Times New Roman"/>
          <w:b/>
          <w:sz w:val="12"/>
        </w:rPr>
        <w:t>(1)</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Includes PIK.</w:t>
      </w:r>
    </w:p>
    <w:p>
      <w:pPr>
        <w:pStyle w:val="TextBody"/>
        <w:bidi w:val="0"/>
        <w:spacing w:before="0" w:after="0"/>
        <w:jc w:val="left"/>
        <w:rPr>
          <w:rFonts w:ascii="Times New Roman" w:hAnsi="Times New Roman"/>
          <w:b/>
          <w:sz w:val="12"/>
        </w:rPr>
      </w:pPr>
      <w:r>
        <w:rPr>
          <w:rFonts w:ascii="Times New Roman" w:hAnsi="Times New Roman"/>
          <w:b/>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Walker Edison Furniture Company LLC became a non-controlled affiliate during the quarter ended March 31, 2023.</w:t>
      </w:r>
    </w:p>
    <w:p>
      <w:pPr>
        <w:pStyle w:val="TextBody"/>
        <w:bidi w:val="0"/>
        <w:spacing w:before="0" w:after="0"/>
        <w:jc w:val="left"/>
        <w:rPr>
          <w:rFonts w:ascii="Times New Roman" w:hAnsi="Times New Roman"/>
          <w:b/>
          <w:sz w:val="12"/>
        </w:rPr>
      </w:pPr>
      <w:r>
        <w:rPr>
          <w:rFonts w:ascii="Times New Roman" w:hAnsi="Times New Roman"/>
          <w:b/>
          <w:sz w:val="12"/>
        </w:rPr>
        <w:t>(3)</w:t>
      </w:r>
    </w:p>
    <w:p>
      <w:pPr>
        <w:pStyle w:val="TextBody"/>
        <w:bidi w:val="0"/>
        <w:jc w:val="left"/>
        <w:rPr>
          <w:rFonts w:ascii="Times New Roman;serif" w:hAnsi="Times New Roman;serif"/>
          <w:sz w:val="16"/>
        </w:rPr>
      </w:pPr>
      <w:r>
        <w:rPr>
          <w:rFonts w:ascii="Times New Roman;serif" w:hAnsi="Times New Roman;serif"/>
          <w:b w:val="false"/>
          <w:sz w:val="12"/>
        </w:rPr>
        <w:t xml:space="preserve">We </w:t>
      </w:r>
      <w:r>
        <w:rPr>
          <w:rFonts w:ascii="Times New Roman;serif" w:hAnsi="Times New Roman;serif"/>
          <w:b w:val="false"/>
          <w:sz w:val="13"/>
        </w:rPr>
        <w:t>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r>
        <w:rPr>
          <w:rFonts w:ascii="Times New Roman;serif" w:hAnsi="Times New Roman;serif"/>
          <w:b w:val="false"/>
          <w:sz w:val="12"/>
        </w:rPr>
        <w: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bookmarkStart w:id="11" w:name="note_7"/>
      <w:bookmarkEnd w:id="11"/>
      <w:r>
        <w:rPr>
          <w:rFonts w:ascii="Times New Roman;serif" w:hAnsi="Times New Roman;serif"/>
          <w:b/>
          <w:sz w:val="16"/>
        </w:rPr>
        <w:t>7. CHANGE IN NET ASSETS FROM OPERATIONS PER COMMON SHARE</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The following information sets forth the computation of basic and diluted per share net increase in net assets resulting from operations ($ in thousands, except per share data):</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504"/>
        <w:gridCol w:w="146"/>
        <w:gridCol w:w="196"/>
        <w:gridCol w:w="916"/>
        <w:gridCol w:w="146"/>
        <w:gridCol w:w="146"/>
        <w:gridCol w:w="196"/>
        <w:gridCol w:w="916"/>
        <w:gridCol w:w="166"/>
        <w:gridCol w:w="146"/>
        <w:gridCol w:w="196"/>
        <w:gridCol w:w="916"/>
        <w:gridCol w:w="166"/>
        <w:gridCol w:w="146"/>
        <w:gridCol w:w="196"/>
        <w:gridCol w:w="916"/>
        <w:gridCol w:w="191"/>
      </w:tblGrid>
      <w:tr>
        <w:trPr/>
        <w:tc>
          <w:tcPr>
            <w:tcW w:w="4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1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53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Numerator for net increase (decrease) in net assets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(18,481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(46,072</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10,186</w:t>
            </w:r>
          </w:p>
        </w:tc>
        <w:tc>
          <w:tcPr>
            <w:tcW w:w="191" w:type="dxa"/>
            <w:tcBorders/>
            <w:vAlign w:val="center"/>
          </w:tcPr>
          <w:p>
            <w:pPr>
              <w:pStyle w:val="TableContents"/>
              <w:bidi w:val="0"/>
              <w:spacing w:before="0" w:after="0"/>
              <w:ind w:left="0" w:right="0" w:hanging="0"/>
              <w:jc w:val="left"/>
              <w:rPr/>
            </w:pPr>
            <w:r>
              <w:rPr/>
              <w:t> </w:t>
            </w:r>
          </w:p>
        </w:tc>
      </w:tr>
      <w:tr>
        <w:trPr/>
        <w:tc>
          <w:tcPr>
            <w:tcW w:w="45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Denominator for basic and diluted weighted average shares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65,224,500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65,897,233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65,224,500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66,564,289</w:t>
            </w:r>
          </w:p>
        </w:tc>
        <w:tc>
          <w:tcPr>
            <w:tcW w:w="191" w:type="dxa"/>
            <w:tcBorders/>
            <w:vAlign w:val="center"/>
          </w:tcPr>
          <w:p>
            <w:pPr>
              <w:pStyle w:val="TableContents"/>
              <w:bidi w:val="0"/>
              <w:spacing w:before="0" w:after="0"/>
              <w:ind w:left="0" w:right="0" w:hanging="0"/>
              <w:jc w:val="left"/>
              <w:rPr/>
            </w:pPr>
            <w:r>
              <w:rPr/>
              <w:t> </w:t>
            </w:r>
          </w:p>
        </w:tc>
      </w:tr>
      <w:tr>
        <w:trPr/>
        <w:tc>
          <w:tcPr>
            <w:tcW w:w="450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Basic and diluted net increase (decrease) in net assets per share resulting from operations</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(0.28</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8. CASH AND CASH EQUIVALENTS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2023 and September 30, 2022, cash and cash equivalents consisted of money market funds in the amounts of $23.6</w:t>
      </w:r>
      <w:r>
        <w:rPr>
          <w:rFonts w:ascii="Times New Roman" w:hAnsi="Times New Roman"/>
          <w:sz w:val="20"/>
        </w:rPr>
        <w:t xml:space="preserve"> </w:t>
      </w:r>
      <w:r>
        <w:rPr>
          <w:rFonts w:ascii="Times New Roman;serif" w:hAnsi="Times New Roman;serif"/>
          <w:b w:val="false"/>
          <w:sz w:val="16"/>
        </w:rPr>
        <w:t>million and $52.7</w:t>
      </w:r>
      <w:r>
        <w:rPr>
          <w:rFonts w:ascii="Times New Roman" w:hAnsi="Times New Roman"/>
          <w:sz w:val="20"/>
        </w:rPr>
        <w:t xml:space="preserve"> </w:t>
      </w:r>
      <w:r>
        <w:rPr>
          <w:rFonts w:ascii="Times New Roman;serif" w:hAnsi="Times New Roman;serif"/>
          <w:b w:val="false"/>
          <w:sz w:val="16"/>
        </w:rPr>
        <w:t>million at fair value, respectively.</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9. FINANCIAL HIGHLIGHTS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Below are the financial highlights ($ in thousands, except share and per share data):</w:t>
      </w:r>
      <w:r>
        <w:rPr>
          <w:rFonts w:ascii="Times New Roman" w:hAnsi="Times New Roman"/>
          <w:sz w:val="20"/>
        </w:rPr>
        <w:t xml:space="preserve"> </w:t>
      </w:r>
    </w:p>
    <w:tbl>
      <w:tblPr>
        <w:tblW w:w="7574" w:type="dxa"/>
        <w:jc w:val="left"/>
        <w:tblInd w:w="0" w:type="dxa"/>
        <w:tblLayout w:type="fixed"/>
        <w:tblCellMar>
          <w:top w:w="28" w:type="dxa"/>
          <w:left w:w="28" w:type="dxa"/>
          <w:bottom w:w="28" w:type="dxa"/>
          <w:right w:w="28" w:type="dxa"/>
        </w:tblCellMar>
      </w:tblPr>
      <w:tblGrid>
        <w:gridCol w:w="4531"/>
        <w:gridCol w:w="146"/>
        <w:gridCol w:w="196"/>
        <w:gridCol w:w="916"/>
        <w:gridCol w:w="241"/>
        <w:gridCol w:w="146"/>
        <w:gridCol w:w="196"/>
        <w:gridCol w:w="916"/>
        <w:gridCol w:w="28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1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286" w:type="dxa"/>
            <w:tcBorders/>
            <w:vAlign w:val="center"/>
          </w:tcPr>
          <w:p>
            <w:pPr>
              <w:pStyle w:val="TableContents"/>
              <w:bidi w:val="0"/>
              <w:spacing w:before="0" w:after="0"/>
              <w:ind w:left="0" w:right="0" w:hanging="0"/>
              <w:jc w:val="center"/>
              <w:rPr/>
            </w:pPr>
            <w:r>
              <w:rPr/>
              <w:t> </w:t>
            </w:r>
          </w:p>
        </w:tc>
      </w:tr>
      <w:tr>
        <w:trPr/>
        <w:tc>
          <w:tcPr>
            <w:tcW w:w="453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Per Share Data:</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beginning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8.98</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9.85</w:t>
            </w:r>
          </w:p>
        </w:tc>
        <w:tc>
          <w:tcPr>
            <w:tcW w:w="286"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Net investment income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0.77</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0.52</w:t>
            </w:r>
          </w:p>
        </w:tc>
        <w:tc>
          <w:tcPr>
            <w:tcW w:w="286"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Net change in realized and unrealized gain (loss)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(1.48</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(0.37</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Net increase (decrease) in net assets resulting from operations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(0.71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0.15</w:t>
            </w:r>
          </w:p>
        </w:tc>
        <w:tc>
          <w:tcPr>
            <w:tcW w:w="286"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Distributions to stockholders </w:t>
            </w:r>
            <w:r>
              <w:rPr>
                <w:rFonts w:ascii="Times New Roman;serif" w:hAnsi="Times New Roman;serif"/>
                <w:b w:val="false"/>
                <w:sz w:val="11"/>
              </w:rPr>
              <w:t>(1), (2)</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(0.55</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(0.40</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Repurchase of common stock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0.05</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 value,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9.65</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Per share market value,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5.89</w:t>
            </w:r>
          </w:p>
        </w:tc>
        <w:tc>
          <w:tcPr>
            <w:tcW w:w="2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6.18</w:t>
            </w:r>
          </w:p>
        </w:tc>
        <w:tc>
          <w:tcPr>
            <w:tcW w:w="28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Total return</w:t>
            </w:r>
            <w:r>
              <w:rPr>
                <w:rFonts w:ascii="Times New Roman;serif" w:hAnsi="Times New Roman;serif"/>
                <w:b w:val="false"/>
                <w:sz w:val="11"/>
              </w:rPr>
              <w:t>* (3)</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0.88</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Shares outstanding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65,224,500</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65,413,942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Ratios** / Supplemental Data:</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4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112" w:type="dxa"/>
            <w:gridSpan w:val="2"/>
            <w:tcBorders/>
            <w:vAlign w:val="center"/>
          </w:tcPr>
          <w:p>
            <w:pPr>
              <w:pStyle w:val="TableContents"/>
              <w:bidi w:val="0"/>
              <w:spacing w:before="0" w:after="0"/>
              <w:ind w:left="0" w:right="0" w:hanging="0"/>
              <w:jc w:val="right"/>
              <w:rPr/>
            </w:pPr>
            <w:r>
              <w:rPr/>
              <w:t> </w:t>
            </w:r>
          </w:p>
        </w:tc>
        <w:tc>
          <w:tcPr>
            <w:tcW w:w="286" w:type="dxa"/>
            <w:tcBorders/>
            <w:vAlign w:val="center"/>
          </w:tcPr>
          <w:p>
            <w:pPr>
              <w:pStyle w:val="TableContents"/>
              <w:bidi w:val="0"/>
              <w:spacing w:before="0" w:after="0"/>
              <w:ind w:left="0" w:right="0" w:hanging="0"/>
              <w:jc w:val="righ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operating expenses to average net assets </w:t>
            </w:r>
            <w:r>
              <w:rPr>
                <w:rFonts w:ascii="Times New Roman;serif" w:hAnsi="Times New Roman;serif"/>
                <w:b w:val="false"/>
                <w:sz w:val="11"/>
              </w:rPr>
              <w:t>(4)</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7.70</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4.27</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debt related expenses to average net assets </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total expenses to average net assets </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15.42</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8.33</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Ratio of net investment income to average net assets </w:t>
            </w:r>
            <w:r>
              <w:rPr>
                <w:rFonts w:ascii="Times New Roman;serif" w:hAnsi="Times New Roman;serif"/>
                <w:b w:val="false"/>
                <w:sz w:val="11"/>
              </w:rPr>
              <w:t>(5)</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12.11</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7.02</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assets at end of period</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503,619</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631,510</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Weighted average debt outstanding</w:t>
            </w:r>
            <w:r>
              <w:rPr>
                <w:rFonts w:ascii="Times New Roman;serif" w:hAnsi="Times New Roman;serif"/>
                <w:b w:val="false"/>
                <w:sz w:val="11"/>
              </w:rPr>
              <w:t>(6)</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677,883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676,738</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Weighted average debt per share </w:t>
            </w:r>
            <w:r>
              <w:rPr>
                <w:rFonts w:ascii="Times New Roman;serif" w:hAnsi="Times New Roman;serif"/>
                <w:b w:val="false"/>
                <w:sz w:val="11"/>
              </w:rPr>
              <w:t>(1)(6)</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10.39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10.17</w:t>
            </w:r>
          </w:p>
        </w:tc>
        <w:tc>
          <w:tcPr>
            <w:tcW w:w="286"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Asset coverage per unit </w:t>
            </w:r>
            <w:r>
              <w:rPr>
                <w:rFonts w:ascii="Times New Roman;serif" w:hAnsi="Times New Roman;serif"/>
                <w:b w:val="false"/>
                <w:sz w:val="11"/>
              </w:rPr>
              <w:t>(7)</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1,791</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1,871</w:t>
            </w:r>
          </w:p>
        </w:tc>
        <w:tc>
          <w:tcPr>
            <w:tcW w:w="286" w:type="dxa"/>
            <w:tcBorders/>
            <w:vAlign w:val="center"/>
          </w:tcPr>
          <w:p>
            <w:pPr>
              <w:pStyle w:val="TableContents"/>
              <w:bidi w:val="0"/>
              <w:spacing w:before="0" w:after="0"/>
              <w:ind w:left="0" w:right="0" w:hanging="0"/>
              <w:jc w:val="left"/>
              <w:rPr/>
            </w:pPr>
            <w:r>
              <w:rPr/>
              <w:t> </w:t>
            </w:r>
          </w:p>
        </w:tc>
      </w:tr>
      <w:tr>
        <w:trPr/>
        <w:tc>
          <w:tcPr>
            <w:tcW w:w="453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Portfolio turnover rate</w:t>
            </w:r>
            <w:r>
              <w:rPr>
                <w:rFonts w:ascii="Times New Roman;serif" w:hAnsi="Times New Roman;serif"/>
                <w:b w:val="false"/>
                <w:sz w:val="11"/>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14.38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56.91</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bidi w:val="0"/>
        <w:spacing w:before="0" w:after="0"/>
        <w:jc w:val="left"/>
        <w:rPr>
          <w:rFonts w:ascii="Times New Roman" w:hAnsi="Times New Roman"/>
          <w:sz w:val="20"/>
        </w:rPr>
      </w:pPr>
      <w:r>
        <w:rPr>
          <w:rFonts w:ascii="Times New Roman;serif" w:hAnsi="Times New Roman;serif"/>
          <w:b/>
          <w:sz w:val="12"/>
        </w:rPr>
        <w:t xml:space="preserve">* </w:t>
      </w:r>
      <w:r>
        <w:rPr>
          <w:rFonts w:ascii="Times New Roman;serif" w:hAnsi="Times New Roman;serif"/>
          <w:b w:val="false"/>
          <w:sz w:val="12"/>
        </w:rPr>
        <w:t>Not annualized for periods less than one year.</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 Re-occuring investment income and expenses included in these ratios are annualized for periods less than one year.</w:t>
      </w:r>
    </w:p>
    <w:p>
      <w:pPr>
        <w:pStyle w:val="TextBody"/>
        <w:bidi w:val="0"/>
        <w:spacing w:before="0" w:after="0"/>
        <w:jc w:val="left"/>
        <w:rPr>
          <w:rFonts w:ascii="Times New Roman" w:hAnsi="Times New Roman"/>
          <w:b w:val="false"/>
          <w:sz w:val="12"/>
        </w:rPr>
      </w:pPr>
      <w:r>
        <w:rPr>
          <w:rFonts w:ascii="Times New Roman" w:hAnsi="Times New Roman"/>
          <w:b w:val="false"/>
          <w:sz w:val="12"/>
        </w:rPr>
        <w:t>(1)</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Based on the weighted average shares outstanding for the respective periods.</w:t>
      </w:r>
    </w:p>
    <w:p>
      <w:pPr>
        <w:pStyle w:val="TextBody"/>
        <w:bidi w:val="0"/>
        <w:spacing w:before="0" w:after="0"/>
        <w:jc w:val="left"/>
        <w:rPr>
          <w:rFonts w:ascii="Times New Roman" w:hAnsi="Times New Roman"/>
          <w:b w:val="false"/>
          <w:sz w:val="12"/>
        </w:rPr>
      </w:pPr>
      <w:r>
        <w:rPr>
          <w:rFonts w:ascii="Times New Roman" w:hAnsi="Times New Roman"/>
          <w:b w:val="false"/>
          <w:sz w:val="12"/>
        </w:rPr>
        <w:t>(2)</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The tax status of distributions is calculated in accordance with income tax regulations, which may differ from amounts determined under GAAP, and reported on Form 1099-DIV each calendar year.</w:t>
      </w:r>
    </w:p>
    <w:p>
      <w:pPr>
        <w:pStyle w:val="TextBody"/>
        <w:bidi w:val="0"/>
        <w:spacing w:before="0" w:after="0"/>
        <w:jc w:val="left"/>
        <w:rPr>
          <w:rFonts w:ascii="Times New Roman" w:hAnsi="Times New Roman"/>
          <w:b w:val="false"/>
          <w:sz w:val="12"/>
        </w:rPr>
      </w:pPr>
      <w:r>
        <w:rPr>
          <w:rFonts w:ascii="Times New Roman" w:hAnsi="Times New Roman"/>
          <w:b w:val="false"/>
          <w:sz w:val="12"/>
        </w:rPr>
        <w:t>(3)</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Based on the change in market price per share during the periods and assumes distributions, if any, are reinvested.</w:t>
      </w:r>
    </w:p>
    <w:p>
      <w:pPr>
        <w:pStyle w:val="TextBody"/>
        <w:bidi w:val="0"/>
        <w:spacing w:before="0" w:after="0"/>
        <w:jc w:val="left"/>
        <w:rPr>
          <w:rFonts w:ascii="Times New Roman" w:hAnsi="Times New Roman"/>
          <w:b w:val="false"/>
          <w:sz w:val="12"/>
        </w:rPr>
      </w:pPr>
      <w:r>
        <w:rPr>
          <w:rFonts w:ascii="Times New Roman" w:hAnsi="Times New Roman"/>
          <w:b w:val="false"/>
          <w:sz w:val="12"/>
        </w:rPr>
        <w:t>(4)</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Excludes debt-related costs.</w:t>
      </w:r>
    </w:p>
    <w:p>
      <w:pPr>
        <w:pStyle w:val="TextBody"/>
        <w:bidi w:val="0"/>
        <w:spacing w:before="0" w:after="0"/>
        <w:jc w:val="left"/>
        <w:rPr>
          <w:rFonts w:ascii="Times New Roman" w:hAnsi="Times New Roman"/>
          <w:b w:val="false"/>
          <w:sz w:val="12"/>
        </w:rPr>
      </w:pPr>
      <w:r>
        <w:rPr>
          <w:rFonts w:ascii="Times New Roman" w:hAnsi="Times New Roman"/>
          <w:b w:val="false"/>
          <w:sz w:val="12"/>
        </w:rPr>
        <w:t>(5)</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Includes interest and expenses on debt (annualized) as well as Credit Facility amendment, debt issuance costs and excludes debt extinguishment cost, if any, (not annualized).</w:t>
      </w:r>
    </w:p>
    <w:p>
      <w:pPr>
        <w:pStyle w:val="TextBody"/>
        <w:bidi w:val="0"/>
        <w:spacing w:before="0" w:after="0"/>
        <w:jc w:val="left"/>
        <w:rPr>
          <w:rFonts w:ascii="Times New Roman" w:hAnsi="Times New Roman"/>
          <w:b w:val="false"/>
          <w:sz w:val="12"/>
        </w:rPr>
      </w:pPr>
      <w:r>
        <w:rPr>
          <w:rFonts w:ascii="Times New Roman" w:hAnsi="Times New Roman"/>
          <w:b w:val="false"/>
          <w:sz w:val="12"/>
        </w:rPr>
        <w:t>(6)</w:t>
      </w:r>
    </w:p>
    <w:p>
      <w:pPr>
        <w:pStyle w:val="TextBody"/>
        <w:bidi w:val="0"/>
        <w:spacing w:before="0" w:after="0"/>
        <w:jc w:val="left"/>
        <w:rPr>
          <w:rFonts w:ascii="Times New Roman;serif" w:hAnsi="Times New Roman;serif"/>
          <w:b w:val="false"/>
          <w:sz w:val="12"/>
        </w:rPr>
      </w:pPr>
      <w:r>
        <w:rPr>
          <w:rFonts w:ascii="Times New Roman;serif" w:hAnsi="Times New Roman;serif"/>
          <w:b w:val="false"/>
          <w:sz w:val="12"/>
        </w:rPr>
        <w:t>Includes SBA debentures outstanding.</w:t>
      </w:r>
    </w:p>
    <w:p>
      <w:pPr>
        <w:pStyle w:val="TextBody"/>
        <w:bidi w:val="0"/>
        <w:spacing w:before="0" w:after="0"/>
        <w:jc w:val="left"/>
        <w:rPr>
          <w:rFonts w:ascii="Times New Roman" w:hAnsi="Times New Roman"/>
          <w:b w:val="false"/>
          <w:sz w:val="12"/>
        </w:rPr>
      </w:pPr>
      <w:r>
        <w:rPr>
          <w:rFonts w:ascii="Times New Roman" w:hAnsi="Times New Roman"/>
          <w:b w:val="false"/>
          <w:sz w:val="12"/>
        </w:rPr>
        <w:t>(7)</w:t>
      </w:r>
    </w:p>
    <w:p>
      <w:pPr>
        <w:pStyle w:val="TextBody"/>
        <w:bidi w:val="0"/>
        <w:jc w:val="left"/>
        <w:rPr>
          <w:rFonts w:ascii="Times New Roman;serif" w:hAnsi="Times New Roman;serif"/>
          <w:sz w:val="16"/>
        </w:rPr>
      </w:pPr>
      <w:r>
        <w:rPr>
          <w:rFonts w:ascii="Times New Roman;serif" w:hAnsi="Times New Roman;serif"/>
          <w:b w:val="false"/>
          <w:sz w:val="12"/>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w:t>
      </w:r>
      <w:r>
        <w:rPr>
          <w:rFonts w:ascii="Times New Roman;serif" w:hAnsi="Times New Roman;serif"/>
          <w:sz w:val="16"/>
        </w:rPr>
        <w:t xml:space="preserve"> </w:t>
      </w:r>
      <w:r>
        <w:rPr>
          <w:rFonts w:ascii="Times New Roman;serif" w:hAnsi="Times New Roman;serif"/>
          <w:b w:val="false"/>
          <w:sz w:val="12"/>
        </w:rPr>
        <w:t>to determine the asset coverage per unit. These amounts exclude SBA debentures from our asset coverage per unit computation pursuant to exemptive relief received from the SEC in June 2011.</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16"/>
        </w:rPr>
        <w:t>10.</w:t>
      </w:r>
      <w:r>
        <w:rPr>
          <w:rFonts w:ascii="Times New Roman" w:hAnsi="Times New Roman"/>
          <w:sz w:val="20"/>
        </w:rPr>
        <w:t xml:space="preserve"> </w:t>
      </w:r>
      <w:r>
        <w:rPr>
          <w:rFonts w:ascii="Times New Roman;serif" w:hAnsi="Times New Roman;serif"/>
          <w:b/>
          <w:sz w:val="16"/>
        </w:rPr>
        <w:t>DEBT</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The annualized weighted average cost of debt for the nine months ended June 30, 2023 and 2022, inclusive of the fee on the undrawn commitment and amendment costs on the Truist Credit Facility and amortized upfront fees on 2026 Notes and 2026 Notes-2, was 6.0%</w:t>
      </w:r>
      <w:r>
        <w:rPr>
          <w:rFonts w:ascii="Times New Roman" w:hAnsi="Times New Roman"/>
          <w:sz w:val="20"/>
        </w:rPr>
        <w:t xml:space="preserve"> </w:t>
      </w:r>
      <w:r>
        <w:rPr>
          <w:rFonts w:ascii="Times New Roman;serif" w:hAnsi="Times New Roman;serif"/>
          <w:b w:val="false"/>
          <w:sz w:val="16"/>
        </w:rPr>
        <w:t>and 4.0%, respectively. As of June 30, 2023,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June 30, 2023 and September 30, 2022, our asset coverage ratio, as computed in accordance with the 1940 Act, was 179% and 186%, respectively.</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Truist Credit Facility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As of June 30, 2023, we had the multi-currency Truist Credit Facility for up to $500.0</w:t>
      </w:r>
      <w:r>
        <w:rPr>
          <w:rFonts w:ascii="Times New Roman" w:hAnsi="Times New Roman"/>
          <w:sz w:val="20"/>
        </w:rPr>
        <w:t xml:space="preserve"> </w:t>
      </w:r>
      <w:r>
        <w:rPr>
          <w:rFonts w:ascii="Times New Roman;serif" w:hAnsi="Times New Roman;serif"/>
          <w:b w:val="false"/>
          <w:sz w:val="16"/>
        </w:rPr>
        <w:t>million (increased from $465.0</w:t>
      </w:r>
      <w:r>
        <w:rPr>
          <w:rFonts w:ascii="Times New Roman" w:hAnsi="Times New Roman"/>
          <w:sz w:val="20"/>
        </w:rPr>
        <w:t xml:space="preserve"> </w:t>
      </w:r>
      <w:r>
        <w:rPr>
          <w:rFonts w:ascii="Times New Roman;serif" w:hAnsi="Times New Roman;serif"/>
          <w:b w:val="false"/>
          <w:sz w:val="16"/>
        </w:rPr>
        <w:t>million in July 2022), which may be further increased up to $750.0</w:t>
      </w:r>
      <w:r>
        <w:rPr>
          <w:rFonts w:ascii="Times New Roman" w:hAnsi="Times New Roman"/>
          <w:sz w:val="20"/>
        </w:rPr>
        <w:t xml:space="preserve"> </w:t>
      </w:r>
      <w:r>
        <w:rPr>
          <w:rFonts w:ascii="Times New Roman;serif" w:hAnsi="Times New Roman;serif"/>
          <w:b w:val="false"/>
          <w:sz w:val="16"/>
        </w:rPr>
        <w:t>million in borrowings with certain lenders and Truist Bank (formerly SunTrust Bank), acting as administrative agent, Regions Bank, acting as an additional multicurrency lender, and JPMorgan Chase Bank, N.A., acting as syndication agent for the lenders. As of June 30, 2023 and September 30, 2022, we had $314.4</w:t>
      </w:r>
      <w:r>
        <w:rPr>
          <w:rFonts w:ascii="Times New Roman" w:hAnsi="Times New Roman"/>
          <w:sz w:val="20"/>
        </w:rPr>
        <w:t xml:space="preserve"> </w:t>
      </w:r>
      <w:r>
        <w:rPr>
          <w:rFonts w:ascii="Times New Roman;serif" w:hAnsi="Times New Roman;serif"/>
          <w:b w:val="false"/>
          <w:sz w:val="16"/>
        </w:rPr>
        <w:t>million and $385.9</w:t>
      </w:r>
      <w:r>
        <w:rPr>
          <w:rFonts w:ascii="Times New Roman" w:hAnsi="Times New Roman"/>
          <w:sz w:val="20"/>
        </w:rPr>
        <w:t xml:space="preserve"> </w:t>
      </w:r>
      <w:r>
        <w:rPr>
          <w:rFonts w:ascii="Times New Roman;serif" w:hAnsi="Times New Roman;serif"/>
          <w:b w:val="false"/>
          <w:sz w:val="16"/>
        </w:rPr>
        <w:t>million, respectively, in outstanding borrowings under the Truist Credit Facility. The Truist Credit Facility had a weighted average interest rate was 7.4% and 5.3%, respectively, exclusive of the fee on undrawn commitment, as of June 30, 2023 and September 30, 2022. The Truist Credit Facility is a revolving facility with a stated maturity date of July 29, 2027</w:t>
      </w:r>
      <w:r>
        <w:rPr>
          <w:rFonts w:ascii="Times New Roman" w:hAnsi="Times New Roman"/>
          <w:sz w:val="20"/>
        </w:rPr>
        <w:t xml:space="preserve"> </w:t>
      </w:r>
      <w:r>
        <w:rPr>
          <w:rFonts w:ascii="Times New Roman;serif" w:hAnsi="Times New Roman;serif"/>
          <w:b w:val="false"/>
          <w:sz w:val="16"/>
        </w:rPr>
        <w:t>for $475.0</w:t>
      </w:r>
      <w:r>
        <w:rPr>
          <w:rFonts w:ascii="Times New Roman" w:hAnsi="Times New Roman"/>
          <w:sz w:val="20"/>
        </w:rPr>
        <w:t xml:space="preserve"> </w:t>
      </w:r>
      <w:r>
        <w:rPr>
          <w:rFonts w:ascii="Times New Roman;serif" w:hAnsi="Times New Roman;serif"/>
          <w:b w:val="false"/>
          <w:sz w:val="16"/>
        </w:rPr>
        <w:t>million out of the total $500.0</w:t>
      </w:r>
      <w:r>
        <w:rPr>
          <w:rFonts w:ascii="Times New Roman" w:hAnsi="Times New Roman"/>
          <w:sz w:val="20"/>
        </w:rPr>
        <w:t xml:space="preserve"> </w:t>
      </w:r>
      <w:r>
        <w:rPr>
          <w:rFonts w:ascii="Times New Roman;serif" w:hAnsi="Times New Roman;serif"/>
          <w:b w:val="false"/>
          <w:sz w:val="16"/>
        </w:rPr>
        <w:t>million commitments (with the revolving period with respect to the remaining $25.0</w:t>
      </w:r>
      <w:r>
        <w:rPr>
          <w:rFonts w:ascii="Times New Roman" w:hAnsi="Times New Roman"/>
          <w:sz w:val="20"/>
        </w:rPr>
        <w:t xml:space="preserve"> </w:t>
      </w:r>
      <w:r>
        <w:rPr>
          <w:rFonts w:ascii="Times New Roman;serif" w:hAnsi="Times New Roman;serif"/>
          <w:b w:val="false"/>
          <w:sz w:val="16"/>
        </w:rPr>
        <w:t>million of commitments expiring on September 4, 2023</w:t>
      </w:r>
      <w:r>
        <w:rPr>
          <w:rFonts w:ascii="Times New Roman" w:hAnsi="Times New Roman"/>
          <w:sz w:val="20"/>
        </w:rPr>
        <w:t xml:space="preserve"> </w:t>
      </w:r>
      <w:r>
        <w:rPr>
          <w:rFonts w:ascii="Times New Roman;serif" w:hAnsi="Times New Roman;serif"/>
          <w:b w:val="false"/>
          <w:sz w:val="16"/>
        </w:rPr>
        <w:t>and the related obligations maturing on September 4, 2024) and pricing set at 235</w:t>
      </w:r>
      <w:r>
        <w:rPr>
          <w:rFonts w:ascii="Times New Roman" w:hAnsi="Times New Roman"/>
          <w:sz w:val="20"/>
        </w:rPr>
        <w:t xml:space="preserve"> </w:t>
      </w:r>
      <w:r>
        <w:rPr>
          <w:rFonts w:ascii="Times New Roman;serif" w:hAnsi="Times New Roman;serif"/>
          <w:b w:val="false"/>
          <w:sz w:val="16"/>
        </w:rPr>
        <w:t>basis points over SOFR (or an alternative risk-free floating interest rate index).</w:t>
      </w:r>
      <w:r>
        <w:rPr>
          <w:rFonts w:ascii="Times New Roman" w:hAnsi="Times New Roman"/>
          <w:sz w:val="20"/>
        </w:rPr>
        <w:t xml:space="preserve"> </w:t>
      </w:r>
      <w:r>
        <w:rPr>
          <w:rFonts w:ascii="Times New Roman;serif" w:hAnsi="Times New Roman;serif"/>
          <w:b w:val="false"/>
          <w:sz w:val="16"/>
        </w:rPr>
        <w:t>As of June 30, 2023 and September 30, 2022, we had $185.6</w:t>
      </w:r>
      <w:r>
        <w:rPr>
          <w:rFonts w:ascii="Times New Roman" w:hAnsi="Times New Roman"/>
          <w:sz w:val="20"/>
        </w:rPr>
        <w:t xml:space="preserve"> </w:t>
      </w:r>
      <w:r>
        <w:rPr>
          <w:rFonts w:ascii="Times New Roman;serif" w:hAnsi="Times New Roman;serif"/>
          <w:b w:val="false"/>
          <w:sz w:val="16"/>
        </w:rPr>
        <w:t>million and $114.1</w:t>
      </w:r>
      <w:r>
        <w:rPr>
          <w:rFonts w:ascii="Times New Roman" w:hAnsi="Times New Roman"/>
          <w:sz w:val="20"/>
        </w:rPr>
        <w:t xml:space="preserve"> </w:t>
      </w:r>
      <w:r>
        <w:rPr>
          <w:rFonts w:ascii="Times New Roman;serif" w:hAnsi="Times New Roman;serif"/>
          <w:b w:val="false"/>
          <w:sz w:val="16"/>
        </w:rPr>
        <w:t>million of unused borrowing capacity under the Truist Credit Facility, respectively, subject to leverage and borrowing base restrictions. The Truist Credit Facility is secured by substantially all of our assets, excluding assets held by SBIC II. As of June 30, 2023, we were in compliance with the terms of the Truist Credit Facility.</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16"/>
        </w:rPr>
      </w:pPr>
      <w:r>
        <w:rPr>
          <w:rFonts w:ascii="Times New Roman;serif" w:hAnsi="Times New Roman;serif"/>
          <w:b/>
          <w:i/>
          <w:sz w:val="16"/>
        </w:rPr>
        <w:t>SBA Debentures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SBIC II was previously able to borrow funds from the SBA against regulatory capital (which approximates equity capital) that is paid-in and is subject to customary regulatory requirements including an examination by the SBA. We previously funded SBIC II with $75.0</w:t>
      </w:r>
      <w:r>
        <w:rPr>
          <w:rFonts w:ascii="Times New Roman" w:hAnsi="Times New Roman"/>
          <w:sz w:val="20"/>
        </w:rPr>
        <w:t xml:space="preserve"> </w:t>
      </w:r>
      <w:r>
        <w:rPr>
          <w:rFonts w:ascii="Times New Roman;serif" w:hAnsi="Times New Roman;serif"/>
          <w:b w:val="false"/>
          <w:sz w:val="16"/>
        </w:rPr>
        <w:t>million of equity capital and it had SBA debentures outstanding of zero</w:t>
      </w:r>
      <w:r>
        <w:rPr>
          <w:rFonts w:ascii="Times New Roman" w:hAnsi="Times New Roman"/>
          <w:sz w:val="20"/>
        </w:rPr>
        <w:t xml:space="preserve"> </w:t>
      </w:r>
      <w:r>
        <w:rPr>
          <w:rFonts w:ascii="Times New Roman;serif" w:hAnsi="Times New Roman;serif"/>
          <w:b w:val="false"/>
          <w:sz w:val="16"/>
        </w:rPr>
        <w:t>and $20.0</w:t>
      </w:r>
      <w:r>
        <w:rPr>
          <w:rFonts w:ascii="Times New Roman" w:hAnsi="Times New Roman"/>
          <w:sz w:val="20"/>
        </w:rPr>
        <w:t xml:space="preserve"> </w:t>
      </w:r>
      <w:r>
        <w:rPr>
          <w:rFonts w:ascii="Times New Roman;serif" w:hAnsi="Times New Roman;serif"/>
          <w:b w:val="false"/>
          <w:sz w:val="16"/>
        </w:rPr>
        <w:t>million as of June 30, 2023 and September 30, 2022, respectively. SBA debentures are non-recourse to us and may be prepaid at any time without penalty. The interest rate of SBA debentures is fixed at the time of issuance, often referred to as pooling, at a market-driven spread over 10-year</w:t>
      </w:r>
      <w:r>
        <w:rPr>
          <w:rFonts w:ascii="Times New Roman" w:hAnsi="Times New Roman"/>
          <w:sz w:val="20"/>
        </w:rPr>
        <w:t xml:space="preserve"> </w:t>
      </w:r>
      <w:r>
        <w:rPr>
          <w:rFonts w:ascii="Times New Roman;serif" w:hAnsi="Times New Roman;serif"/>
          <w:b w:val="false"/>
          <w:sz w:val="16"/>
        </w:rPr>
        <w:t>U.S. Treasury Notes. Under current SBA regulations, an SBIC may individually borrow up to a maximum of $175.0</w:t>
      </w:r>
      <w:r>
        <w:rPr>
          <w:rFonts w:ascii="Times New Roman" w:hAnsi="Times New Roman"/>
          <w:sz w:val="20"/>
        </w:rPr>
        <w:t xml:space="preserve"> </w:t>
      </w:r>
      <w:r>
        <w:rPr>
          <w:rFonts w:ascii="Times New Roman;serif" w:hAnsi="Times New Roman;serif"/>
          <w:b w:val="false"/>
          <w:sz w:val="16"/>
        </w:rPr>
        <w:t>million, which is up to twice its potential regulatory capital, and as part of a group of SBICs under common control may borrow a maximum of $350</w:t>
      </w:r>
      <w:r>
        <w:rPr>
          <w:rFonts w:ascii="Times New Roman" w:hAnsi="Times New Roman"/>
          <w:sz w:val="20"/>
        </w:rPr>
        <w:t xml:space="preserve"> </w:t>
      </w:r>
      <w:r>
        <w:rPr>
          <w:rFonts w:ascii="Times New Roman;serif" w:hAnsi="Times New Roman;serif"/>
          <w:b w:val="false"/>
          <w:sz w:val="16"/>
        </w:rPr>
        <w:t>million in the aggregate.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As of both June 30, 2023 and September 30, 2022, SBIC II had an initial $150.0</w:t>
      </w:r>
      <w:r>
        <w:rPr>
          <w:rFonts w:ascii="Times New Roman" w:hAnsi="Times New Roman"/>
          <w:sz w:val="20"/>
        </w:rPr>
        <w:t xml:space="preserve"> </w:t>
      </w:r>
      <w:r>
        <w:rPr>
          <w:rFonts w:ascii="Times New Roman;serif" w:hAnsi="Times New Roman;serif"/>
          <w:b w:val="false"/>
          <w:sz w:val="16"/>
        </w:rPr>
        <w:t>million in debt commitments, all of which were drawn. During the three and nine months ended June 30, 2023, zero</w:t>
      </w:r>
      <w:r>
        <w:rPr>
          <w:rFonts w:ascii="Times New Roman" w:hAnsi="Times New Roman"/>
          <w:sz w:val="20"/>
        </w:rPr>
        <w:t xml:space="preserve"> </w:t>
      </w:r>
      <w:r>
        <w:rPr>
          <w:rFonts w:ascii="Times New Roman;serif" w:hAnsi="Times New Roman;serif"/>
          <w:b w:val="false"/>
          <w:sz w:val="16"/>
        </w:rPr>
        <w:t>and $20.0</w:t>
      </w:r>
      <w:r>
        <w:rPr>
          <w:rFonts w:ascii="Times New Roman" w:hAnsi="Times New Roman"/>
          <w:sz w:val="20"/>
        </w:rPr>
        <w:t xml:space="preserve"> </w:t>
      </w:r>
      <w:r>
        <w:rPr>
          <w:rFonts w:ascii="Times New Roman;serif" w:hAnsi="Times New Roman;serif"/>
          <w:b w:val="false"/>
          <w:sz w:val="16"/>
        </w:rPr>
        <w:t>million of SBA debentures were repaid, respectively. During the three and nine months ended June 30, 2022, zero</w:t>
      </w:r>
      <w:r>
        <w:rPr>
          <w:rFonts w:ascii="Times New Roman" w:hAnsi="Times New Roman"/>
          <w:sz w:val="20"/>
        </w:rPr>
        <w:t xml:space="preserve"> </w:t>
      </w:r>
      <w:r>
        <w:rPr>
          <w:rFonts w:ascii="Times New Roman;serif" w:hAnsi="Times New Roman;serif"/>
          <w:b w:val="false"/>
          <w:sz w:val="16"/>
        </w:rPr>
        <w:t>and $36.0</w:t>
      </w:r>
      <w:r>
        <w:rPr>
          <w:rFonts w:ascii="Times New Roman" w:hAnsi="Times New Roman"/>
          <w:sz w:val="20"/>
        </w:rPr>
        <w:t xml:space="preserve"> </w:t>
      </w:r>
      <w:r>
        <w:rPr>
          <w:rFonts w:ascii="Times New Roman;serif" w:hAnsi="Times New Roman;serif"/>
          <w:b w:val="false"/>
          <w:sz w:val="16"/>
        </w:rPr>
        <w:t>million in SBA debentures were repaid, resectively. The SBA debentures’ upfront fees of 3.4% consist of a commitment fee of 1.0% and an issuance discount of 2.4%, which are being amortized. As of June 30, 2023 and September 30, 2022, the unamortized fees on the SBA debentures was zero</w:t>
      </w:r>
      <w:r>
        <w:rPr>
          <w:rFonts w:ascii="Times New Roman" w:hAnsi="Times New Roman"/>
          <w:sz w:val="20"/>
        </w:rPr>
        <w:t xml:space="preserve"> </w:t>
      </w:r>
      <w:r>
        <w:rPr>
          <w:rFonts w:ascii="Times New Roman;serif" w:hAnsi="Times New Roman;serif"/>
          <w:b w:val="false"/>
          <w:sz w:val="16"/>
        </w:rPr>
        <w:t>and $0.3</w:t>
      </w:r>
      <w:r>
        <w:rPr>
          <w:rFonts w:ascii="Times New Roman" w:hAnsi="Times New Roman"/>
          <w:sz w:val="20"/>
        </w:rPr>
        <w:t xml:space="preserve"> </w:t>
      </w:r>
      <w:r>
        <w:rPr>
          <w:rFonts w:ascii="Times New Roman;serif" w:hAnsi="Times New Roman;serif"/>
          <w:b w:val="false"/>
          <w:sz w:val="16"/>
        </w:rPr>
        <w:t>million, respectively. We repaid the remaining $20.0</w:t>
      </w:r>
      <w:r>
        <w:rPr>
          <w:rFonts w:ascii="Times New Roman" w:hAnsi="Times New Roman"/>
          <w:sz w:val="20"/>
        </w:rPr>
        <w:t xml:space="preserve"> </w:t>
      </w:r>
      <w:r>
        <w:rPr>
          <w:rFonts w:ascii="Times New Roman;serif" w:hAnsi="Times New Roman;serif"/>
          <w:b w:val="false"/>
          <w:sz w:val="16"/>
        </w:rPr>
        <w:t>million SBA debentures during the nine months ended June 30, 2023.</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Our fixed-rate SBA debentures were as follows ($ in thousands):</w:t>
      </w:r>
    </w:p>
    <w:p>
      <w:pPr>
        <w:pStyle w:val="TextBody"/>
        <w:bidi w:val="0"/>
        <w:spacing w:before="0" w:after="0"/>
        <w:jc w:val="left"/>
        <w:rPr/>
      </w:pPr>
      <w:r>
        <w:rPr/>
        <w:t> </w:t>
      </w:r>
    </w:p>
    <w:tbl>
      <w:tblPr>
        <w:tblW w:w="8067" w:type="dxa"/>
        <w:jc w:val="left"/>
        <w:tblInd w:w="0" w:type="dxa"/>
        <w:tblLayout w:type="fixed"/>
        <w:tblCellMar>
          <w:top w:w="28" w:type="dxa"/>
          <w:left w:w="28" w:type="dxa"/>
          <w:bottom w:w="28" w:type="dxa"/>
          <w:right w:w="28" w:type="dxa"/>
        </w:tblCellMar>
      </w:tblPr>
      <w:tblGrid>
        <w:gridCol w:w="1531"/>
        <w:gridCol w:w="146"/>
        <w:gridCol w:w="1426"/>
        <w:gridCol w:w="146"/>
        <w:gridCol w:w="649"/>
        <w:gridCol w:w="1481"/>
        <w:gridCol w:w="241"/>
        <w:gridCol w:w="146"/>
        <w:gridCol w:w="146"/>
        <w:gridCol w:w="408"/>
        <w:gridCol w:w="304"/>
        <w:gridCol w:w="125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Issuance Dates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Fixed All-in Coupon Rate </w:t>
            </w:r>
            <w:r>
              <w:rPr>
                <w:rFonts w:ascii="Times New Roman;serif" w:hAnsi="Times New Roman;serif"/>
                <w:b/>
                <w:sz w:val="11"/>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September 30, 2022</w:t>
              <w:br/>
              <w:t>Principal Balance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September 20, 2017</w:t>
            </w:r>
          </w:p>
        </w:tc>
        <w:tc>
          <w:tcPr>
            <w:tcW w:w="1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September 1, 2027</w:t>
            </w:r>
          </w:p>
        </w:tc>
        <w:tc>
          <w:tcPr>
            <w:tcW w:w="146"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left"/>
              <w:rPr/>
            </w:pPr>
            <w:r>
              <w:rPr/>
              <w:t> </w:t>
            </w:r>
          </w:p>
        </w:tc>
        <w:tc>
          <w:tcPr>
            <w:tcW w:w="14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4"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left"/>
        <w:rPr/>
      </w:pPr>
      <w:r>
        <w:rPr/>
        <w:t> </w:t>
      </w:r>
    </w:p>
    <w:p>
      <w:pPr>
        <w:pStyle w:val="TextBody"/>
        <w:bidi w:val="0"/>
        <w:spacing w:before="0" w:after="0"/>
        <w:jc w:val="left"/>
        <w:rPr>
          <w:rFonts w:ascii="Times New Roman" w:hAnsi="Times New Roman"/>
          <w:b/>
          <w:sz w:val="13"/>
        </w:rPr>
      </w:pPr>
      <w:r>
        <w:rPr>
          <w:rFonts w:ascii="Times New Roman" w:hAnsi="Times New Roman"/>
          <w:b/>
          <w:sz w:val="13"/>
        </w:rPr>
        <w:t>(1)</w:t>
      </w:r>
    </w:p>
    <w:p>
      <w:pPr>
        <w:pStyle w:val="TextBody"/>
        <w:bidi w:val="0"/>
        <w:jc w:val="left"/>
        <w:rPr>
          <w:rFonts w:ascii="Times New Roman;serif" w:hAnsi="Times New Roman;serif"/>
          <w:b w:val="false"/>
          <w:sz w:val="13"/>
        </w:rPr>
      </w:pPr>
      <w:r>
        <w:rPr>
          <w:rFonts w:ascii="Times New Roman;serif" w:hAnsi="Times New Roman;serif"/>
          <w:b w:val="false"/>
          <w:sz w:val="13"/>
        </w:rPr>
        <w:t>Excluding 3.4% of upfront fees.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The SBIC program was designed to stimulate the flow of capital into eligible businesses. Under SBA regulations, SBIC II was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its financial statements that are prepared on a basis of accounting other than GAAP (for example, fair value, as defined under ASC 820, is not required to be used for assets or liabilities for such compliance reporting).</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2024 Notes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As of June 30, 2023 and September 30, 2022, we had zero</w:t>
      </w:r>
      <w:r>
        <w:rPr>
          <w:rFonts w:ascii="Times New Roman" w:hAnsi="Times New Roman"/>
          <w:sz w:val="20"/>
        </w:rPr>
        <w:t xml:space="preserve"> </w:t>
      </w:r>
      <w:r>
        <w:rPr>
          <w:rFonts w:ascii="Times New Roman;serif" w:hAnsi="Times New Roman;serif"/>
          <w:b w:val="false"/>
          <w:sz w:val="16"/>
        </w:rPr>
        <w:t>in aggregate principal amount of 2024 Notes outstanding, respectively. The 2024 Notes were redeemed on November 13, 2021 at a redemption price of $25.00</w:t>
      </w:r>
      <w:r>
        <w:rPr>
          <w:rFonts w:ascii="Times New Roman" w:hAnsi="Times New Roman"/>
          <w:sz w:val="20"/>
        </w:rPr>
        <w:t xml:space="preserve"> </w:t>
      </w:r>
      <w:r>
        <w:rPr>
          <w:rFonts w:ascii="Times New Roman;serif" w:hAnsi="Times New Roman;serif"/>
          <w:b w:val="false"/>
          <w:sz w:val="16"/>
        </w:rPr>
        <w:t>per 2024 Note, plus accrued and unpaid interest to November 13, 2021, pursuant to the indenture governing the 2024 Notes. Interest on the 2024 Notes was paid quarterly</w:t>
      </w:r>
      <w:r>
        <w:rPr>
          <w:rFonts w:ascii="Times New Roman" w:hAnsi="Times New Roman"/>
          <w:sz w:val="20"/>
        </w:rPr>
        <w:t xml:space="preserve"> </w:t>
      </w:r>
      <w:r>
        <w:rPr>
          <w:rFonts w:ascii="Times New Roman;serif" w:hAnsi="Times New Roman;serif"/>
          <w:b w:val="false"/>
          <w:sz w:val="16"/>
        </w:rPr>
        <w:t>at a rate of 5.5% per year.</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2026 Notes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April 2021, we issued $150.0</w:t>
      </w:r>
      <w:r>
        <w:rPr>
          <w:rFonts w:ascii="Times New Roman" w:hAnsi="Times New Roman"/>
          <w:sz w:val="20"/>
        </w:rPr>
        <w:t xml:space="preserve"> </w:t>
      </w:r>
      <w:r>
        <w:rPr>
          <w:rFonts w:ascii="Times New Roman;serif" w:hAnsi="Times New Roman;serif"/>
          <w:b w:val="false"/>
          <w:sz w:val="16"/>
        </w:rPr>
        <w:t>million in aggregate principal amount of our 2026 Notes at a public offering price per note of 99.4%. Interest on the 2026 Notes is paid semi-annually</w:t>
      </w:r>
      <w:r>
        <w:rPr>
          <w:rFonts w:ascii="Times New Roman" w:hAnsi="Times New Roman"/>
          <w:sz w:val="20"/>
        </w:rPr>
        <w:t xml:space="preserve"> </w:t>
      </w:r>
      <w:r>
        <w:rPr>
          <w:rFonts w:ascii="Times New Roman;serif" w:hAnsi="Times New Roman;serif"/>
          <w:b w:val="false"/>
          <w:sz w:val="16"/>
        </w:rPr>
        <w:t>on May 1 and November 1 of each year, at a rate of 4.50% per year, commencing November 1, 2021. The 2026 Notes mature on May 1, 2026</w:t>
      </w:r>
      <w:r>
        <w:rPr>
          <w:rFonts w:ascii="Times New Roman" w:hAnsi="Times New Roman"/>
          <w:sz w:val="20"/>
        </w:rPr>
        <w:t xml:space="preserve"> </w:t>
      </w:r>
      <w:r>
        <w:rPr>
          <w:rFonts w:ascii="Times New Roman;serif" w:hAnsi="Times New Roman;serif"/>
          <w:b w:val="false"/>
          <w:sz w:val="16"/>
        </w:rPr>
        <w:t>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16"/>
        </w:rPr>
      </w:pPr>
      <w:r>
        <w:rPr>
          <w:rFonts w:ascii="Times New Roman;serif" w:hAnsi="Times New Roman;serif"/>
          <w:b/>
          <w:sz w:val="16"/>
        </w:rPr>
        <w:t>PENNANTPARK INVESTMENT CORPORATION AND SUBSIDIARIES</w:t>
      </w:r>
    </w:p>
    <w:p>
      <w:pPr>
        <w:pStyle w:val="TextBody"/>
        <w:bidi w:val="0"/>
        <w:spacing w:before="0" w:after="0"/>
        <w:jc w:val="center"/>
        <w:rPr>
          <w:rFonts w:ascii="Times New Roman;serif" w:hAnsi="Times New Roman;serif"/>
          <w:b/>
          <w:sz w:val="16"/>
        </w:rPr>
      </w:pPr>
      <w:r>
        <w:rPr>
          <w:rFonts w:ascii="Times New Roman;serif" w:hAnsi="Times New Roman;serif"/>
          <w:b/>
          <w:sz w:val="16"/>
        </w:rPr>
        <w:t>NOTES TO CONSOLIDATED FINANCIAL STATEMENTS (Unaudited) - (Continued)</w:t>
      </w:r>
    </w:p>
    <w:p>
      <w:pPr>
        <w:pStyle w:val="TextBody"/>
        <w:bidi w:val="0"/>
        <w:spacing w:before="0" w:after="0"/>
        <w:jc w:val="center"/>
        <w:rPr>
          <w:rFonts w:ascii="Times New Roman;serif" w:hAnsi="Times New Roman;serif"/>
          <w:b/>
          <w:sz w:val="16"/>
        </w:rPr>
      </w:pPr>
      <w:r>
        <w:rPr>
          <w:rFonts w:ascii="Times New Roman;serif" w:hAnsi="Times New Roman;serif"/>
          <w:b/>
          <w:sz w:val="16"/>
        </w:rPr>
        <w:t>JUNE 30, 2023</w:t>
      </w:r>
    </w:p>
    <w:p>
      <w:pPr>
        <w:pStyle w:val="TextBody"/>
        <w:bidi w:val="0"/>
        <w:spacing w:before="0" w:after="0"/>
        <w:jc w:val="center"/>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2026 Notes-2</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October 2021, we issued $165.0</w:t>
      </w:r>
      <w:r>
        <w:rPr>
          <w:rFonts w:ascii="Times New Roman" w:hAnsi="Times New Roman"/>
          <w:sz w:val="20"/>
        </w:rPr>
        <w:t xml:space="preserve"> </w:t>
      </w:r>
      <w:r>
        <w:rPr>
          <w:rFonts w:ascii="Times New Roman;serif" w:hAnsi="Times New Roman;serif"/>
          <w:b w:val="false"/>
          <w:sz w:val="16"/>
        </w:rPr>
        <w:t>million in aggregate principal amount of our 2026 Notes-2 at a public offering price per note of 99.436%. Interest on the 2026 Notes-2 is paid semi-annually</w:t>
      </w:r>
      <w:r>
        <w:rPr>
          <w:rFonts w:ascii="Times New Roman" w:hAnsi="Times New Roman"/>
          <w:sz w:val="20"/>
        </w:rPr>
        <w:t xml:space="preserve"> </w:t>
      </w:r>
      <w:r>
        <w:rPr>
          <w:rFonts w:ascii="Times New Roman;serif" w:hAnsi="Times New Roman;serif"/>
          <w:b w:val="false"/>
          <w:sz w:val="16"/>
        </w:rPr>
        <w:t>on May 1 and November 1 of each year, at a rate of 4.00% per year, commencing May 1, 2022. The 2026 Notes-2 mature on November 1, 2026</w:t>
      </w:r>
      <w:r>
        <w:rPr>
          <w:rFonts w:ascii="Times New Roman" w:hAnsi="Times New Roman"/>
          <w:sz w:val="20"/>
        </w:rPr>
        <w:t xml:space="preserve"> </w:t>
      </w:r>
      <w:r>
        <w:rPr>
          <w:rFonts w:ascii="Times New Roman;serif" w:hAnsi="Times New Roman;serif"/>
          <w:b w:val="false"/>
          <w:sz w:val="16"/>
        </w:rPr>
        <w:t>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11. COMMITMENTS AND CONTINGENCIES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From time to time, we,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Unfunded debt and equity investments, if any, are disclosed in the Consolidated Schedules of Investments. Under these arrangements, we may be required to supply a letter of credit to a third party if the portfolio company were to request a letter of credit. As of June 30, 2023 and September 30, 2022, we had $167.4</w:t>
      </w:r>
      <w:r>
        <w:rPr>
          <w:rFonts w:ascii="Times New Roman" w:hAnsi="Times New Roman"/>
          <w:sz w:val="20"/>
        </w:rPr>
        <w:t xml:space="preserve"> </w:t>
      </w:r>
      <w:r>
        <w:rPr>
          <w:rFonts w:ascii="Times New Roman;serif" w:hAnsi="Times New Roman;serif"/>
          <w:b w:val="false"/>
          <w:sz w:val="16"/>
        </w:rPr>
        <w:t>million and $169.2</w:t>
      </w:r>
      <w:r>
        <w:rPr>
          <w:rFonts w:ascii="Times New Roman" w:hAnsi="Times New Roman"/>
          <w:sz w:val="20"/>
        </w:rPr>
        <w:t xml:space="preserve"> </w:t>
      </w:r>
      <w:r>
        <w:rPr>
          <w:rFonts w:ascii="Times New Roman;serif" w:hAnsi="Times New Roman;serif"/>
          <w:b w:val="false"/>
          <w:sz w:val="16"/>
        </w:rPr>
        <w:t>million, respectively, in commitments to fund investments. For the same periods, there were no letters of credit issued.</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12. UNCONSOLIDATED SIGNIFICANT SUBSIDIARIES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must determine which, if any, of our unconsolidated controlled portfolio companies is a "significant subsidiary" within the meaning of Regulation S-X. We have determined that, as of September 30, 2022, PennantPark Senior Loan Fund, LLC and RAM Energy Holdings LLC triggered at least one of the significance tests.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 Our investment in RAM Energy Holdings, LLC was releaized on February 8, 2023.</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13. STOCK REPURCHASE PROGRAM</w:t>
      </w:r>
    </w:p>
    <w:p>
      <w:pPr>
        <w:pStyle w:val="TextBody"/>
        <w:bidi w:val="0"/>
        <w:spacing w:before="0" w:after="0"/>
        <w:jc w:val="both"/>
        <w:rPr>
          <w:rFonts w:ascii="Times New Roman" w:hAnsi="Times New Roman"/>
          <w:sz w:val="20"/>
        </w:rPr>
      </w:pPr>
      <w:r>
        <w:rPr>
          <w:rFonts w:ascii="Times New Roman;serif" w:hAnsi="Times New Roman;serif"/>
          <w:b w:val="false"/>
          <w:sz w:val="20"/>
        </w:rPr>
        <w:br/>
      </w:r>
      <w:r>
        <w:rPr>
          <w:rFonts w:ascii="Times New Roman;serif" w:hAnsi="Times New Roman;serif"/>
          <w:b w:val="false"/>
          <w:sz w:val="16"/>
        </w:rPr>
        <w:t>On February 9, 2022, we announced a share repurchase program which allows us to repurchase up to $25</w:t>
      </w:r>
      <w:r>
        <w:rPr>
          <w:rFonts w:ascii="Times New Roman" w:hAnsi="Times New Roman"/>
          <w:sz w:val="20"/>
        </w:rPr>
        <w:t xml:space="preserve"> </w:t>
      </w:r>
      <w:r>
        <w:rPr>
          <w:rFonts w:ascii="Times New Roman;serif" w:hAnsi="Times New Roman;serif"/>
          <w:b w:val="false"/>
          <w:sz w:val="16"/>
        </w:rPr>
        <w:t>million of our outstanding common shares in the open market at prices below our net asset value as reported in our then most recently published consolidated financial statements. The program expired on March 31, 2023. During the three and nine months ended June 30, 2023, we did not make any repurchases of our common shares. During the three and nine months ended June 30, 2022, we repurchased 717,709</w:t>
      </w:r>
      <w:r>
        <w:rPr>
          <w:rFonts w:ascii="Times New Roman" w:hAnsi="Times New Roman"/>
          <w:sz w:val="20"/>
        </w:rPr>
        <w:t xml:space="preserve"> </w:t>
      </w:r>
      <w:r>
        <w:rPr>
          <w:rFonts w:ascii="Times New Roman;serif" w:hAnsi="Times New Roman;serif"/>
          <w:b w:val="false"/>
          <w:sz w:val="16"/>
        </w:rPr>
        <w:t>and 1,631,163, respectively, shares of common stock in open market transactions for an aggregate cost (including transaction costs) of $4.9</w:t>
      </w:r>
      <w:r>
        <w:rPr>
          <w:rFonts w:ascii="Times New Roman" w:hAnsi="Times New Roman"/>
          <w:sz w:val="20"/>
        </w:rPr>
        <w:t xml:space="preserve"> </w:t>
      </w:r>
      <w:r>
        <w:rPr>
          <w:rFonts w:ascii="Times New Roman;serif" w:hAnsi="Times New Roman;serif"/>
          <w:b w:val="false"/>
          <w:sz w:val="16"/>
        </w:rPr>
        <w:t>million and $12.0</w:t>
      </w:r>
      <w:r>
        <w:rPr>
          <w:rFonts w:ascii="Times New Roman" w:hAnsi="Times New Roman"/>
          <w:sz w:val="20"/>
        </w:rPr>
        <w:t xml:space="preserve"> </w:t>
      </w:r>
      <w:r>
        <w:rPr>
          <w:rFonts w:ascii="Times New Roman;serif" w:hAnsi="Times New Roman;serif"/>
          <w:b w:val="false"/>
          <w:sz w:val="16"/>
        </w:rPr>
        <w:t>million, respectively.</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14. SUBSEQUENT EVENTS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On July 26, 2023, PSLF, through its wholly-owned and consolidated subsidiary, PennantPark CLO VII, LLC (“CLO VII”), closed a $300.0</w:t>
      </w:r>
      <w:r>
        <w:rPr>
          <w:rFonts w:ascii="Times New Roman" w:hAnsi="Times New Roman"/>
          <w:sz w:val="20"/>
        </w:rPr>
        <w:t xml:space="preserve"> </w:t>
      </w:r>
      <w:r>
        <w:rPr>
          <w:rFonts w:ascii="Times New Roman;serif" w:hAnsi="Times New Roman;serif"/>
          <w:b w:val="false"/>
          <w:sz w:val="16"/>
        </w:rPr>
        <w:t>million debt securitization in the form of a collateralized loan obligation. PSLF retained all of the subordinated notes, which totaled $54.0</w:t>
      </w:r>
      <w:r>
        <w:rPr>
          <w:rFonts w:ascii="Times New Roman" w:hAnsi="Times New Roman"/>
          <w:sz w:val="20"/>
        </w:rPr>
        <w:t xml:space="preserve"> </w:t>
      </w:r>
      <w:r>
        <w:rPr>
          <w:rFonts w:ascii="Times New Roman;serif" w:hAnsi="Times New Roman;serif"/>
          <w:b w:val="false"/>
          <w:sz w:val="16"/>
        </w:rPr>
        <w:t>million. The reinvestment period for the term debt securitization ends in July 2027</w:t>
      </w:r>
      <w:r>
        <w:rPr>
          <w:rFonts w:ascii="Times New Roman" w:hAnsi="Times New Roman"/>
          <w:sz w:val="20"/>
        </w:rPr>
        <w:t xml:space="preserve"> </w:t>
      </w:r>
      <w:r>
        <w:rPr>
          <w:rFonts w:ascii="Times New Roman;serif" w:hAnsi="Times New Roman;serif"/>
          <w:b w:val="false"/>
          <w:sz w:val="16"/>
        </w:rPr>
        <w:t>and the debt is scheduled to mature in July 2035.</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bookmarkStart w:id="12" w:name="report_independent_registered_public_acc"/>
      <w:bookmarkEnd w:id="12"/>
      <w:r>
        <w:rPr>
          <w:rFonts w:ascii="Times New Roman;serif" w:hAnsi="Times New Roman;serif"/>
          <w:b/>
          <w:sz w:val="16"/>
        </w:rPr>
        <w:t>Report of Independent Registered Public Accounting Firm</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To the Stockholders and the Board of Directors of PennantPark Investment Corporation and its Subsidiaries</w:t>
        <w:b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sz w:val="16"/>
        </w:rPr>
        <w:t>Results of Review of Interim Financial Statements</w:t>
      </w:r>
      <w:r>
        <w:rPr>
          <w:rFonts w:ascii="Times New Roman;serif" w:hAnsi="Times New Roman;serif"/>
          <w:b w:val="false"/>
          <w:sz w:val="16"/>
        </w:rPr>
        <w:br/>
        <w:br/>
        <w:t>We have reviewed the accompanying consolidated statement of assets and liabilities of PennantPark Investment Corporation and its Subsidiaries (collectively referred to as the Company), including the consolidated schedule of investments, as of June 30, 2023, the related consolidated statements of operations and changes in net assets for the three-month and nine-month periods ended June 30, 2023 and 2022, and cash flows for the nine-month periods ended June 30, 2023 and 2022,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b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val="false"/>
          <w:sz w:val="16"/>
        </w:rPr>
        <w:t>We have previously audited, in accordance with the standards of the Public Company Accounting Oversight Board (United States) (PCAOB), the consolidated statement of assets and liabilities of the Company, including the consolidated schedule of investments, as of September 30, 2022, and the related consolidated statements of operations, changes in net assets, and cash flows for the year then ended (not presented herein); and in our report dated November 17, 2022, we expressed an unqualified opinion on those consolidated financial statements. In our opinion, the information set forth in the accompanying consolidated statement of assets and liabilities, including the consolidated schedule of investments, as of September 30, 2022, is fairly stated, in all material respects, in relation to the consolidated statement of assets and liabilities, including the consolidated schedule of investments, from which it has been derived.</w:t>
        <w:br/>
        <w:br/>
      </w:r>
      <w:r>
        <w:rPr>
          <w:rFonts w:ascii="Times New Roman" w:hAnsi="Times New Roman"/>
          <w:sz w:val="20"/>
        </w:rPr>
        <w:t> </w:t>
      </w:r>
    </w:p>
    <w:p>
      <w:pPr>
        <w:pStyle w:val="TextBody"/>
        <w:bidi w:val="0"/>
        <w:spacing w:before="0" w:after="0"/>
        <w:jc w:val="left"/>
        <w:rPr>
          <w:rFonts w:ascii="Times New Roman" w:hAnsi="Times New Roman"/>
          <w:sz w:val="20"/>
        </w:rPr>
      </w:pPr>
      <w:r>
        <w:rPr>
          <w:rFonts w:ascii="Times New Roman;serif" w:hAnsi="Times New Roman;serif"/>
          <w:b/>
          <w:sz w:val="16"/>
        </w:rPr>
        <w:t>Basis for Review Results</w:t>
      </w:r>
      <w:r>
        <w:rPr>
          <w:rFonts w:ascii="Times New Roman;serif" w:hAnsi="Times New Roman;serif"/>
          <w:b w:val="false"/>
          <w:sz w:val="16"/>
        </w:rPr>
        <w:br/>
        <w:b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/s/ RSM US LLP</w:t>
        <w:br/>
      </w:r>
      <w:r>
        <w:rPr>
          <w:rFonts w:ascii="Times New Roman" w:hAnsi="Times New Roman"/>
          <w:sz w:val="20"/>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New York, New York</w:t>
      </w:r>
    </w:p>
    <w:p>
      <w:pPr>
        <w:pStyle w:val="TextBody"/>
        <w:bidi w:val="0"/>
        <w:spacing w:before="0" w:after="0"/>
        <w:jc w:val="left"/>
        <w:rPr>
          <w:rFonts w:ascii="Times New Roman" w:hAnsi="Times New Roman"/>
          <w:sz w:val="20"/>
        </w:rPr>
      </w:pPr>
      <w:r>
        <w:rPr>
          <w:rFonts w:ascii="Times New Roman;serif" w:hAnsi="Times New Roman;serif"/>
          <w:b w:val="false"/>
          <w:sz w:val="16"/>
        </w:rPr>
        <w:t>August 9, 2023</w:t>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Awareness Letter of Independent Registered Public Accounting Firm</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To the Board of Directors and Stockholders of PennantPark Investment Corporation and its Subsidiaries</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have reviewed, in accordance with the standards of the Public Company Accounting Oversight Board (United States), the unaudited interim financial information of PennantPark Investment Corporation for the periods ended June 30, 2023 and 2022, as indicated in our report dated August 9, 2023; because we did not perform an audit, we expressed no opinion on that information.</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br/>
        <w:br/>
        <w:t>We are aware that our report referred to above, which is included in your Quarterly Report on Form 10-Q for the quarter ended June 30, 2023, is incorporated by reference in Registration Statement No. 333-263564 on Form N-2.</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br/>
        <w:br/>
        <w:t>We are also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/s/ RSM US LLP</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New York, New York</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August 9, 2023</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bookmarkStart w:id="13" w:name="item_2_managements_discussion_analysis_f"/>
      <w:bookmarkEnd w:id="13"/>
      <w:r>
        <w:rPr>
          <w:rFonts w:ascii="Times New Roman;serif" w:hAnsi="Times New Roman;serif"/>
          <w:b/>
          <w:sz w:val="16"/>
        </w:rPr>
        <w:t>Item 2. MANAGEMENT’S DISCUSSION AND ANALYSIS OF FINANCIAL CONDITION AND RESULTS OF OPERATIONS</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r>
        <w:rPr>
          <w:rFonts w:ascii="Times New Roman;serif" w:hAnsi="Times New Roman;serif"/>
          <w:b/>
          <w:sz w:val="16"/>
        </w:rPr>
        <w:t>FORWARD-LOOKING STATEMENTS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our future operating results;</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our business prospects and the prospects of our prospective portfolio companies, including as a result of the pandemic caused by COVID-19 or any future worsening there of;</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dependence of our future success on the general economy and its impact on the industries in which we invest;</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impact of a protracted decline in the liquidity of credit markets on our business;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impact of investments that we expect to make;</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impact of fluctuations in interest rates and foreign exchange rates on our business and our portfolio companies;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our contractual arrangements and relationships with third parties;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valuation of our investments in portfolio companies, particularly those having no liquid trading market;</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ability of our prospective portfolio companies to achieve their objectives;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our expected financings and investments;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adequacy of our cash resources and working capital;</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timing of cash flows, if any, from the operations of our prospective portfolio companies;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impact of price and volume fluctuations in the stock market;</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 xml:space="preserve">increasing levels of inflation, and its impact on us and our portfolio companies;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ability of our Investment Adviser to locate suitable investments for us and to monitor and administer our investments;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impact of future legislation and regulation on our business and our portfolio companies; and</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 xml:space="preserve">the impact of the ongoing invasion of Ukraine by Russia, United Kingdom’s withdrawal from the European Union (commonly known as “Brexit”)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and other world economic and political issues.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following analysis of our financial condition and results of operations should be read in conjunction with our Consolidated Financial Statements and the related notes thereto contained elsewhere in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i/>
          <w:sz w:val="16"/>
        </w:rPr>
      </w:pPr>
      <w:r>
        <w:rPr>
          <w:rFonts w:ascii="Times New Roman;serif" w:hAnsi="Times New Roman;serif"/>
          <w:b/>
          <w:i/>
          <w:sz w:val="16"/>
        </w:rPr>
        <w:t>Overview</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pStyle w:val="TextBody"/>
        <w:bidi w:val="0"/>
        <w:spacing w:before="0" w:after="0"/>
        <w:jc w:val="both"/>
        <w:rPr/>
      </w:pPr>
      <w:r>
        <w:rPr/>
        <w:t> </w:t>
      </w:r>
    </w:p>
    <w:p>
      <w:pPr>
        <w:pStyle w:val="TextBody"/>
        <w:bidi w:val="0"/>
        <w:spacing w:before="0" w:after="0"/>
        <w:jc w:val="left"/>
        <w:rPr>
          <w:rFonts w:ascii="Times New Roman;serif" w:hAnsi="Times New Roman;serif"/>
          <w:b/>
          <w:i/>
          <w:sz w:val="16"/>
        </w:rPr>
      </w:pPr>
      <w:r>
        <w:rPr>
          <w:rFonts w:ascii="Times New Roman;serif" w:hAnsi="Times New Roman;serif"/>
          <w:b/>
          <w:i/>
          <w:sz w:val="16"/>
        </w:rPr>
        <w:t>Organization and Structure of PennantPark Investment Corporation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SBIC II, our wholly-owned subsidiary, was organized as a Delaware limited partnership in 2012. SBIC II previously received a license from the SBA to operate as an SBIC under Section 301(c) of the 1958 Act. SBIC II’s objectives were to generate both current income and capital appreciation through debt and equity investments generally by investing with us in SBA-eligible businesses that meet the investment selection criteria used by PennantPark Investment. We have recently repaid all outstanding debentures in connection with SBIC II and have surrendered its SBA license.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 Our board of directors, a majority of whom are independent of us, provides overall supervision of our activities, and the Investment Adviser supervises our day-to-day activities.</w:t>
      </w:r>
    </w:p>
    <w:p>
      <w:pPr>
        <w:pStyle w:val="TextBody"/>
        <w:bidi w:val="0"/>
        <w:spacing w:before="0" w:after="0"/>
        <w:jc w:val="left"/>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Revenues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Expenses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primary operating expenses include interest expense on the outstanding debt and unused commitment fees on undrawn amounts, under our various debt facilities,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 direct or indirect costs and expenses of our operations and transactions, including:</w:t>
      </w:r>
    </w:p>
    <w:p>
      <w:pPr>
        <w:pStyle w:val="TextBody"/>
        <w:bidi w:val="0"/>
        <w:spacing w:before="0" w:after="0"/>
        <w:jc w:val="both"/>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cost of calculating our net asset value, including the cost of any third-party valuation services;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the cost of effecting sales and repurchases of shares of our common stock and other securities;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fees payable to third parties relating to, or associated with, making investments, including fees and expenses associated with performing due diligence and reviews of prospective investments or complementary businesses;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expenses incurred by the Investment Adviser in performing due diligence and reviews of investments;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transfer agent and custodial fees;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fees and expenses associated with marketing efforts;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federal and state registration fees and any exchange listing fees;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federal, state, local and foreign taxes;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independent directors’ fees and expenses;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brokerage commissions;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fidelity bond, directors and officers, errors and omissions liability insurance and other insurance premiums;</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direct costs such as printing, mailing, long distance telephone and staff;</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fees and expenses associated with independent audits and outside legal costs;</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costs associated with our reporting and compliance obligations under the 1940 Act, the 1958 Act and applicable federal and state securities laws; and</w:t>
      </w:r>
    </w:p>
    <w:p>
      <w:pPr>
        <w:pStyle w:val="TextBody"/>
        <w:bidi w:val="0"/>
        <w:spacing w:before="0" w:after="0"/>
        <w:jc w:val="both"/>
        <w:rPr/>
      </w:pPr>
      <w:r>
        <w:rPr/>
        <w:t>•</w:t>
      </w:r>
    </w:p>
    <w:p>
      <w:pPr>
        <w:pStyle w:val="TextBody"/>
        <w:bidi w:val="0"/>
        <w:jc w:val="both"/>
        <w:rPr>
          <w:rFonts w:ascii="Times New Roman;serif" w:hAnsi="Times New Roman;serif"/>
          <w:b w:val="false"/>
          <w:sz w:val="16"/>
        </w:rPr>
      </w:pPr>
      <w:r>
        <w:rPr>
          <w:rFonts w:ascii="Times New Roman;serif" w:hAnsi="Times New Roman;serif"/>
          <w:b w:val="false"/>
          <w:sz w:val="16"/>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pStyle w:val="TextBody"/>
        <w:bidi w:val="0"/>
        <w:spacing w:before="0" w:after="0"/>
        <w:jc w:val="both"/>
        <w:rPr/>
      </w:pPr>
      <w:r>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PORTFOLIO AND INVESTMENT ACTIVITY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our portfolio totaled $1,075.8 million, which consisted of $590.5 million of first lien secured debt, $94.8 million of second lien secured debt, $154.7 million of subordinated debt (including $102.3 million in PSLF) and $235.8 million of preferred and common equity (including $59.0 million in PSLF). Our debt portfolio consisted of 96% variable-rate investments and 4% fixed-rate investments. As of June 30, 2023, we had one portfolio company on non-accrual, representing 1.1% and zero of our overall portfolio on a cost and fair value basis, respectively. Overall, the portfolio had net unrealized depreciation of $18.8 million as of June 30, 2023. Our overall portfolio consisted of 129 companies with an average investment size of $8.3 million, had a weighted average yield on interest bearing debt investments of 12.7% and was invested 55% in first lien secured debt, 9% in second lien secured debt, 14% in subordinated debt (including 10% in PSLF) and 22% in preferred and common equity (including 5% in PSLF). As of June 30, 2023, all of the investments held by PSLF were first lien secured debt.</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Overall, the portfolio had net unrealized depreciation of $71.0 million as of September 30, 2022. Our overall portfolio consisted of 123 companies with an average investment size of $10.1 million, had a weighted average yield on interest bearing debt investments of 10.8 % and was invested 51 % in first lien secured debt, 11 % in second lien secured debt, 12% in subordinated debt (including 7% in PSLF) and 26 % in preferred and common equity (including 4 % in PSLF).</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months ended June 30, 2023, we invested $69.9 million in three new and 43 existing portfolio companies at weighted average yield on debt investments of 12.6%. Sales and repayments of investments for the three months ended June 30, 2023 totaled $135.7 million, including $61.8 million of sales to PSLF. For the nine months ended June 30, 2023, we invested $214.4 million in 15 new and 60 existing portfolio companies at a weighted average yield on debt investments of 11.9%. Sales and repayment for the nine months ended June 30, 2023 of investments for the totaled $280.5 million, including $80.2 million of sales to PSLF.</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For the three months ended June 30, 2022, we invested $326.3 million in 11 new and 36 existing portfolio companies at weighted average yield on debt investments of 8.7%. Sales and repayments of investments for the three months ended June 30, 2022 totaled $198.3 million, including $176.0 million of sales to PSLF. For the nine months ended June 30, 2022, we invested $799.4 million in 35 new and 94 existing portfolio companies at weighted average yield on debt investments of 8.2% Sales and repayment of investments for the nine months ended June 30, 2022 totaled $736.0 million, including $235.6 million of sales to PSLF.</w:t>
      </w:r>
    </w:p>
    <w:p>
      <w:pPr>
        <w:pStyle w:val="TextBody"/>
        <w:bidi w:val="0"/>
        <w:spacing w:before="0" w:after="0"/>
        <w:jc w:val="both"/>
        <w:rPr/>
      </w:pPr>
      <w:r>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PennantPark Senior Loan Fund, LLC</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PSLF’s portfolio totaled $793.9 million, consisted of 92 companies with an average investment size of $8.6 million and had a weighted average yield on debt investments of 11.8%.</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September 30, 2022, PSLF’s portfolio totaled $730.1 million, consisted of 80 companies with an average investment size of $9.1 million and had a weighted average yield on debt investments of 9.4%.</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months ended June 30, 2023, PSLF invested $64.0 million (including $61.8 million were purchased from the Company) in eight new and one existing portfolio companies at weighted average yield on debt investments of 12.0%. PSLF’s sales and repayments of investments for the same period totaled $20.0 million. For the nine months ended June 30, 2023, PSLF invested $119.3 million (including $80.2 million was purchased from the Company) in 16 new and six existing portfolio companies at weighted average yield on debt investments of 11.8%. PSLF's sales and repayments of investments for the same period totaled $54.0 million.</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months ended June 30, 2022, PSLF invested $200.5 million (including $176.0 million was purchased from the Company) in 14 new and 17 existing portfolio companies at weighted average yield on debt investments of 7.3%. PSLF’s sales and repayments of investments for the same period totaled $35.1 million. For the nine months ended June 30, 2022, PSLF invested $278.6 million (including $235.6 million was purchased from the Company) in 29 new and 19 existing portfolio companies at weighted average yield on debt investment of 7.3%. PSLF's sales and repayments of investments for the same period totaled $73.0 million.</w:t>
      </w:r>
    </w:p>
    <w:p>
      <w:pPr>
        <w:pStyle w:val="TextBody"/>
        <w:bidi w:val="0"/>
        <w:spacing w:before="0" w:after="0"/>
        <w:jc w:val="left"/>
        <w:rPr/>
      </w:pPr>
      <w:r>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CRITICAL ACCOUNTING POLICIES AND ESTIMATES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 We discuss our critical accounting estimates in Management’s Discussion and Analysis of Financial Condition and Results of Operations in our 2022 Annual Report on Form 10-K. There have been no significant changes in our critical accounting estimates during the nine months from those disclosed in our 2022 Annual Report on Form 10-K.</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Investment Valuations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Our quarterly valuation process begins with each portfolio company or investment being initially valued by the investment professionals of our Investment Adviser responsible for the portfolio investment;</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Preliminary valuation conclusions are then documented and discussed with the management of the Investment Adviser;</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(3)</w:t>
      </w:r>
    </w:p>
    <w:p>
      <w:pPr>
        <w:pStyle w:val="TextBody"/>
        <w:bidi w:val="0"/>
        <w:jc w:val="both"/>
        <w:rPr>
          <w:rFonts w:ascii="Times New Roman;serif" w:hAnsi="Times New Roman;serif"/>
          <w:b w:val="false"/>
          <w:sz w:val="16"/>
        </w:rPr>
      </w:pPr>
      <w:r>
        <w:rPr>
          <w:rFonts w:ascii="Times New Roman;serif" w:hAnsi="Times New Roman;serif"/>
          <w:b w:val="false"/>
          <w:sz w:val="16"/>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(4)</w:t>
      </w:r>
    </w:p>
    <w:p>
      <w:pPr>
        <w:pStyle w:val="TextBody"/>
        <w:bidi w:val="0"/>
        <w:jc w:val="both"/>
        <w:rPr>
          <w:rFonts w:ascii="Times New Roman;serif" w:hAnsi="Times New Roman;serif"/>
          <w:b w:val="false"/>
          <w:sz w:val="16"/>
        </w:rPr>
      </w:pPr>
      <w:r>
        <w:rPr>
          <w:rFonts w:ascii="Times New Roman;serif" w:hAnsi="Times New Roman;serif"/>
          <w:b w:val="false"/>
          <w:sz w:val="16"/>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(5)</w:t>
      </w:r>
    </w:p>
    <w:p>
      <w:pPr>
        <w:pStyle w:val="TextBody"/>
        <w:bidi w:val="0"/>
        <w:jc w:val="both"/>
        <w:rPr>
          <w:rFonts w:ascii="Times New Roman;serif" w:hAnsi="Times New Roman;serif"/>
          <w:b w:val="false"/>
          <w:sz w:val="16"/>
        </w:rPr>
      </w:pPr>
      <w:r>
        <w:rPr>
          <w:rFonts w:ascii="Times New Roman;serif" w:hAnsi="Times New Roman;serif"/>
          <w:b w:val="false"/>
          <w:sz w:val="16"/>
        </w:rPr>
        <w:t>Our board of directors discusses these valuations and determines the fair value of each investment in our portfolio in good faith, based on the input of our Investment Adviser, the respective independent valuation firms and the audit committee.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ASC 820 classifies the inputs used to measure these fair values into the following hierarchies:</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580"/>
        <w:gridCol w:w="9433"/>
        <w:gridCol w:w="192"/>
      </w:tblGrid>
      <w:tr>
        <w:trPr/>
        <w:tc>
          <w:tcPr>
            <w:tcW w:w="580" w:type="dxa"/>
            <w:tcBorders/>
            <w:vAlign w:val="center"/>
          </w:tcPr>
          <w:p>
            <w:pPr>
              <w:pStyle w:val="TableContents"/>
              <w:bidi w:val="0"/>
              <w:spacing w:before="0" w:after="283"/>
              <w:jc w:val="left"/>
              <w:rPr>
                <w:sz w:val="4"/>
                <w:szCs w:val="4"/>
              </w:rPr>
            </w:pPr>
            <w:r>
              <w:rPr>
                <w:sz w:val="4"/>
                <w:szCs w:val="4"/>
              </w:rPr>
            </w:r>
          </w:p>
        </w:tc>
        <w:tc>
          <w:tcPr>
            <w:tcW w:w="943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8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1:</w:t>
            </w:r>
          </w:p>
        </w:tc>
        <w:tc>
          <w:tcPr>
            <w:tcW w:w="943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quoted prices (unadjusted) in active markets for identical assets or liabilities, accessible by us at the measurement date.</w:t>
            </w:r>
          </w:p>
          <w:p>
            <w:pPr>
              <w:pStyle w:val="TableContents"/>
              <w:bidi w:val="0"/>
              <w:spacing w:before="0" w:after="0"/>
              <w:ind w:left="0" w:right="0" w:hanging="0"/>
              <w:jc w:val="both"/>
              <w:rPr/>
            </w:pPr>
            <w:r>
              <w:rPr/>
              <w:t> </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2:</w:t>
            </w:r>
          </w:p>
        </w:tc>
        <w:tc>
          <w:tcPr>
            <w:tcW w:w="943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pStyle w:val="TableContents"/>
              <w:bidi w:val="0"/>
              <w:spacing w:before="0" w:after="0"/>
              <w:ind w:left="0" w:right="0" w:hanging="0"/>
              <w:jc w:val="both"/>
              <w:rPr/>
            </w:pPr>
            <w:r>
              <w:rPr/>
              <w:t> </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r>
        <w:trPr/>
        <w:tc>
          <w:tcPr>
            <w:tcW w:w="580"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Level 3:</w:t>
            </w:r>
          </w:p>
        </w:tc>
        <w:tc>
          <w:tcPr>
            <w:tcW w:w="9433" w:type="dxa"/>
            <w:tcBorders/>
            <w:tcMar>
              <w:top w:w="0" w:type="dxa"/>
              <w:left w:w="0" w:type="dxa"/>
              <w:bottom w:w="0" w:type="dxa"/>
              <w:right w:w="0" w:type="dxa"/>
            </w:tcMar>
            <w:vAlign w:val="center"/>
          </w:tcPr>
          <w:p>
            <w:pPr>
              <w:pStyle w:val="TableContents"/>
              <w:bidi w:val="0"/>
              <w:spacing w:before="0" w:after="0"/>
              <w:ind w:left="0" w:right="0" w:hanging="0"/>
              <w:jc w:val="both"/>
              <w:rPr>
                <w:rFonts w:ascii="Times New Roman;serif" w:hAnsi="Times New Roman;serif"/>
                <w:b w:val="false"/>
                <w:sz w:val="16"/>
              </w:rPr>
            </w:pPr>
            <w:r>
              <w:rPr>
                <w:rFonts w:ascii="Times New Roman;serif" w:hAnsi="Times New Roman;serif"/>
                <w:b w:val="false"/>
                <w:sz w:val="16"/>
              </w:rPr>
              <w:t>Inputs that are unobservable for an asset or liability because they are based on our own assumptions about how market participants would price the asset or liability.</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both"/>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2026 Notes and 2026 Notes-2 are classifed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addition to using the above inputs to value cash equivalents, investments, our SBA debentures, our 2026 Notes, 2026 Notes-2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did not incur any expenses relating to amendment costs on the Truist Credit Facility for both the three and nine months ended June 30, 2023 and 2022.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is reported in our Consolidated Statements of Operations. We elect not to apply ASC 825-10 to any other financial assets or liabilities, including the 2026 Notes, 2026 Notes-2 and SBA debentures.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the Truist Credit Facility had a net change in unrealized (appreciation) depreciation of $(8.4) million and $(2.5) million, respectively. For the three and nine months ended June 30, 2022, our Truist Credit Facility had a net change in unrealized (appreciation) depreciation of $8.9 million and $9.2 million, respectively. As of June 30, 2023 and September 30, 2022, the net unrealized depreciation on the Truist Credit Facility totaled $6.8 million and $9.2 million, respectively. We use a nationally recognized independent valuation service to measure the fair value of our Truist Credit Facility in a manner consistent with the valuation process that the board of directors uses to value our investments.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Revenue Recognition</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pStyle w:val="TextBody"/>
        <w:bidi w:val="0"/>
        <w:spacing w:before="160" w:after="0"/>
        <w:jc w:val="both"/>
        <w:rPr>
          <w:rFonts w:ascii="Times New Roman;serif" w:hAnsi="Times New Roman;serif"/>
          <w:b/>
          <w:i/>
          <w:sz w:val="16"/>
        </w:rPr>
      </w:pPr>
      <w:r>
        <w:rPr>
          <w:rFonts w:ascii="Times New Roman;serif" w:hAnsi="Times New Roman;serif"/>
          <w:b/>
          <w:i/>
          <w:sz w:val="16"/>
        </w:rPr>
        <w:t>Net Realized Gains or Losses and Net Change in Unrealized Appreciation or Depreciation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Foreign Currency Translation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books and records are maintained in U.S. dollars. Any foreign currency amounts are translated into U.S. dollars on the following basis:</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Fair value of investment securities, other assets and liabilities – at the exchange rates prevailing at the end of the applicable period; and</w:t>
      </w:r>
    </w:p>
    <w:p>
      <w:pPr>
        <w:pStyle w:val="TextBody"/>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2.</w:t>
      </w:r>
    </w:p>
    <w:p>
      <w:pPr>
        <w:pStyle w:val="TextBody"/>
        <w:bidi w:val="0"/>
        <w:jc w:val="both"/>
        <w:rPr>
          <w:rFonts w:ascii="Times New Roman;serif" w:hAnsi="Times New Roman;serif"/>
          <w:b w:val="false"/>
          <w:sz w:val="16"/>
        </w:rPr>
      </w:pPr>
      <w:r>
        <w:rPr>
          <w:rFonts w:ascii="Times New Roman;serif" w:hAnsi="Times New Roman;serif"/>
          <w:b w:val="false"/>
          <w:sz w:val="16"/>
        </w:rPr>
        <w:t>Purchases and sales of investment securities, income and expenses – at the exchange rates prevailing on the respective dates of such transactions.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i/>
          <w:sz w:val="16"/>
        </w:rPr>
        <w:t>Payment-in-Kind, or PIK Interest</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Federal Income Taxes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Although not required for us to maintain our RIC tax status, in order to preclude the imposition of a 4% nondeductible U.S. federal excise tax imposed on RICs, we must distribute dividends for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nine months ended June 30, 2023, we recorded a provision for taxes on net investment income of $1.2 million and $3.6 million respectively, pertaining to federal excise tax. For the three and nine months ended June 30, 2022, we recorded a provision for taxes on net investment income of $0.2 million and $0.6 million respectively, all of which pertains to U.S. federal excise tax.</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Taxable Subsidiary (PNNT Investment Holdings, LLC, a second-tier wholly-owned subsidiary of the Company,) is subject to U.S. federal, state and local corporate income taxes. The income tax expense and related tax liabilities of the Taxable Subsidiary are reflected in the Company’s consolidated financial statements..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nine months ended June 30, 2023, the Company recognized a provision for taxes of $1.7 million and $2.4 million, respectively, on net realized gain on investments by the Taxable Subsidiary. For the three and nine months ended June 30, 2022, the Company recognized a provision for taxes of $1.1 million and $6.2 million, respectively, on net realized gain on investments by the Taxable Subsidiary. For the three and nine months ended June 30, 2023, the Company recognized a provision for taxes of zero and $(0.9) million, respectively, on net unrealized gain (loss) on investments by the Taxable Subsidiary. For the three and nine months ended June 30, 2022, the Company recognized a provision for taxes of $8.1 million and $8.1 million, respectively, on unrealized gain (loss) on investments by the Taxable Subsidiary. The provision for taxes on net realized and unrealized gains on investments is the result of netting (i) the expected tax liability on the gains from the sales of investments which is likely to be realized and unrealized during fiscal year ending September 30, 2023 and (ii) the expected tax benefit resulting from the use of loss carryforwards to offset such gains. As of June 30, 2023 and September 30, 2022, the Company recognized a provision for taxes of $1.5 million and $7.1 million, respectively, on net realized and unrealized gains on investments by the Taxable Subsidiary.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During the three and nine months ended June 30, 2023, the Company paid $1.9 million, in federal taxes on realized gains on the sale of investments held by the Taxable Subsidiary. During the three and nine months ended June 30, 2022, the Company paid zero and $4.0 million, respectively, in federal taxes on realized gains on the sale of investments held by the Taxable Subsidiary. Due to offsetting losses in the year ended September 30, 2022, the $4.0 million is shown on the consolidated statement of assets and liabilities under prepaid expenses and other assets. The state and local tax liability of $8.6 million as of June 30, 2023 is included under accrued other expenses in the consolidated statement of assets and liabilities.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operate in a manner to maintain our election to be subject to tax as a RIC and to eliminate corporate-level U.S. federal income tax (other than the 4% excise tax) by distributing sufficient investment company taxable income and capital gain net income (if any). As a result, we will have an effective tax rate equal to 0% before the excise tax and income taxes incurred by the Taxable Subsidiary. As such, a reconciliation of the differences between our reported income tax expense and its tax expense at the federal statutory rate of 21% is not meaningful.</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pStyle w:val="TextBody"/>
        <w:bidi w:val="0"/>
        <w:spacing w:before="0" w:after="0"/>
        <w:jc w:val="both"/>
        <w:rPr/>
      </w:pPr>
      <w:r>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RESULTS OF OPERATIONS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Set forth below are the results of operations for the three and nine months ended June 30, 2023 and 2022.</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Investment Income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nine months ended June 30, 2023, investment income was $45.0 million and $111.3 million, respectively, which was attributable to $24.1 million and $72.7 million from first lien secured debt, $3.5 million and $10.9 million from second lien secured debt, $1.2 million and $3.4 million from subordinated debt and $16.2 million and $24.3 million from preferred and common equity, respectively. For the three and nine months ended June 30, 2022, investment income was $23.3 million and $76.0 million, respectively, which was attributable to $17.6 million and $52.2 million from first lien secured debt, $2.9 million and $13.7 million from second lien secured debt, $0.3 million and $2.6 million from subordinated debt and $2.5 million and $7.4 million from preferred and common equity, respectively. The increase in investment income compared to the same periods in the prior year was primarily due to the increase in the cost yield of our debt portfolio and a dividend related to our equity investment in Dominion Voting Systems.</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Expenses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expenses totaled $22.1 million and $61.4 million, respectively, and were comprised of: $10.1 million and $30.5 million of debt related interest and expenses, $4.0 million and $12.6 million of base management fees, $4.9 million and $10.6 million of incentive fees, $1.9 million and $4.1 million of general and administrative expenses and $1.2 million and $3.6 million of provision for excise taxes. For the three and nine months ended June 30, 2022, expenses totaled $12.8 million and $41.3 million, respectively, and were comprised of $6.7 million and $20.1 million of debt related interest and expenses, $4.9 million and $15.0 million of base management fees, zero and $2.7 million of incentive fees, $1.0 million and $3.0 million of general and administrative expenses and $0.2 million and $0.6 million of provision for excise taxes, respectively. The increase in expenses was primarily due to the increased financing costs of our debt liabilities and increased incentive fees compared to the same period in the prior year.</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Net Investment Income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net investment income totaled $23.0 million and $49.9 million, or $0.35 per share, and $0.77 per share, respectively. For the three and nine months ended June 30, 2022, net investment income totaled $10.6 million and $34.8 million, or $0.16 per share and $0.52 per share, respectively. The increase in net investment income was primarily due to an increase in investment income partially offset by an increase in expenses compared to the same period in the prior year.</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Net Realized Gains or Losses on Investments and Debt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nine months ended June 30, 2023, net realized gains (losses) totaled $(6.9) million and $(151.5) million, respectively. For the three and nine months ended June 30, 2022 net realized gains (losses) totaled $(35.4) million and $73.5 million, respectively. The change in realized gains or losses was primarily due to changes in the market conditions of our investments and the values at which they were realized compared to the same periods in the prior year.</w:t>
      </w:r>
    </w:p>
    <w:p>
      <w:pPr>
        <w:pStyle w:val="TextBody"/>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Unrealized Appreciation or Depreciation on Investments and Debt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nine months ended June 30, 2023, net change in unrealized appreciation (depreciation) on investments was $13.3 million and $57.1 million, respectively. For the three and nine months ended June 30, 2022, net change in unrealized appreciation (depreciation) on investments was $5.6 million and $(99.1) million, respectively. As of June 30, 2023 and September 30, 2022, our net unrealized appreciation (depreciation) on investments totaled $(18.8) million and $(75.7) million, respectively. The net change in unrealized appreciation or depreciation on our investments compared to the same period in the prior year was primarily due to the operating performance of the portfolio companies within our portfolio and changes in the capital market conditions of our investments.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For the three and nine months ended June 30, 2023, our Credit Facility with Truist (the "Credit Facility") had a net change in unrealized (appreciation) depreciation of $(8.4) million and $(2.5) million, respectively. For the three and nine months ended June 30, 2022, the Credit Facility had a net change in unrealized (appreciation) depreciation of $8.9 million and $9.2 million, respectively. As of June 30, 2023 and September 30, 2022, the net unrealized (appreciation) depreciation on the Credit Facility totaled $6.8 million and $9.2 million, respectively. The net change in unrealized appreciation or depreciation compared to the same periods in the prior year was primarily due to changes in the capital markets.</w:t>
      </w:r>
    </w:p>
    <w:p>
      <w:pPr>
        <w:pStyle w:val="TextBody"/>
        <w:bidi w:val="0"/>
        <w:spacing w:before="0" w:after="0"/>
        <w:jc w:val="both"/>
        <w:rPr>
          <w:rFonts w:ascii="Times New Roman" w:hAnsi="Times New Roman"/>
          <w:sz w:val="20"/>
        </w:rPr>
      </w:pPr>
      <w:r>
        <w:rPr>
          <w:rFonts w:ascii="Times New Roman;serif" w:hAnsi="Times New Roman;serif"/>
          <w:b w:val="false"/>
          <w:sz w:val="16"/>
        </w:rPr>
        <w:br/>
        <w:br/>
      </w:r>
      <w:r>
        <w:rPr>
          <w:rFonts w:ascii="Times New Roman;serif" w:hAnsi="Times New Roman;serif"/>
          <w:b/>
          <w:i/>
          <w:sz w:val="16"/>
        </w:rPr>
        <w:t>Net Increasese (Decrease) in Net Assets Resulting from Operations</w:t>
      </w:r>
      <w:r>
        <w:rPr>
          <w:rFonts w:ascii="Times New Roman;serif" w:hAnsi="Times New Roman;serif"/>
          <w:b w:val="false"/>
          <w:sz w:val="16"/>
        </w:rPr>
        <w:br/>
        <w:br/>
      </w:r>
      <w:r>
        <w:rPr>
          <w:rFonts w:ascii="Times New Roman" w:hAnsi="Times New Roman"/>
          <w:sz w:val="20"/>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three and nine months ended June 30, 2023, net increase (decrease) in net assets resulting from operations totaled $20.9 million and $(46.1) million, or $0.32 per share and $(0.71) per share, respectively. For the three and nine months ended June 30, 2022, net increase (decrease) in net assets resulting from operations totaled $(18.5) million and $10.2 million, or $(0.28) and $0.15 per share, respectively. The increase or decrease from operations compared to the same periods in the prior year was primarily due to changes in net investment income and changes in net realized and unrealized gains or losses.</w:t>
        <w:br/>
        <w:br/>
      </w:r>
      <w:r>
        <w:rPr>
          <w:rFonts w:ascii="Times New Roman" w:hAnsi="Times New Roman"/>
          <w:sz w:val="20"/>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LIQUIDITY AND CAPITAL RESOURCES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liquidity and capital resources are derived primarily from cash flows from operations, including investment sales and repayments, and income earned, proceeds of securities offerings and debt financings.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and operations. As of June 30, 2023,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As of June 30, 2023 and September 30, 2022, our asset coverage ratio, as computed in accordance with the 1940 Act was 179% and 186%, respectively.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nine months ended June 30, 2023 and 2022, the annualized weighted average cost of debt inclusive of the fee on the undrawn commitment and amendment costs on the Credit Facility, was 6.0% and 4.0%, respectively.</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we had the multi-currency Credit Facility for up to $500.0 million (increased from $465.0 million in July 2022),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June 30, 2023 and September 30, 2022, we had $314.4 million and $385.9 million, respectively, in outstanding borrowings under the Truist Credit Facility. The Truist Credit Facility had a weighted average interest rate was 7.4% and 5.3%, respectively, exclusive of the fee on undrawn commitments, as of June 30, 2023 and September 30, 2022.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235 basis points over SOFR. As of June 30, 2023 and September 30, 2022, we had $185.6 million and $114.1 million of unused borrowing capacity under the Truist Credit Facility, respectively, subject to leverage and borrowing base restrictions. The Truist Credit Facility is secured by substantially all of our assets excluding assets held by SBIC II. As of June 30, 2023, we were in compliance with the terms of the Truist Credit Facility.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On November 13, 2021, the 2024 Notes</w:t>
      </w:r>
      <w:r>
        <w:rPr>
          <w:rFonts w:ascii="Times New Roman" w:hAnsi="Times New Roman"/>
          <w:sz w:val="20"/>
        </w:rPr>
        <w:t xml:space="preserve"> </w:t>
      </w:r>
      <w:r>
        <w:rPr>
          <w:rFonts w:ascii="Times New Roman;serif" w:hAnsi="Times New Roman;serif"/>
          <w:b w:val="false"/>
          <w:sz w:val="16"/>
        </w:rPr>
        <w:t>were redeemed at a redemption price of $25.00 per 2024 Note, plus accrued and unpaid interest to November 13, 2021, pursuant to the indenture governing the 2024 Notes. Accordingly, as of June 30, 2023 and September 30, 2022, we had zero</w:t>
      </w:r>
      <w:r>
        <w:rPr>
          <w:rFonts w:ascii="Times New Roman" w:hAnsi="Times New Roman"/>
          <w:sz w:val="20"/>
        </w:rPr>
        <w:t xml:space="preserve"> </w:t>
      </w:r>
      <w:r>
        <w:rPr>
          <w:rFonts w:ascii="Times New Roman;serif" w:hAnsi="Times New Roman;serif"/>
          <w:b w:val="false"/>
          <w:sz w:val="16"/>
        </w:rPr>
        <w:t>in aggregate principal amount of 2024 Notes outstanding. Interest on the 2024 Notes was paid quarterly on January 15, April 15, July 15 and October 15, at a rate of 5.5% per year.</w:t>
      </w:r>
      <w:r>
        <w:rPr>
          <w:rFonts w:ascii="Times New Roman" w:hAnsi="Times New Roman"/>
          <w:sz w:val="20"/>
        </w:rPr>
        <w:t xml:space="preserve"> </w:t>
      </w:r>
    </w:p>
    <w:p>
      <w:pPr>
        <w:pStyle w:val="TextBody"/>
        <w:bidi w:val="0"/>
        <w:spacing w:before="160" w:after="0"/>
        <w:jc w:val="both"/>
        <w:rPr>
          <w:rFonts w:ascii="Times New Roman" w:hAnsi="Times New Roman"/>
          <w:sz w:val="20"/>
        </w:rPr>
      </w:pPr>
      <w:r>
        <w:rPr>
          <w:rFonts w:ascii="Times New Roman;serif" w:hAnsi="Times New Roman;serif"/>
          <w:b w:val="false"/>
          <w:sz w:val="16"/>
        </w:rPr>
        <w:t>As of June 30, 2023, we had $150.0</w:t>
      </w:r>
      <w:r>
        <w:rPr>
          <w:rFonts w:ascii="Times New Roman" w:hAnsi="Times New Roman"/>
          <w:sz w:val="20"/>
        </w:rPr>
        <w:t xml:space="preserve"> </w:t>
      </w:r>
      <w:r>
        <w:rPr>
          <w:rFonts w:ascii="Times New Roman;serif" w:hAnsi="Times New Roman;serif"/>
          <w:b w:val="false"/>
          <w:sz w:val="16"/>
        </w:rPr>
        <w:t>million in aggregate principal amount of 2026 Notes</w:t>
      </w:r>
      <w:r>
        <w:rPr>
          <w:rFonts w:ascii="Times New Roman" w:hAnsi="Times New Roman"/>
          <w:sz w:val="20"/>
        </w:rPr>
        <w:t xml:space="preserve"> </w:t>
      </w:r>
      <w:r>
        <w:rPr>
          <w:rFonts w:ascii="Times New Roman;serif" w:hAnsi="Times New Roman;serif"/>
          <w:b w:val="false"/>
          <w:sz w:val="16"/>
        </w:rPr>
        <w:t>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w:t>
      </w:r>
      <w:r>
        <w:rPr>
          <w:rFonts w:ascii="Times New Roman" w:hAnsi="Times New Roman"/>
          <w:sz w:val="20"/>
        </w:rPr>
        <w:t xml:space="preserve"> </w:t>
      </w:r>
      <w:r>
        <w:rPr>
          <w:rFonts w:ascii="Times New Roman;serif" w:hAnsi="Times New Roman;serif"/>
          <w:b w:val="false"/>
          <w:sz w:val="16"/>
        </w:rPr>
        <w:t xml:space="preserve">The 2026 Notes are direct unsecured obligations and rank </w:t>
      </w:r>
      <w:r>
        <w:rPr>
          <w:rFonts w:ascii="Times New Roman;serif" w:hAnsi="Times New Roman;serif"/>
          <w:b w:val="false"/>
          <w:i/>
          <w:sz w:val="16"/>
        </w:rPr>
        <w:t>pari passu</w:t>
      </w:r>
      <w:r>
        <w:rPr>
          <w:rFonts w:ascii="Times New Roman;serif" w:hAnsi="Times New Roman;serif"/>
          <w:sz w:val="16"/>
        </w:rPr>
        <w:t xml:space="preserve"> </w:t>
      </w:r>
      <w:r>
        <w:rPr>
          <w:rFonts w:ascii="Times New Roman;serif" w:hAnsi="Times New Roman;serif"/>
          <w:b w:val="false"/>
          <w:sz w:val="16"/>
        </w:rPr>
        <w:t xml:space="preserve">in right of payment with future unsecured unsubordinated indebtedness. The 2026 Notes are structurally subordinated to all existing and future indebtedness and other obligations of any of our subsidiaries, financing vehicles, or similar facilities. </w:t>
      </w:r>
    </w:p>
    <w:p>
      <w:pPr>
        <w:pStyle w:val="TextBody"/>
        <w:bidi w:val="0"/>
        <w:spacing w:before="160" w:after="0"/>
        <w:jc w:val="both"/>
        <w:rPr>
          <w:rFonts w:ascii="Times New Roman" w:hAnsi="Times New Roman"/>
          <w:sz w:val="20"/>
        </w:rPr>
      </w:pPr>
      <w:r>
        <w:rPr>
          <w:rFonts w:ascii="Times New Roman;serif" w:hAnsi="Times New Roman;serif"/>
          <w:b w:val="false"/>
          <w:sz w:val="16"/>
        </w:rPr>
        <w:t>As of June 30, 2023, we had $165.0</w:t>
      </w:r>
      <w:r>
        <w:rPr>
          <w:rFonts w:ascii="Times New Roman" w:hAnsi="Times New Roman"/>
          <w:sz w:val="20"/>
        </w:rPr>
        <w:t xml:space="preserve"> </w:t>
      </w:r>
      <w:r>
        <w:rPr>
          <w:rFonts w:ascii="Times New Roman;serif" w:hAnsi="Times New Roman;serif"/>
          <w:b w:val="false"/>
          <w:sz w:val="16"/>
        </w:rPr>
        <w:t>million in aggregate principal amount of 2026 Notes-2</w:t>
      </w:r>
      <w:r>
        <w:rPr>
          <w:rFonts w:ascii="Times New Roman" w:hAnsi="Times New Roman"/>
          <w:sz w:val="20"/>
        </w:rPr>
        <w:t xml:space="preserve"> </w:t>
      </w:r>
      <w:r>
        <w:rPr>
          <w:rFonts w:ascii="Times New Roman;serif" w:hAnsi="Times New Roman;serif"/>
          <w:b w:val="false"/>
          <w:sz w:val="16"/>
        </w:rPr>
        <w:t>outstanding. Interest on the 2026 Notes is paid semi-annually on May 1 and November 1, at a rate of 4.0% per year, commencing May 1, 2022. The 2026 Notes-2 mature on November 1, 2026, and may be redeemed in whole or in part at our option subject to a make-whole premium if redeemed more than three months prior to maturity.</w:t>
      </w:r>
      <w:r>
        <w:rPr>
          <w:rFonts w:ascii="Times New Roman" w:hAnsi="Times New Roman"/>
          <w:sz w:val="20"/>
        </w:rPr>
        <w:t xml:space="preserve"> </w:t>
      </w:r>
      <w:r>
        <w:rPr>
          <w:rFonts w:ascii="Times New Roman;serif" w:hAnsi="Times New Roman;serif"/>
          <w:b w:val="false"/>
          <w:sz w:val="16"/>
        </w:rPr>
        <w:t xml:space="preserve">The 2026 Notes-2 are direct unsecured obligations and rank </w:t>
      </w:r>
      <w:r>
        <w:rPr>
          <w:rFonts w:ascii="Times New Roman;serif" w:hAnsi="Times New Roman;serif"/>
          <w:b w:val="false"/>
          <w:i/>
          <w:sz w:val="16"/>
        </w:rPr>
        <w:t>pari passu</w:t>
      </w:r>
      <w:r>
        <w:rPr>
          <w:rFonts w:ascii="Times New Roman;serif" w:hAnsi="Times New Roman;serif"/>
          <w:sz w:val="16"/>
        </w:rPr>
        <w:t xml:space="preserve"> </w:t>
      </w:r>
      <w:r>
        <w:rPr>
          <w:rFonts w:ascii="Times New Roman;serif" w:hAnsi="Times New Roman;serif"/>
          <w:b w:val="false"/>
          <w:sz w:val="16"/>
        </w:rPr>
        <w:t xml:space="preserve">in right of payment with future unsecured unsubordinated indebtedness. The 2026 Notes-2 are structurally subordinated to all existing and future indebtedness and other obligations of any of our subsidiaries, financing vehicles, or similar facilities.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both"/>
        <w:rPr>
          <w:rFonts w:ascii="Times New Roman" w:hAnsi="Times New Roman"/>
          <w:sz w:val="20"/>
        </w:rPr>
      </w:pPr>
      <w:r>
        <w:rPr>
          <w:rFonts w:ascii="Times New Roman;serif" w:hAnsi="Times New Roman;serif"/>
          <w:b w:val="false"/>
          <w:sz w:val="16"/>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2026 Notes-2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r>
        <w:rPr>
          <w:rFonts w:ascii="Times New Roman" w:hAnsi="Times New Roman"/>
          <w:sz w:val="20"/>
        </w:rPr>
        <w:t xml:space="preserve"> </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2023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Under our Administration Agreement, which was most recently reapproved by our board of directors, including a majority of our directors who are not interested persons of us, in February 2023 and amended in July 2022, the Administrator furnishes us with office facilities and administrative services necessary to conduct our day-to-day operations. The Administration Agreement was amended on July 1, 2022.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pStyle w:val="TextBody"/>
        <w:bidi w:val="0"/>
        <w:spacing w:before="160" w:after="0"/>
        <w:jc w:val="both"/>
        <w:rPr>
          <w:rFonts w:ascii="Times New Roman" w:hAnsi="Times New Roman"/>
          <w:sz w:val="20"/>
        </w:rPr>
      </w:pPr>
      <w:r>
        <w:rPr>
          <w:rFonts w:ascii="Times New Roman;serif" w:hAnsi="Times New Roman;serif"/>
          <w:b w:val="false"/>
          <w:sz w:val="16"/>
        </w:rPr>
        <w:t>SBIC II was previously able to borrow funds from the SBA against regulatory capital (which approximates equity capital) that is paid-in and is subject to customary regulatory requirements including an examination by the SBA. We previously funded SBIC II with $75.0 million of equity capital and it had SBA debentures outstanding of zero and $20.0 million as of June 30, 2023 and September 30, 2022,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an SBIC may individually borrow up to a maximum of $175.0 million, which is up to twice its potential regulatory capital, and as part of a group of SBICs under common control may borrow a maximum of $350 million in the aggregate.</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both June 30, 2023 and September 30, 2022, SBIC II had an initial $150.0 million in debt commitments, all of which were drawn. During the three and nine months ended June 30, 2023, there were zero and $20.0 million of SBA debentures were repaid, respectively. During the three and nine months ended June 30, 2022, there was zero and $36.0 million in SBA debentures were repaid, respectively. The SBA debentures’ upfront fees of 3.4% consist of a commitment fee of 1.0% and an issuance discount of 2.4%, which are being amortized. As of June 30, 2023 and September 30, 2022, the unamortized fees on the SBA debentures was zero and $0.3 million, respectively. We repaid the remaining $20.0 million SBA debentures during the nine months ended June 30, 2023.</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Our fixed-rate SBA debentures were as follows:</w:t>
      </w:r>
    </w:p>
    <w:p>
      <w:pPr>
        <w:pStyle w:val="TextBody"/>
        <w:bidi w:val="0"/>
        <w:spacing w:before="0" w:after="0"/>
        <w:jc w:val="both"/>
        <w:rPr/>
      </w:pPr>
      <w:r>
        <w:rPr/>
        <w:t> </w:t>
      </w:r>
    </w:p>
    <w:tbl>
      <w:tblPr>
        <w:tblW w:w="8067" w:type="dxa"/>
        <w:jc w:val="left"/>
        <w:tblInd w:w="0" w:type="dxa"/>
        <w:tblLayout w:type="fixed"/>
        <w:tblCellMar>
          <w:top w:w="28" w:type="dxa"/>
          <w:left w:w="28" w:type="dxa"/>
          <w:bottom w:w="28" w:type="dxa"/>
          <w:right w:w="28" w:type="dxa"/>
        </w:tblCellMar>
      </w:tblPr>
      <w:tblGrid>
        <w:gridCol w:w="1531"/>
        <w:gridCol w:w="146"/>
        <w:gridCol w:w="1426"/>
        <w:gridCol w:w="146"/>
        <w:gridCol w:w="649"/>
        <w:gridCol w:w="1481"/>
        <w:gridCol w:w="241"/>
        <w:gridCol w:w="146"/>
        <w:gridCol w:w="146"/>
        <w:gridCol w:w="408"/>
        <w:gridCol w:w="304"/>
        <w:gridCol w:w="1252"/>
        <w:gridCol w:w="19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Issuance Dates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2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Fixed All-in Coupon Rate </w:t>
            </w:r>
            <w:r>
              <w:rPr>
                <w:rFonts w:ascii="Times New Roman;serif" w:hAnsi="Times New Roman;serif"/>
                <w:b/>
                <w:sz w:val="11"/>
              </w:rPr>
              <w:t>(1)</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964"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As of September 30, 2022</w:t>
              <w:br/>
              <w:t>Principal Balance</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3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September 20, 2017</w:t>
            </w:r>
          </w:p>
        </w:tc>
        <w:tc>
          <w:tcPr>
            <w:tcW w:w="14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September 1, 2027</w:t>
            </w:r>
          </w:p>
        </w:tc>
        <w:tc>
          <w:tcPr>
            <w:tcW w:w="146"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left"/>
              <w:rPr/>
            </w:pPr>
            <w:r>
              <w:rPr/>
              <w:t> </w:t>
            </w:r>
          </w:p>
        </w:tc>
        <w:tc>
          <w:tcPr>
            <w:tcW w:w="1481"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04" w:type="dxa"/>
            <w:tcBorders/>
            <w:vAlign w:val="center"/>
          </w:tcPr>
          <w:p>
            <w:pPr>
              <w:pStyle w:val="TableContents"/>
              <w:bidi w:val="0"/>
              <w:spacing w:before="0" w:after="0"/>
              <w:ind w:left="0" w:right="0" w:hanging="0"/>
              <w:jc w:val="left"/>
              <w:rPr/>
            </w:pPr>
            <w:r>
              <w:rPr/>
              <w:t> </w:t>
            </w:r>
          </w:p>
        </w:tc>
        <w:tc>
          <w:tcPr>
            <w:tcW w:w="125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191" w:type="dxa"/>
            <w:tcBorders/>
            <w:vAlign w:val="center"/>
          </w:tcPr>
          <w:p>
            <w:pPr>
              <w:pStyle w:val="TableContents"/>
              <w:bidi w:val="0"/>
              <w:spacing w:before="0" w:after="0"/>
              <w:ind w:left="0" w:right="0" w:hanging="0"/>
              <w:jc w:val="left"/>
              <w:rPr/>
            </w:pPr>
            <w:r>
              <w:rPr/>
              <w:t> </w:t>
            </w:r>
          </w:p>
        </w:tc>
      </w:tr>
    </w:tbl>
    <w:p>
      <w:pPr>
        <w:pStyle w:val="TextBody"/>
        <w:pBdr>
          <w:bottom w:val="single" w:sz="6" w:space="1" w:color="000000"/>
        </w:pBdr>
        <w:bidi w:val="0"/>
        <w:spacing w:before="0" w:after="0"/>
        <w:jc w:val="both"/>
        <w:rPr/>
      </w:pPr>
      <w:r>
        <w:rPr/>
        <w:t> </w:t>
      </w:r>
    </w:p>
    <w:p>
      <w:pPr>
        <w:pStyle w:val="TextBody"/>
        <w:bidi w:val="0"/>
        <w:spacing w:before="0" w:after="0"/>
        <w:jc w:val="both"/>
        <w:rPr>
          <w:rFonts w:ascii="Times New Roman" w:hAnsi="Times New Roman"/>
          <w:b w:val="false"/>
          <w:sz w:val="16"/>
        </w:rPr>
      </w:pPr>
      <w:r>
        <w:rPr>
          <w:rFonts w:ascii="Times New Roman" w:hAnsi="Times New Roman"/>
          <w:b w:val="false"/>
          <w:sz w:val="16"/>
        </w:rPr>
        <w:t>(1)</w:t>
      </w:r>
    </w:p>
    <w:p>
      <w:pPr>
        <w:pStyle w:val="TextBody"/>
        <w:bidi w:val="0"/>
        <w:jc w:val="both"/>
        <w:rPr>
          <w:rFonts w:ascii="Times New Roman;serif" w:hAnsi="Times New Roman;serif"/>
          <w:b w:val="false"/>
          <w:sz w:val="16"/>
        </w:rPr>
      </w:pPr>
      <w:r>
        <w:rPr>
          <w:rFonts w:ascii="Times New Roman;serif" w:hAnsi="Times New Roman;serif"/>
          <w:b w:val="false"/>
          <w:sz w:val="16"/>
        </w:rPr>
        <w:t>Excluding 3.4% of upfront fees.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SBIC program was designed to stimulate the flow of capital into eligible businesses. Under SBA regulations, SBIC II was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is subject to periodic audits and examinations of their financial statements that are prepared on a basis of accounting other than GAAP (for example, fair value, as defined under ASC 820, is not required to be used for assets or liabilities for such compliance reporting). As of April 20, 2023, the date prior to our voluntary surrender of SBIC II's SBA license, SBIC II was in compliance with their regulatory requirements.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accordance with the 1940 Act, with certain limited exceptions, PennantPark Investment is only allowed to borrow amounts such that our required 150% asset coverage ratio is met after such borrowing. As of June 30, 2023 and September 30, 2022,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June 30, 2023 and September 30, 2022, we had cash and cash equivalents of $42.8 million and $52.7 million, respectively, available for investing and general corporate purposes. We believe our liquidity and capital resources are sufficient to allow us to effectively operate our business.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For the nine months ended June 30, 2023, our operating activities provided cash of $113.9 million and our financing activities used cash of $124.1 million. Our operating activities provided cash primarily due to our investment activities and our financing activities used cash primarily due to repayments under the Truist Credit Facility.</w:t>
        <w:br/>
        <w:br/>
        <w:br/>
        <w:br/>
        <w:t>For the nine months ended June 30, 2022, our operating activities used cash of $97.5 million and our financing activities provided cash of $106.9 million. Our operating activities used cash primarily due to our investment activities and our financing activities provided cash primarily due to borrowings under the Truist Credit Facility and proceeds from our 2026-2 Notes.</w:t>
        <w:br/>
        <w:br/>
      </w:r>
      <w:r>
        <w:rPr>
          <w:rFonts w:ascii="Times New Roman" w:hAnsi="Times New Roman"/>
          <w:sz w:val="20"/>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PennantPark Senior Loan Fund, LLC</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July 2020, we and Pantheon formed PSLF, an unconsolidated joint venture. PSLF invests primarily in middle-market and other corporate debt securities consistent with its strategy. PSLF was formed as a Delaware limited liability company. As of June 30, 2023 and September 30, 2022, PSLF had total assets of $839.0 million and $781.3 million, respectively and its investment portfolio consisted of debt investments in 92 and 80 portfolio companies, respectively. As of June 30, 2023, at fair value, the largest investment in a single portfolio company in PSLF was $19.6 million and the five largest investments totaled $97.6 million. As of September 30, 2022, at fair value, the largest</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investment in a single portfolio company in PSLF was $19.9 million and the five largest investments totaled $98.5 million. PSLF invests in portfolio companies in the same industries in which we may directly invest.</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and Pantheon provide capital to PSLF in the form of subordinated notes and equity interests. As of June 30, 2023 and September 30, 2022, we and Pantheon owned 60.5% and 39.5%, respectively, of each of the outstanding subordinated notes and equity interests of PSLF. As of June 30, 2023 and September 30, 2022 its investment in PSLF consisted of subordinated notes of $102.3 million (additional $13.6 million unfunded) and $88.0 million (additional $27.9 million unfunded), respectively, and equity interests of $58.6 million (additional $8.8 million unfunded) and $54.8 million (additional $18.3 million unfunded), respectively.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and Pantheon each appointed two members to PSLF’s four-person Member Designees’ Committee, or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Additionally, PSLF, through its wholly-owned subsidiary, or PSLF Subsidiary, has entered into a $325.0 million (increased from $225.0 million on September 2, 2022) senior secured revolving credit facility, or the PSLF Credit Facility, with BNP Paribas, which bears interest at SOFR (or an alternative risk-free interest rate index) plus 260 basis points during the investment period and is subject to leverage and borrowing base restrictions.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pStyle w:val="TextBody"/>
        <w:bidi w:val="0"/>
        <w:spacing w:before="160" w:after="0"/>
        <w:jc w:val="both"/>
        <w:rPr>
          <w:rFonts w:ascii="Times New Roman" w:hAnsi="Times New Roman"/>
          <w:sz w:val="20"/>
        </w:rPr>
      </w:pPr>
      <w:r>
        <w:rPr>
          <w:rFonts w:ascii="Times New Roman;serif" w:hAnsi="Times New Roman;serif"/>
          <w:b w:val="false"/>
          <w:sz w:val="16"/>
        </w:rPr>
        <w:t>Below is a summary of PSLF’s portfolio at fair value:</w:t>
      </w:r>
      <w:r>
        <w:rPr>
          <w:rFonts w:ascii="Times New Roman" w:hAnsi="Times New Roman"/>
          <w:sz w:val="20"/>
        </w:rPr>
        <w:t xml:space="preserve"> </w:t>
      </w:r>
    </w:p>
    <w:p>
      <w:pPr>
        <w:pStyle w:val="TextBody"/>
        <w:bidi w:val="0"/>
        <w:spacing w:before="0" w:after="0"/>
        <w:jc w:val="both"/>
        <w:rPr/>
      </w:pPr>
      <w:r>
        <w:rPr/>
        <w:t> </w:t>
      </w:r>
    </w:p>
    <w:tbl>
      <w:tblPr>
        <w:tblW w:w="8050" w:type="dxa"/>
        <w:jc w:val="left"/>
        <w:tblInd w:w="0" w:type="dxa"/>
        <w:tblLayout w:type="fixed"/>
        <w:tblCellMar>
          <w:top w:w="28" w:type="dxa"/>
          <w:left w:w="28" w:type="dxa"/>
          <w:bottom w:w="28" w:type="dxa"/>
          <w:right w:w="28" w:type="dxa"/>
        </w:tblCellMar>
      </w:tblPr>
      <w:tblGrid>
        <w:gridCol w:w="4561"/>
        <w:gridCol w:w="146"/>
        <w:gridCol w:w="248"/>
        <w:gridCol w:w="877"/>
        <w:gridCol w:w="241"/>
        <w:gridCol w:w="146"/>
        <w:gridCol w:w="341"/>
        <w:gridCol w:w="1204"/>
        <w:gridCol w:w="28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 in thousands)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2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2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793,940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730,108</w:t>
            </w:r>
          </w:p>
        </w:tc>
        <w:tc>
          <w:tcPr>
            <w:tcW w:w="286"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cost yield on income producing investments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w:t>
            </w:r>
          </w:p>
        </w:tc>
        <w:tc>
          <w:tcPr>
            <w:tcW w:w="2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w:t>
            </w:r>
          </w:p>
        </w:tc>
        <w:tc>
          <w:tcPr>
            <w:tcW w:w="28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Number of portfolio companies in PSLF</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286"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Largest portfolio company investment at fair value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19,639</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19,906</w:t>
            </w:r>
          </w:p>
        </w:tc>
        <w:tc>
          <w:tcPr>
            <w:tcW w:w="286" w:type="dxa"/>
            <w:tcBorders/>
            <w:vAlign w:val="center"/>
          </w:tcPr>
          <w:p>
            <w:pPr>
              <w:pStyle w:val="TableContents"/>
              <w:bidi w:val="0"/>
              <w:spacing w:before="0" w:after="0"/>
              <w:ind w:left="0" w:right="0" w:hanging="0"/>
              <w:jc w:val="left"/>
              <w:rPr/>
            </w:pPr>
            <w:r>
              <w:rPr/>
              <w:t> </w:t>
            </w:r>
          </w:p>
        </w:tc>
      </w:tr>
      <w:tr>
        <w:trPr/>
        <w:tc>
          <w:tcPr>
            <w:tcW w:w="45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of five largest portfolio company investments at fair value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97,590</w:t>
            </w:r>
          </w:p>
        </w:tc>
        <w:tc>
          <w:tcPr>
            <w:tcW w:w="2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98,502</w:t>
            </w:r>
          </w:p>
        </w:tc>
        <w:tc>
          <w:tcPr>
            <w:tcW w:w="286"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Below is a listing of PSLF’s individual investments as of June 30, 2023 ($ in thousands):</w:t>
      </w:r>
    </w:p>
    <w:tbl>
      <w:tblPr>
        <w:tblW w:w="10205" w:type="dxa"/>
        <w:jc w:val="left"/>
        <w:tblInd w:w="0" w:type="dxa"/>
        <w:tblLayout w:type="fixed"/>
        <w:tblCellMar>
          <w:top w:w="28" w:type="dxa"/>
          <w:left w:w="28" w:type="dxa"/>
          <w:bottom w:w="28" w:type="dxa"/>
          <w:right w:w="28" w:type="dxa"/>
        </w:tblCellMar>
      </w:tblPr>
      <w:tblGrid>
        <w:gridCol w:w="2520"/>
        <w:gridCol w:w="146"/>
        <w:gridCol w:w="625"/>
        <w:gridCol w:w="146"/>
        <w:gridCol w:w="2175"/>
        <w:gridCol w:w="146"/>
        <w:gridCol w:w="151"/>
        <w:gridCol w:w="390"/>
        <w:gridCol w:w="211"/>
        <w:gridCol w:w="146"/>
        <w:gridCol w:w="705"/>
        <w:gridCol w:w="146"/>
        <w:gridCol w:w="146"/>
        <w:gridCol w:w="436"/>
        <w:gridCol w:w="146"/>
        <w:gridCol w:w="146"/>
        <w:gridCol w:w="166"/>
        <w:gridCol w:w="436"/>
        <w:gridCol w:w="146"/>
        <w:gridCol w:w="146"/>
        <w:gridCol w:w="201"/>
        <w:gridCol w:w="529"/>
        <w:gridCol w:w="200"/>
      </w:tblGrid>
      <w:tr>
        <w:trPr/>
        <w:tc>
          <w:tcPr>
            <w:tcW w:w="2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7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20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- 814.7%</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0" w:type="dxa"/>
            <w:gridSpan w:val="2"/>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A1 Garage Merger Sub,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Packaging and Glass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14,280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7/24/2025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Amsive Holding Corporation (f/k/a Vision Purchaser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6/10/2025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13,715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5/23/2024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14,194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7/21/2027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9,581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6,392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 Term Loan 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7,493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3/7/2028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11,732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7/1/2029</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13,622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Bioderm,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8,865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9/17/2024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17,669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17,419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12/4/2025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Burgess Point Purchaser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9/26/2029</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6/14/2028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17,238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8/20/2026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2,899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7/13/2027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8,478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Crane 1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8/31/2027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3,932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14,158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6/30/2024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8,509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EDS Buyer,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1/10/2029</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6,159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6,079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Electro Rent Corporation</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1/17/2024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3/15/2027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6/17/2028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Five Star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2/23/2028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4,318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3/16/2026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8/10/2027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6,294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19,430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19,569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14,036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17,269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IG Investments Holdings,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9/22/2028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5,440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19,639</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Infinity Home Services Holdco,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12/28/2028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11,081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10.70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6,380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8/27/2025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19,553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12/20/2023</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13,273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Kinetic Purchaser,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11/10/2027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14,738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2,540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2/18/2027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19,477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2/3/2026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12,066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LJ Avalon Holdings,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1/31/2030</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6,207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 DS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7/31/2028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10.03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2,844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5/14/2026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7,785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4/16/2027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7,277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2,901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9/28/2027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3,978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10.31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7,373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One Stop Mailing,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5/7/2027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8,492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2/4/2028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3,815</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(New Issue)</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5/18/2026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4,378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4,290</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Pequod Merger Sub,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11,301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11/9/2027</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7,153</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5/8/2026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2,392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3,272</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20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3/31/2025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12,526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5,141</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2/28/2028</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4,728</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1/29/2026</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9,384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10,176</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6/20/2025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3,127</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3/10/2025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9,734</w:t>
            </w:r>
          </w:p>
        </w:tc>
        <w:tc>
          <w:tcPr>
            <w:tcW w:w="200" w:type="dxa"/>
            <w:tcBorders/>
            <w:vAlign w:val="center"/>
          </w:tcPr>
          <w:p>
            <w:pPr>
              <w:pStyle w:val="TableContents"/>
              <w:bidi w:val="0"/>
              <w:spacing w:before="0" w:after="0"/>
              <w:ind w:left="0" w:right="0" w:hanging="0"/>
              <w:jc w:val="left"/>
              <w:rPr/>
            </w:pPr>
            <w:r>
              <w:rPr/>
              <w:t> </w:t>
            </w:r>
          </w:p>
        </w:tc>
      </w:tr>
      <w:tr>
        <w:trPr/>
        <w:tc>
          <w:tcPr>
            <w:tcW w:w="2520"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1/3/2025</w:t>
            </w:r>
          </w:p>
        </w:tc>
        <w:tc>
          <w:tcPr>
            <w:tcW w:w="146" w:type="dxa"/>
            <w:tcBorders/>
            <w:vAlign w:val="center"/>
          </w:tcPr>
          <w:p>
            <w:pPr>
              <w:pStyle w:val="TableContents"/>
              <w:bidi w:val="0"/>
              <w:spacing w:before="0" w:after="0"/>
              <w:ind w:left="0" w:right="0" w:hanging="0"/>
              <w:jc w:val="left"/>
              <w:rPr/>
            </w:pPr>
            <w:r>
              <w:rPr/>
              <w:t> </w:t>
            </w:r>
          </w:p>
        </w:tc>
        <w:tc>
          <w:tcPr>
            <w:tcW w:w="2175"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5"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2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6,825</w:t>
            </w:r>
          </w:p>
        </w:tc>
        <w:tc>
          <w:tcPr>
            <w:tcW w:w="200"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045"/>
        <w:gridCol w:w="146"/>
        <w:gridCol w:w="624"/>
        <w:gridCol w:w="146"/>
        <w:gridCol w:w="1569"/>
        <w:gridCol w:w="146"/>
        <w:gridCol w:w="151"/>
        <w:gridCol w:w="390"/>
        <w:gridCol w:w="211"/>
        <w:gridCol w:w="146"/>
        <w:gridCol w:w="696"/>
        <w:gridCol w:w="146"/>
        <w:gridCol w:w="146"/>
        <w:gridCol w:w="436"/>
        <w:gridCol w:w="146"/>
        <w:gridCol w:w="146"/>
        <w:gridCol w:w="166"/>
        <w:gridCol w:w="496"/>
        <w:gridCol w:w="146"/>
        <w:gridCol w:w="146"/>
        <w:gridCol w:w="178"/>
        <w:gridCol w:w="584"/>
        <w:gridCol w:w="199"/>
      </w:tblGrid>
      <w:tr>
        <w:trPr/>
        <w:tc>
          <w:tcPr>
            <w:tcW w:w="3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56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0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4,839</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6/13/2029</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14,888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14,515</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Systems Holding Company</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5/3/2024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11,389</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7/17/2025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9,146</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SpendMend Holdings,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9,632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9,372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12,038</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Summit Behavioral Healthcare,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3,563</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16,006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15,702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Team Services Group,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667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2,936</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10,901</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5,344</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4,416</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5,450</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16,721</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11.65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7,949</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4/3/2028</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10,527</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4,497</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Urology Management Holdings,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6/15/2026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3,790</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11,348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11,158</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19,797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4"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19,352</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805,986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793,940</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- 814.7%</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- 41.1%</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2"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40,035</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- 855.7%</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846,021</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833,975</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30"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(755.7)%</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(736,519</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30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97,456</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b w:val="false"/>
          <w:sz w:val="12"/>
        </w:rPr>
      </w:pPr>
      <w:r>
        <w:rPr>
          <w:rFonts w:ascii="Times New Roman" w:hAnsi="Times New Roman"/>
          <w:b w:val="false"/>
          <w:sz w:val="12"/>
        </w:rPr>
        <w:t>(1)</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Represents floating rate instruments that accrue interest at a predetermined spread relative to an index, typically the applicable Secured Overnight Financing Rate, or "SOFR" or Prime rate or “P”. The spread may change based on the type of rate used. The terms in the Schedule of Investments disclose the actual interest rate in effect as of the reporting period. SOFR loans are typically indexed to a 30-day, 60-day, 90-day or 180-day SOFR rate (1M S, 2M S, 3M S, or 6M S, respectively), at the borrower’s option. All securities are subject to a SOFR or Prime rate floor where a spread is provided, unless noted. The spread provided includes PIK interest and other fee rates, if any.</w:t>
      </w:r>
    </w:p>
    <w:p>
      <w:pPr>
        <w:pStyle w:val="TextBody"/>
        <w:bidi w:val="0"/>
        <w:spacing w:before="0" w:after="0"/>
        <w:jc w:val="both"/>
        <w:rPr>
          <w:rFonts w:ascii="Times New Roman" w:hAnsi="Times New Roman"/>
          <w:b w:val="false"/>
          <w:sz w:val="12"/>
        </w:rPr>
      </w:pPr>
      <w:r>
        <w:rPr>
          <w:rFonts w:ascii="Times New Roman" w:hAnsi="Times New Roman"/>
          <w:b w:val="false"/>
          <w:sz w:val="12"/>
        </w:rPr>
        <w:t>(2)</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Valued based on PSLF’s accounting policy.</w:t>
      </w:r>
    </w:p>
    <w:p>
      <w:pPr>
        <w:pStyle w:val="TextBody"/>
        <w:bidi w:val="0"/>
        <w:spacing w:before="0" w:after="0"/>
        <w:jc w:val="both"/>
        <w:rPr>
          <w:rFonts w:ascii="Times New Roman" w:hAnsi="Times New Roman"/>
          <w:b w:val="false"/>
          <w:sz w:val="12"/>
        </w:rPr>
      </w:pPr>
      <w:r>
        <w:rPr>
          <w:rFonts w:ascii="Times New Roman" w:hAnsi="Times New Roman"/>
          <w:b w:val="false"/>
          <w:sz w:val="12"/>
        </w:rPr>
        <w:t>(3)</w:t>
      </w:r>
    </w:p>
    <w:p>
      <w:pPr>
        <w:pStyle w:val="TextBody"/>
        <w:bidi w:val="0"/>
        <w:jc w:val="both"/>
        <w:rPr>
          <w:rFonts w:ascii="Times New Roman;serif" w:hAnsi="Times New Roman;serif"/>
          <w:b w:val="false"/>
          <w:sz w:val="12"/>
        </w:rPr>
      </w:pPr>
      <w:r>
        <w:rPr>
          <w:rFonts w:ascii="Times New Roman;serif" w:hAnsi="Times New Roman;serif"/>
          <w:b w:val="false"/>
          <w:sz w:val="12"/>
        </w:rPr>
        <w:t>Represents the purchase of a security with delayed settlement or a revolving line of credit that is currently an unfunded investment. This security does not earn a basis point spread above an index while it is unfunded.</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Below is a listing of PSLF’s individual investments as of September 30, 2022 ($ in thousands):</w:t>
      </w:r>
    </w:p>
    <w:tbl>
      <w:tblPr>
        <w:tblW w:w="10205" w:type="dxa"/>
        <w:jc w:val="left"/>
        <w:tblInd w:w="0" w:type="dxa"/>
        <w:tblLayout w:type="fixed"/>
        <w:tblCellMar>
          <w:top w:w="28" w:type="dxa"/>
          <w:left w:w="28" w:type="dxa"/>
          <w:bottom w:w="28" w:type="dxa"/>
          <w:right w:w="28" w:type="dxa"/>
        </w:tblCellMar>
      </w:tblPr>
      <w:tblGrid>
        <w:gridCol w:w="2545"/>
        <w:gridCol w:w="146"/>
        <w:gridCol w:w="586"/>
        <w:gridCol w:w="146"/>
        <w:gridCol w:w="2191"/>
        <w:gridCol w:w="146"/>
        <w:gridCol w:w="151"/>
        <w:gridCol w:w="390"/>
        <w:gridCol w:w="211"/>
        <w:gridCol w:w="146"/>
        <w:gridCol w:w="709"/>
        <w:gridCol w:w="146"/>
        <w:gridCol w:w="146"/>
        <w:gridCol w:w="436"/>
        <w:gridCol w:w="146"/>
        <w:gridCol w:w="146"/>
        <w:gridCol w:w="166"/>
        <w:gridCol w:w="436"/>
        <w:gridCol w:w="146"/>
        <w:gridCol w:w="146"/>
        <w:gridCol w:w="201"/>
        <w:gridCol w:w="530"/>
        <w:gridCol w:w="193"/>
      </w:tblGrid>
      <w:tr>
        <w:trPr/>
        <w:tc>
          <w:tcPr>
            <w:tcW w:w="2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4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2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0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3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First Lien Secured Debt - 864.4%</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31" w:type="dxa"/>
            <w:gridSpan w:val="2"/>
            <w:tcBorders/>
            <w:vAlign w:val="center"/>
          </w:tcPr>
          <w:p>
            <w:pPr>
              <w:pStyle w:val="TableContents"/>
              <w:bidi w:val="0"/>
              <w:spacing w:before="0" w:after="0"/>
              <w:ind w:left="0" w:right="0" w:hanging="0"/>
              <w:jc w:val="left"/>
              <w:rPr/>
            </w:pPr>
            <w:r>
              <w:rPr/>
              <w:t> </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Ad.net Acquisition,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05/06/26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Alpine Acquisition Corp II</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11/30/26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Containers, Packaging and Glass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9,576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Altamira Technologies,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07/24/25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10.81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American Insulated Glass,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12/21/23</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Building Materials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19,906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Amsive Holding Corporation (f/k/a Vision Purchaser Corporation)</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06/10/25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14,104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13,968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13,892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Anteriad, LLC (f/k/a MeritDirect,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05/23/24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15,168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Any Hour Services</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07/21/27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9,743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6,569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6,536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Term Loan B</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3,307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Apex Service Partners, LLC - Term Loan 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6.50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Applied Technical Services,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Environmental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8,602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Arcfield Acquisition Corp.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03/07/28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11,701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Beta Plus Technologies,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07/01/29</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14,700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Blackhawk Industrial Distribution,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09/17/24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17,993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17,596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Broder Bros., Co.</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12/02/22</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Food and Miscellaneous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7.39</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9,937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Cartessa Aesthetics,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05/13/28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17,456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17,194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CF512,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08/20/26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Connatix Buyer,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07/13/27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9,029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8,819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 Squatch,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08/31/27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Personal and Non-Durable 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6,339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DRI Holding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DRS Holdings III,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11/03/25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15,142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14,658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Duraco Specialty Tapes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06/30/24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Manufacturing / Basic Industries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ECL Entertainment,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Hotels, Motels, Inns and Gaming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4,558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ECM Industries,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12/23/25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2,761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2,689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Exigo Intermediate II,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03/15/27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9,726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Fairbanks Morse Defense</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06/17/28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7.63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Global Holdings InterCo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03/16/26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Banking, Finance, Insurance &amp; Real Estate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7,013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Graffiti Buyer,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08/10/27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1,939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1,895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Hancock Roofing and Construction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12/31/26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6,733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Holdco Sands Intermediate,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11/23/28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L+800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19,915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19,516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HV Watterson Holdings,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12/17/26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15,255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14,721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HW Holdco,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14,257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Icon Partners III, LP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Auto Sector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1,705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IDC Infusion Services,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12/30/26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17,400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17,154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16,617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IG Investments Holdings,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09/22/28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4,388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4,428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Imagine Acquisitionco,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11/15/27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6.91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5,636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5,495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Inception Fertility Ventures,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12/07/23</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19,800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Infolinks Media Buyco,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11/01/26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Integrity Marketing Acquisition,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08/27/25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Insurance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9.21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19,866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19,754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K2 Pure Solutions NoCal, L.P.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12/20/23</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14,316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14,438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LAV Gear Holdings,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Leisure, Amusement, Motion Pictures, Entertainment</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2,137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2,129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2,088</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Lash OpCo,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02/18/27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19,708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19,526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Lightspeed Buyer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02/03/26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12,345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12,119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11,944</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 DS Corp.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04/01/27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5,570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5,069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Magenta Buyer,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07/31/28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Software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2,946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2,826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Mars Acquisition Holdings Corp.</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05/14/26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Media</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7,861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7,880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MBS Holdings,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04/16/27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Telecommunications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8.56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7,332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Meadowlark Acquirer,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12/10/27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2,983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2,953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Municipal Emergency Services,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09/28/27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7.25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3,923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NBH Group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08/19/26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7,505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OIS Management Services,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07/09/26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5,210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5,257</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Owl Acquisition,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02/04/28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3,990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3,890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Ox Two, LLC (New Issue)</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05/18/26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Distribution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4,962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4,911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4,863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 Acquisitionco,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11/09/27</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Retail</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8,489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8,419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PlayPower,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05/08/26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2,580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2,487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2,309</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Quantic Electronics,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3,335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 w:hAnsi="Times New Roman"/>
                <w:sz w:val="12"/>
              </w:rPr>
            </w:pPr>
            <w:r>
              <w:rPr>
                <w:rFonts w:ascii="Times New Roman;serif" w:hAnsi="Times New Roman;serif"/>
                <w:b w:val="false"/>
                <w:sz w:val="12"/>
              </w:rPr>
              <w:t xml:space="preserve">Quantic Electronics, LLC - Unfunded Term Loan </w:t>
            </w:r>
            <w:r>
              <w:rPr>
                <w:rFonts w:ascii="Times New Roman;serif" w:hAnsi="Times New Roman;serif"/>
                <w:b w:val="false"/>
                <w:sz w:val="8"/>
              </w:rPr>
              <w:t>(3)</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11/19/26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0.00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pPr>
            <w:r>
              <w:rPr/>
              <w:t>—</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Radius Aerospace,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03/31/25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12,757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12,566</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Rancho Health MSO,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12/18/25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5,180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Reception Purchaser,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02/28/28</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9.13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4,904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4,751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Recteq,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01/29/26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Consumer Products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9,505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Research Now Group, LLC and Dynata,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14,542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14,440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13,070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Riverpoint Medical,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06/20/25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Healthcare, Education and Childcare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3,112</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Riverside Assessments,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03/10/25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9,750</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Sales Benchmark Index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01/03/25</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6,859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6,791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Sargent &amp; Greenleaf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12/20/24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7.15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5,082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5,031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Seaway Buyer, LLC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06/13/29</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7.90</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14,775</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Signature Systems Holding Company</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05/03/24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Chemicals, Plastics and Rubber</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1M L+450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11,951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11,879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11,861</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Solutionreach, Inc.</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01/17/24</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Communications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6M L+675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11,386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11,352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11,113</w:t>
            </w:r>
          </w:p>
        </w:tc>
        <w:tc>
          <w:tcPr>
            <w:tcW w:w="193" w:type="dxa"/>
            <w:tcBorders/>
            <w:vAlign w:val="center"/>
          </w:tcPr>
          <w:p>
            <w:pPr>
              <w:pStyle w:val="TableContents"/>
              <w:bidi w:val="0"/>
              <w:spacing w:before="0" w:after="0"/>
              <w:ind w:left="0" w:right="0" w:hanging="0"/>
              <w:jc w:val="left"/>
              <w:rPr/>
            </w:pPr>
            <w:r>
              <w:rPr/>
              <w:t> </w:t>
            </w:r>
          </w:p>
        </w:tc>
      </w:tr>
      <w:tr>
        <w:trPr/>
        <w:tc>
          <w:tcPr>
            <w:tcW w:w="2545"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STV Group Incorporated</w:t>
            </w:r>
          </w:p>
        </w:tc>
        <w:tc>
          <w:tcPr>
            <w:tcW w:w="14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12/11/26</w:t>
            </w:r>
          </w:p>
        </w:tc>
        <w:tc>
          <w:tcPr>
            <w:tcW w:w="146" w:type="dxa"/>
            <w:tcBorders/>
            <w:vAlign w:val="center"/>
          </w:tcPr>
          <w:p>
            <w:pPr>
              <w:pStyle w:val="TableContents"/>
              <w:bidi w:val="0"/>
              <w:spacing w:before="0" w:after="0"/>
              <w:ind w:left="0" w:right="0" w:hanging="0"/>
              <w:jc w:val="left"/>
              <w:rPr/>
            </w:pPr>
            <w:r>
              <w:rPr/>
              <w:t> </w:t>
            </w:r>
          </w:p>
        </w:tc>
        <w:tc>
          <w:tcPr>
            <w:tcW w:w="21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8.37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12,099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01"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11,978</w:t>
            </w:r>
          </w:p>
        </w:tc>
        <w:tc>
          <w:tcPr>
            <w:tcW w:w="193" w:type="dxa"/>
            <w:tcBorders/>
            <w:vAlign w:val="center"/>
          </w:tcPr>
          <w:p>
            <w:pPr>
              <w:pStyle w:val="TableContents"/>
              <w:bidi w:val="0"/>
              <w:spacing w:before="0" w:after="0"/>
              <w:ind w:left="0" w:right="0" w:hanging="0"/>
              <w:jc w:val="left"/>
              <w:rPr/>
            </w:pPr>
            <w:r>
              <w:rPr/>
              <w:t> </w:t>
            </w:r>
          </w:p>
        </w:tc>
      </w:tr>
    </w:tbl>
    <w:p>
      <w:pPr>
        <w:pStyle w:val="TextBody"/>
        <w:bidi w:val="0"/>
        <w:spacing w:before="0" w:after="0"/>
        <w:jc w:val="both"/>
        <w:rPr/>
      </w:pPr>
      <w:r>
        <w:rPr/>
        <w:t> </w:t>
      </w:r>
    </w:p>
    <w:p>
      <w:pPr>
        <w:pStyle w:val="TextBody"/>
        <w:pBdr>
          <w:bottom w:val="single" w:sz="4" w:space="1" w:color="000000"/>
        </w:pBdr>
        <w:bidi w:val="0"/>
        <w:spacing w:before="0" w:after="0"/>
        <w:jc w:val="both"/>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936"/>
        <w:gridCol w:w="146"/>
        <w:gridCol w:w="622"/>
        <w:gridCol w:w="146"/>
        <w:gridCol w:w="1691"/>
        <w:gridCol w:w="146"/>
        <w:gridCol w:w="151"/>
        <w:gridCol w:w="390"/>
        <w:gridCol w:w="211"/>
        <w:gridCol w:w="146"/>
        <w:gridCol w:w="687"/>
        <w:gridCol w:w="146"/>
        <w:gridCol w:w="146"/>
        <w:gridCol w:w="436"/>
        <w:gridCol w:w="146"/>
        <w:gridCol w:w="146"/>
        <w:gridCol w:w="166"/>
        <w:gridCol w:w="496"/>
        <w:gridCol w:w="146"/>
        <w:gridCol w:w="146"/>
        <w:gridCol w:w="178"/>
        <w:gridCol w:w="582"/>
        <w:gridCol w:w="199"/>
      </w:tblGrid>
      <w:tr>
        <w:trPr/>
        <w:tc>
          <w:tcPr>
            <w:tcW w:w="2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Issuer 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6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Maturity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Industry</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541"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Current</w:t>
              <w:br/>
              <w:t> Coupon</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Basis Point</w:t>
              <w:br/>
              <w:t>Spread Above</w:t>
              <w:br/>
              <w:t xml:space="preserve">Index </w:t>
            </w:r>
            <w:r>
              <w:rPr>
                <w:rFonts w:ascii="Times New Roman;serif" w:hAnsi="Times New Roman;serif"/>
                <w:b/>
                <w:sz w:val="8"/>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Par</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7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2"/>
              </w:rPr>
            </w:pPr>
            <w:r>
              <w:rPr>
                <w:rFonts w:ascii="Times New Roman;serif" w:hAnsi="Times New Roman;serif"/>
                <w:b/>
                <w:sz w:val="12"/>
              </w:rPr>
              <w:t xml:space="preserve">Fair Value </w:t>
            </w:r>
            <w:r>
              <w:rPr>
                <w:rFonts w:ascii="Times New Roman;serif" w:hAnsi="Times New Roman;serif"/>
                <w:b/>
                <w:sz w:val="8"/>
              </w:rPr>
              <w:t>(2)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System Planning and Analysis, Inc. (f/k/a Management Consulting &amp; Research,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8/16/2027</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16,128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15,785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15,870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Teneo Holdings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7/18/2025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Financial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3,435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3,271</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Aegis Technologies Group,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10/31/2025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11,208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11,096</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Bluebird Group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7/27/2026</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10.67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5,502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5,557</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The Vertex Companies,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8/30/2027</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8.62</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4,485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4,509</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TPC Canada Parent, Inc. and TPC US Parent,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11/24/2025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Food</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5,536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5,392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5,370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TVC Enterprises,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3/26/2026</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Transportation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8.87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17,381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17,244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16,946</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TWS Acquisition Corporation</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6/16/2025</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Education</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L+625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7,949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7,910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Tyto Athene,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4/3/2028</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Aerospace and Defense</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7.76</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12,064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11,938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11,208</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UBEO,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4/3/2024</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Printing and Publishing</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8.17</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4,674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4,657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4,604</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Unique Indoor Comfort,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5/24/2027</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Home and Office Furnishings, Housewares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8.95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L+525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9,975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9,840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9,755</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Wildcat Buyerco, Inc.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2/27/2026</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Electronics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9.45</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SOFR+575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11,420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11,110</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Zips Car Wash, LLC</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3/1/2024</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rFonts w:ascii="Times New Roman;serif" w:hAnsi="Times New Roman;serif"/>
                <w:b w:val="false"/>
                <w:sz w:val="12"/>
              </w:rPr>
            </w:pPr>
            <w:r>
              <w:rPr>
                <w:rFonts w:ascii="Times New Roman;serif" w:hAnsi="Times New Roman;serif"/>
                <w:b w:val="false"/>
                <w:sz w:val="12"/>
              </w:rPr>
              <w:t>Business Services</w:t>
            </w:r>
          </w:p>
        </w:tc>
        <w:tc>
          <w:tcPr>
            <w:tcW w:w="146" w:type="dxa"/>
            <w:tcBorders/>
            <w:vAlign w:val="center"/>
          </w:tcPr>
          <w:p>
            <w:pPr>
              <w:pStyle w:val="TableContents"/>
              <w:bidi w:val="0"/>
              <w:spacing w:before="0" w:after="0"/>
              <w:ind w:left="0" w:right="0" w:hanging="0"/>
              <w:jc w:val="left"/>
              <w:rPr/>
            </w:pPr>
            <w:r>
              <w:rPr/>
              <w:t> </w:t>
            </w:r>
          </w:p>
        </w:tc>
        <w:tc>
          <w:tcPr>
            <w:tcW w:w="151" w:type="dxa"/>
            <w:tcBorders/>
            <w:vAlign w:val="center"/>
          </w:tcPr>
          <w:p>
            <w:pPr>
              <w:pStyle w:val="TableContents"/>
              <w:bidi w:val="0"/>
              <w:spacing w:before="0" w:after="0"/>
              <w:ind w:left="0" w:right="0" w:hanging="0"/>
              <w:jc w:val="left"/>
              <w:rPr/>
            </w:pPr>
            <w:r>
              <w:rPr/>
              <w:t> </w:t>
            </w:r>
          </w:p>
        </w:tc>
        <w:tc>
          <w:tcPr>
            <w:tcW w:w="390"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10.24</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3M L+725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19,998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496"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19,673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19,499</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First Lien Secured Debt</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738,219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730,108</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- 864.4%</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Cash and Cash Equivalents - 50.9%</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60" w:type="dxa"/>
            <w:gridSpan w:val="2"/>
            <w:tcBorders/>
            <w:vAlign w:val="center"/>
          </w:tcPr>
          <w:p>
            <w:pPr>
              <w:pStyle w:val="TableContents"/>
              <w:bidi w:val="0"/>
              <w:spacing w:before="0" w:after="0"/>
              <w:ind w:left="0" w:right="0" w:hanging="0"/>
              <w:jc w:val="left"/>
              <w:rPr/>
            </w:pPr>
            <w:r>
              <w:rPr/>
              <w:t> </w:t>
            </w:r>
          </w:p>
        </w:tc>
        <w:tc>
          <w:tcPr>
            <w:tcW w:w="199" w:type="dxa"/>
            <w:tcBorders/>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BlackRock Federal FD Institutional 30</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Cash and Cash Equivalents</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9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42,966</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Total Investments and Cash Equivalents - 915.3%</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781,185</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773,074</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541" w:type="dxa"/>
            <w:gridSpan w:val="5"/>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Liabilities in Excess of Other Assets — (815.3)%</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5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(688,612</w:t>
            </w:r>
          </w:p>
        </w:tc>
        <w:tc>
          <w:tcPr>
            <w:tcW w:w="19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36" w:type="dxa"/>
            <w:tcBorders/>
            <w:vAlign w:val="center"/>
          </w:tcPr>
          <w:p>
            <w:pPr>
              <w:pStyle w:val="TableContents"/>
              <w:bidi w:val="0"/>
              <w:spacing w:before="0" w:after="0"/>
              <w:ind w:left="0" w:right="0" w:hanging="0"/>
              <w:jc w:val="left"/>
              <w:rPr>
                <w:rFonts w:ascii="Times New Roman;serif" w:hAnsi="Times New Roman;serif"/>
                <w:b/>
                <w:sz w:val="12"/>
              </w:rPr>
            </w:pPr>
            <w:r>
              <w:rPr>
                <w:rFonts w:ascii="Times New Roman;serif" w:hAnsi="Times New Roman;serif"/>
                <w:b/>
                <w:sz w:val="12"/>
              </w:rPr>
              <w:t>Members' Equity—100.0%</w:t>
            </w:r>
          </w:p>
        </w:tc>
        <w:tc>
          <w:tcPr>
            <w:tcW w:w="146" w:type="dxa"/>
            <w:tcBorders/>
            <w:vAlign w:val="center"/>
          </w:tcPr>
          <w:p>
            <w:pPr>
              <w:pStyle w:val="TableContents"/>
              <w:bidi w:val="0"/>
              <w:spacing w:before="0" w:after="0"/>
              <w:ind w:left="0" w:right="0" w:hanging="0"/>
              <w:jc w:val="left"/>
              <w:rPr/>
            </w:pPr>
            <w:r>
              <w:rPr/>
              <w:t> </w:t>
            </w:r>
          </w:p>
        </w:tc>
        <w:tc>
          <w:tcPr>
            <w:tcW w:w="622"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69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541" w:type="dxa"/>
            <w:gridSpan w:val="2"/>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58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6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2"/>
              </w:rPr>
            </w:pPr>
            <w:r>
              <w:rPr>
                <w:rFonts w:ascii="Times New Roman;serif" w:hAnsi="Times New Roman;serif"/>
                <w:b w:val="false"/>
                <w:sz w:val="12"/>
              </w:rPr>
              <w:t>84,462</w:t>
            </w:r>
          </w:p>
        </w:tc>
        <w:tc>
          <w:tcPr>
            <w:tcW w:w="19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 w:hAnsi="Times New Roman"/>
          <w:b w:val="false"/>
          <w:sz w:val="12"/>
        </w:rPr>
      </w:pPr>
      <w:r>
        <w:rPr>
          <w:rFonts w:ascii="Times New Roman" w:hAnsi="Times New Roman"/>
          <w:b w:val="false"/>
          <w:sz w:val="12"/>
        </w:rPr>
        <w:t>(1)</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pStyle w:val="TextBody"/>
        <w:bidi w:val="0"/>
        <w:spacing w:before="0" w:after="0"/>
        <w:jc w:val="both"/>
        <w:rPr>
          <w:rFonts w:ascii="Times New Roman" w:hAnsi="Times New Roman"/>
          <w:b w:val="false"/>
          <w:sz w:val="12"/>
        </w:rPr>
      </w:pPr>
      <w:r>
        <w:rPr>
          <w:rFonts w:ascii="Times New Roman" w:hAnsi="Times New Roman"/>
          <w:b w:val="false"/>
          <w:sz w:val="12"/>
        </w:rPr>
        <w:t>(2)</w:t>
      </w:r>
    </w:p>
    <w:p>
      <w:pPr>
        <w:pStyle w:val="TextBody"/>
        <w:bidi w:val="0"/>
        <w:spacing w:before="0" w:after="0"/>
        <w:jc w:val="both"/>
        <w:rPr>
          <w:rFonts w:ascii="Times New Roman;serif" w:hAnsi="Times New Roman;serif"/>
          <w:b w:val="false"/>
          <w:sz w:val="12"/>
        </w:rPr>
      </w:pPr>
      <w:r>
        <w:rPr>
          <w:rFonts w:ascii="Times New Roman;serif" w:hAnsi="Times New Roman;serif"/>
          <w:b w:val="false"/>
          <w:sz w:val="12"/>
        </w:rPr>
        <w:t>Valued based on PSLF’s accounting policy.</w:t>
      </w:r>
    </w:p>
    <w:p>
      <w:pPr>
        <w:pStyle w:val="TextBody"/>
        <w:bidi w:val="0"/>
        <w:spacing w:before="40" w:after="0"/>
        <w:jc w:val="left"/>
        <w:rPr>
          <w:rFonts w:ascii="Times New Roman" w:hAnsi="Times New Roman"/>
          <w:b w:val="false"/>
          <w:sz w:val="13"/>
        </w:rPr>
      </w:pPr>
      <w:r>
        <w:rPr>
          <w:rFonts w:ascii="Times New Roman" w:hAnsi="Times New Roman"/>
          <w:b w:val="false"/>
          <w:sz w:val="13"/>
        </w:rPr>
        <w:t>(3)</w:t>
      </w:r>
    </w:p>
    <w:p>
      <w:pPr>
        <w:pStyle w:val="TextBody"/>
        <w:bidi w:val="0"/>
        <w:spacing w:before="40" w:after="283"/>
        <w:jc w:val="left"/>
        <w:rPr>
          <w:rFonts w:ascii="Times New Roman;serif" w:hAnsi="Times New Roman;serif"/>
          <w:b w:val="false"/>
          <w:sz w:val="13"/>
        </w:rPr>
      </w:pPr>
      <w:r>
        <w:rPr>
          <w:rFonts w:ascii="Times New Roman;serif" w:hAnsi="Times New Roman;serif"/>
          <w:b w:val="false"/>
          <w:sz w:val="13"/>
        </w:rPr>
        <w:t>Represents the purchase of a security with delayed settlement or a revolving line of credit that is currently an unfunded investment. This security does not earn a basis point spread above an index while it is unfunded.</w:t>
      </w:r>
    </w:p>
    <w:p>
      <w:pPr>
        <w:pStyle w:val="TextBody"/>
        <w:bidi w:val="0"/>
        <w:spacing w:before="160" w:after="0"/>
        <w:jc w:val="both"/>
        <w:rPr>
          <w:rFonts w:ascii="Times New Roman;serif" w:hAnsi="Times New Roman;serif"/>
          <w:b w:val="false"/>
          <w:sz w:val="16"/>
        </w:rPr>
      </w:pPr>
      <w:r>
        <w:rPr>
          <w:rFonts w:ascii="Times New Roman;serif" w:hAnsi="Times New Roman;serif"/>
          <w:b w:val="false"/>
          <w:sz w:val="16"/>
        </w:rPr>
        <w:t>Below are the consolidated statements of assets and liabilities for PSLF,($ in thousands):</w:t>
      </w:r>
    </w:p>
    <w:tbl>
      <w:tblPr>
        <w:tblW w:w="9660" w:type="dxa"/>
        <w:jc w:val="left"/>
        <w:tblInd w:w="0" w:type="dxa"/>
        <w:tblLayout w:type="fixed"/>
        <w:tblCellMar>
          <w:top w:w="28" w:type="dxa"/>
          <w:left w:w="28" w:type="dxa"/>
          <w:bottom w:w="28" w:type="dxa"/>
          <w:right w:w="28" w:type="dxa"/>
        </w:tblCellMar>
      </w:tblPr>
      <w:tblGrid>
        <w:gridCol w:w="5761"/>
        <w:gridCol w:w="146"/>
        <w:gridCol w:w="248"/>
        <w:gridCol w:w="877"/>
        <w:gridCol w:w="146"/>
        <w:gridCol w:w="146"/>
        <w:gridCol w:w="341"/>
        <w:gridCol w:w="1204"/>
        <w:gridCol w:w="79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center"/>
              <w:rPr/>
            </w:pPr>
            <w:r>
              <w:rPr/>
              <w:t> </w:t>
            </w:r>
          </w:p>
        </w:tc>
        <w:tc>
          <w:tcPr>
            <w:tcW w:w="791" w:type="dxa"/>
            <w:tcBorders/>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September 30, 2022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 (amortized cost—$805,986 and $738,219, respectively)</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793,940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730,108</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 (cost—$40,035 and $42,966, respectively)</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42,966</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Receivable for investments sold</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3,870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4,060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2,970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948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1,373</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838,983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781,287</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vAlign w:val="center"/>
          </w:tcPr>
          <w:p>
            <w:pPr>
              <w:pStyle w:val="TableContents"/>
              <w:bidi w:val="0"/>
              <w:spacing w:before="0" w:after="0"/>
              <w:ind w:left="0" w:right="0" w:hanging="0"/>
              <w:jc w:val="right"/>
              <w:rPr/>
            </w:pPr>
            <w:r>
              <w:rPr/>
              <w:t> </w:t>
            </w:r>
          </w:p>
        </w:tc>
        <w:tc>
          <w:tcPr>
            <w:tcW w:w="791" w:type="dxa"/>
            <w:tcBorders/>
            <w:vAlign w:val="center"/>
          </w:tcPr>
          <w:p>
            <w:pPr>
              <w:pStyle w:val="TableContents"/>
              <w:bidi w:val="0"/>
              <w:spacing w:before="0" w:after="0"/>
              <w:ind w:left="0" w:right="0" w:hanging="0"/>
              <w:jc w:val="righ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payable</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290,600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257,600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2034 Asset-backed debt, net (par—$246,000)</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244,187</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243,896</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Notes payable to members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169,131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145,472</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Payable for investments purchased</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17,224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37,658</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credit facility and asset backed debt</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4,676</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Distribution payable to members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4,000</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payable on notes to members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3,768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vAlign w:val="center"/>
          </w:tcPr>
          <w:p>
            <w:pPr>
              <w:pStyle w:val="TableContents"/>
              <w:bidi w:val="0"/>
              <w:spacing w:before="0" w:after="0"/>
              <w:ind w:left="0" w:right="0" w:hanging="0"/>
              <w:jc w:val="left"/>
              <w:rPr/>
            </w:pPr>
            <w:r>
              <w:rPr/>
              <w:t> </w:t>
            </w:r>
          </w:p>
        </w:tc>
        <w:tc>
          <w:tcPr>
            <w:tcW w:w="120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2,703</w:t>
            </w:r>
          </w:p>
        </w:tc>
        <w:tc>
          <w:tcPr>
            <w:tcW w:w="791" w:type="dxa"/>
            <w:tcBorders/>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accrued expenses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599</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820</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741,527</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696,825</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761"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 xml:space="preserve">Commitments and contingencies </w:t>
            </w:r>
            <w:r>
              <w:rPr>
                <w:rFonts w:ascii="Times New Roman;serif" w:hAnsi="Times New Roman;serif"/>
                <w:b w:val="false"/>
                <w:sz w:val="11"/>
              </w:rPr>
              <w:t>(1)</w:t>
            </w:r>
          </w:p>
        </w:tc>
        <w:tc>
          <w:tcPr>
            <w:tcW w:w="146" w:type="dxa"/>
            <w:tcBorders/>
            <w:vAlign w:val="center"/>
          </w:tcPr>
          <w:p>
            <w:pPr>
              <w:pStyle w:val="TableContents"/>
              <w:bidi w:val="0"/>
              <w:spacing w:before="0" w:after="0"/>
              <w:ind w:left="0" w:right="0" w:hanging="0"/>
              <w:jc w:val="left"/>
              <w:rPr/>
            </w:pPr>
            <w:r>
              <w:rPr/>
              <w:t> </w:t>
            </w:r>
          </w:p>
        </w:tc>
        <w:tc>
          <w:tcPr>
            <w:tcW w:w="112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54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 </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righ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Members' equity</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97,456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20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84,462</w:t>
            </w:r>
          </w:p>
        </w:tc>
        <w:tc>
          <w:tcPr>
            <w:tcW w:w="791" w:type="dxa"/>
            <w:tcBorders>
              <w:bottom w:val="single" w:sz="4" w:space="0" w:color="000000"/>
            </w:tcBorders>
            <w:tcMar>
              <w:top w:w="0" w:type="dxa"/>
              <w:left w:w="0" w:type="dxa"/>
              <w:right w:w="0" w:type="dxa"/>
            </w:tcMar>
            <w:vAlign w:val="center"/>
          </w:tcPr>
          <w:p>
            <w:pPr>
              <w:pStyle w:val="TableContents"/>
              <w:bidi w:val="0"/>
              <w:spacing w:before="0" w:after="0"/>
              <w:ind w:left="0" w:right="0" w:firstLine="600"/>
              <w:jc w:val="left"/>
              <w:rPr/>
            </w:pPr>
            <w:r>
              <w:rPr/>
              <w:t> </w:t>
            </w:r>
          </w:p>
        </w:tc>
      </w:tr>
      <w:tr>
        <w:trPr/>
        <w:tc>
          <w:tcPr>
            <w:tcW w:w="5761" w:type="dxa"/>
            <w:tcBorders/>
            <w:vAlign w:val="center"/>
          </w:tcPr>
          <w:p>
            <w:pPr>
              <w:pStyle w:val="TableContents"/>
              <w:bidi w:val="0"/>
              <w:spacing w:before="0" w:after="0"/>
              <w:ind w:left="600" w:right="0" w:hanging="0"/>
              <w:jc w:val="left"/>
              <w:rPr>
                <w:rFonts w:ascii="Times New Roman;serif" w:hAnsi="Times New Roman;serif"/>
                <w:b/>
                <w:sz w:val="16"/>
              </w:rPr>
            </w:pPr>
            <w:r>
              <w:rPr>
                <w:rFonts w:ascii="Times New Roman;serif" w:hAnsi="Times New Roman;serif"/>
                <w:b/>
                <w:sz w:val="16"/>
              </w:rPr>
              <w:t>Total liabilities and members' equity</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838,983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20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781,287</w:t>
            </w:r>
          </w:p>
        </w:tc>
        <w:tc>
          <w:tcPr>
            <w:tcW w:w="7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both"/>
        <w:rPr>
          <w:rFonts w:ascii="Times New Roman" w:hAnsi="Times New Roman"/>
          <w:b w:val="false"/>
          <w:sz w:val="12"/>
        </w:rPr>
      </w:pPr>
      <w:r>
        <w:rPr>
          <w:rFonts w:ascii="Times New Roman" w:hAnsi="Times New Roman"/>
          <w:b w:val="false"/>
          <w:sz w:val="12"/>
        </w:rPr>
        <w:t>(1)</w:t>
      </w:r>
    </w:p>
    <w:p>
      <w:pPr>
        <w:pStyle w:val="TextBody"/>
        <w:bidi w:val="0"/>
        <w:jc w:val="both"/>
        <w:rPr>
          <w:rFonts w:ascii="Times New Roman;serif" w:hAnsi="Times New Roman;serif"/>
          <w:b w:val="false"/>
          <w:sz w:val="12"/>
        </w:rPr>
      </w:pPr>
      <w:r>
        <w:rPr>
          <w:rFonts w:ascii="Times New Roman;serif" w:hAnsi="Times New Roman;serif"/>
          <w:b w:val="false"/>
          <w:sz w:val="12"/>
        </w:rPr>
        <w:t>As of June 30, 2023 and September 30, 2022, PSLF had unfunded commitments to fund investments of investments of $0.1 million and $0.1 million, respectively.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Below are the consolidated statements of operations for PSLF, ($ in thousands):</w:t>
      </w:r>
    </w:p>
    <w:tbl>
      <w:tblPr>
        <w:tblW w:w="10205" w:type="dxa"/>
        <w:jc w:val="left"/>
        <w:tblInd w:w="0" w:type="dxa"/>
        <w:tblLayout w:type="fixed"/>
        <w:tblCellMar>
          <w:top w:w="28" w:type="dxa"/>
          <w:left w:w="28" w:type="dxa"/>
          <w:bottom w:w="28" w:type="dxa"/>
          <w:right w:w="28" w:type="dxa"/>
        </w:tblCellMar>
      </w:tblPr>
      <w:tblGrid>
        <w:gridCol w:w="4944"/>
        <w:gridCol w:w="146"/>
        <w:gridCol w:w="234"/>
        <w:gridCol w:w="720"/>
        <w:gridCol w:w="198"/>
        <w:gridCol w:w="174"/>
        <w:gridCol w:w="234"/>
        <w:gridCol w:w="684"/>
        <w:gridCol w:w="166"/>
        <w:gridCol w:w="146"/>
        <w:gridCol w:w="222"/>
        <w:gridCol w:w="682"/>
        <w:gridCol w:w="188"/>
        <w:gridCol w:w="165"/>
        <w:gridCol w:w="222"/>
        <w:gridCol w:w="682"/>
        <w:gridCol w:w="398"/>
      </w:tblGrid>
      <w:tr>
        <w:trPr/>
        <w:tc>
          <w:tcPr>
            <w:tcW w:w="4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4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244"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61"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Nine Months Ended June 30,</w:t>
            </w:r>
          </w:p>
        </w:tc>
        <w:tc>
          <w:tcPr>
            <w:tcW w:w="398" w:type="dxa"/>
            <w:tcBorders/>
            <w:vAlign w:val="center"/>
          </w:tcPr>
          <w:p>
            <w:pPr>
              <w:pStyle w:val="TableContents"/>
              <w:bidi w:val="0"/>
              <w:spacing w:before="0" w:after="0"/>
              <w:ind w:left="0" w:right="0" w:hanging="0"/>
              <w:jc w:val="center"/>
              <w:rPr/>
            </w:pPr>
            <w:r>
              <w:rPr/>
              <w:t> </w:t>
            </w:r>
          </w:p>
        </w:tc>
      </w:tr>
      <w:tr>
        <w:trPr/>
        <w:tc>
          <w:tcPr>
            <w:tcW w:w="494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firstLine="200"/>
              <w:jc w:val="righ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22,848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8,491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62,916</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23,759</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Other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422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1,270</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investment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23,270</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8,509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64,186</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23,919</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firstLine="200"/>
              <w:jc w:val="righ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 on credit facility and asset-backed debt</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9,798</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2,183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26,487</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5,838</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Interest expense on notes to members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5,397</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15,123</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7,861</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Administration fees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513</w:t>
            </w:r>
          </w:p>
        </w:tc>
        <w:tc>
          <w:tcPr>
            <w:tcW w:w="198"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1,733</w:t>
            </w:r>
          </w:p>
        </w:tc>
        <w:tc>
          <w:tcPr>
            <w:tcW w:w="188" w:type="dxa"/>
            <w:tcBorders/>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879</w:t>
            </w:r>
          </w:p>
        </w:tc>
        <w:tc>
          <w:tcPr>
            <w:tcW w:w="398" w:type="dxa"/>
            <w:tcBorders/>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485</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335</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Total expenses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15,902</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5,580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43,828</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14,913</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4944" w:type="dxa"/>
            <w:tcBorders/>
            <w:vAlign w:val="center"/>
          </w:tcPr>
          <w:p>
            <w:pPr>
              <w:pStyle w:val="TableContents"/>
              <w:bidi w:val="0"/>
              <w:spacing w:before="0" w:after="0"/>
              <w:ind w:left="20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7,368</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2,929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20,358</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9,006</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Realized and unrealized gain (loss) on investments:</w:t>
            </w:r>
          </w:p>
        </w:tc>
        <w:tc>
          <w:tcPr>
            <w:tcW w:w="146" w:type="dxa"/>
            <w:tcBorders/>
            <w:vAlign w:val="center"/>
          </w:tcPr>
          <w:p>
            <w:pPr>
              <w:pStyle w:val="TableContents"/>
              <w:bidi w:val="0"/>
              <w:spacing w:before="0" w:after="0"/>
              <w:ind w:left="0" w:right="0" w:hanging="0"/>
              <w:jc w:val="left"/>
              <w:rPr/>
            </w:pPr>
            <w:r>
              <w:rPr/>
              <w:t> </w:t>
            </w:r>
          </w:p>
        </w:tc>
        <w:tc>
          <w:tcPr>
            <w:tcW w:w="954" w:type="dxa"/>
            <w:gridSpan w:val="2"/>
            <w:tcBorders/>
            <w:vAlign w:val="center"/>
          </w:tcPr>
          <w:p>
            <w:pPr>
              <w:pStyle w:val="TableContents"/>
              <w:bidi w:val="0"/>
              <w:spacing w:before="0" w:after="0"/>
              <w:ind w:left="0" w:right="0" w:hanging="0"/>
              <w:jc w:val="right"/>
              <w:rPr/>
            </w:pPr>
            <w:r>
              <w:rPr/>
              <w:t> </w:t>
            </w:r>
          </w:p>
        </w:tc>
        <w:tc>
          <w:tcPr>
            <w:tcW w:w="198" w:type="dxa"/>
            <w:tcBorders/>
            <w:vAlign w:val="center"/>
          </w:tcPr>
          <w:p>
            <w:pPr>
              <w:pStyle w:val="TableContents"/>
              <w:bidi w:val="0"/>
              <w:spacing w:before="0" w:after="0"/>
              <w:ind w:left="0" w:right="0" w:hanging="0"/>
              <w:jc w:val="right"/>
              <w:rPr/>
            </w:pPr>
            <w:r>
              <w:rPr/>
              <w:t> </w:t>
            </w:r>
          </w:p>
        </w:tc>
        <w:tc>
          <w:tcPr>
            <w:tcW w:w="174" w:type="dxa"/>
            <w:tcBorders/>
            <w:vAlign w:val="center"/>
          </w:tcPr>
          <w:p>
            <w:pPr>
              <w:pStyle w:val="TableContents"/>
              <w:bidi w:val="0"/>
              <w:spacing w:before="0" w:after="0"/>
              <w:ind w:left="0" w:right="0" w:hanging="0"/>
              <w:jc w:val="left"/>
              <w:rPr/>
            </w:pPr>
            <w:r>
              <w:rPr/>
              <w:t> </w:t>
            </w:r>
          </w:p>
        </w:tc>
        <w:tc>
          <w:tcPr>
            <w:tcW w:w="918"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188" w:type="dxa"/>
            <w:tcBorders/>
            <w:vAlign w:val="center"/>
          </w:tcPr>
          <w:p>
            <w:pPr>
              <w:pStyle w:val="TableContents"/>
              <w:bidi w:val="0"/>
              <w:spacing w:before="0" w:after="0"/>
              <w:ind w:left="0" w:right="0" w:hanging="0"/>
              <w:jc w:val="right"/>
              <w:rPr/>
            </w:pPr>
            <w:r>
              <w:rPr/>
              <w:t> </w:t>
            </w:r>
          </w:p>
        </w:tc>
        <w:tc>
          <w:tcPr>
            <w:tcW w:w="165" w:type="dxa"/>
            <w:tcBorders/>
            <w:vAlign w:val="center"/>
          </w:tcPr>
          <w:p>
            <w:pPr>
              <w:pStyle w:val="TableContents"/>
              <w:bidi w:val="0"/>
              <w:spacing w:before="0" w:after="0"/>
              <w:ind w:left="0" w:right="0" w:hanging="0"/>
              <w:jc w:val="left"/>
              <w:rPr/>
            </w:pPr>
            <w:r>
              <w:rPr/>
              <w:t> </w:t>
            </w:r>
          </w:p>
        </w:tc>
        <w:tc>
          <w:tcPr>
            <w:tcW w:w="904" w:type="dxa"/>
            <w:gridSpan w:val="2"/>
            <w:tcBorders/>
            <w:vAlign w:val="center"/>
          </w:tcPr>
          <w:p>
            <w:pPr>
              <w:pStyle w:val="TableContents"/>
              <w:bidi w:val="0"/>
              <w:spacing w:before="0" w:after="0"/>
              <w:ind w:left="0" w:right="0" w:hanging="0"/>
              <w:jc w:val="right"/>
              <w:rPr/>
            </w:pPr>
            <w:r>
              <w:rPr/>
              <w:t> </w:t>
            </w:r>
          </w:p>
        </w:tc>
        <w:tc>
          <w:tcPr>
            <w:tcW w:w="398" w:type="dxa"/>
            <w:tcBorders/>
            <w:vAlign w:val="center"/>
          </w:tcPr>
          <w:p>
            <w:pPr>
              <w:pStyle w:val="TableContents"/>
              <w:bidi w:val="0"/>
              <w:spacing w:before="0" w:after="0"/>
              <w:ind w:left="0" w:right="0" w:hanging="0"/>
              <w:jc w:val="righ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720"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w:t>
            </w:r>
          </w:p>
        </w:tc>
        <w:tc>
          <w:tcPr>
            <w:tcW w:w="19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74"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8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222"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506</w:t>
            </w:r>
          </w:p>
        </w:tc>
        <w:tc>
          <w:tcPr>
            <w:tcW w:w="398" w:type="dxa"/>
            <w:tcBorders/>
            <w:vAlign w:val="center"/>
          </w:tcPr>
          <w:p>
            <w:pPr>
              <w:pStyle w:val="TableContents"/>
              <w:bidi w:val="0"/>
              <w:spacing w:before="0" w:after="0"/>
              <w:ind w:left="0" w:right="0" w:hanging="0"/>
              <w:jc w:val="left"/>
              <w:rPr/>
            </w:pPr>
            <w:r>
              <w:rPr/>
              <w:t> </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1,683</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(3,630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(3,934</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(4,357</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 (loss) from investments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1,640</w:t>
            </w:r>
          </w:p>
        </w:tc>
        <w:tc>
          <w:tcPr>
            <w:tcW w:w="1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(3,510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(3,956</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(3,851</w:t>
            </w:r>
          </w:p>
        </w:tc>
        <w:tc>
          <w:tcPr>
            <w:tcW w:w="39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944" w:type="dxa"/>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Net increase (decrease) in members' equity resulting from operations</w:t>
            </w:r>
          </w:p>
        </w:tc>
        <w:tc>
          <w:tcPr>
            <w:tcW w:w="146"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9,008</w:t>
            </w:r>
          </w:p>
        </w:tc>
        <w:tc>
          <w:tcPr>
            <w:tcW w:w="1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c>
          <w:tcPr>
            <w:tcW w:w="2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(581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16,402</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65" w:type="dxa"/>
            <w:tcBorders/>
            <w:vAlign w:val="center"/>
          </w:tcPr>
          <w:p>
            <w:pPr>
              <w:pStyle w:val="TableContents"/>
              <w:bidi w:val="0"/>
              <w:spacing w:before="0" w:after="0"/>
              <w:ind w:left="0" w:right="0" w:hanging="0"/>
              <w:jc w:val="left"/>
              <w:rPr/>
            </w:pPr>
            <w:r>
              <w:rPr/>
              <w:t> </w:t>
            </w:r>
          </w:p>
        </w:tc>
        <w:tc>
          <w:tcPr>
            <w:tcW w:w="22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5,155</w:t>
            </w:r>
          </w:p>
        </w:tc>
        <w:tc>
          <w:tcPr>
            <w:tcW w:w="39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pBdr>
          <w:bottom w:val="single" w:sz="4" w:space="1" w:color="000000"/>
        </w:pBdr>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8"/>
        </w:rPr>
        <w:t xml:space="preserve">(*) </w:t>
      </w:r>
      <w:r>
        <w:rPr>
          <w:rFonts w:ascii="Times New Roman;serif" w:hAnsi="Times New Roman;serif"/>
          <w:b w:val="false"/>
          <w:sz w:val="12"/>
        </w:rPr>
        <w:t>No management or incentive fees are payable by PSLF.</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Distributions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During the three and nine months ended June 30, 2023, we declared distributions of $0.20 and $0.55 per share, for total distributions of $13.0 million and $35.9 million, respectively. We declared distributions of $0.145 and $0.405 per share, for total distributions of $9.4 million and $26.8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intend to continue to make quarterly distributions to our stockholders. Our quarterly distributions, if any, are determined by our board of directors.</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Recent Accounting Pronouncements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March 2020, the FASB issued Accounting Standards Update, or ASU,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June 30, 2023. The FASB approved an (optional) two year extension to December 31, 2024, for transitioning away from LIBOR. The Company utilized the optional expedients and exceptions provided by ASU 2020-04 during the year ended September 30, 2022, the effect of which was not material to the consolidated financial statements and the notes thereto.</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has adopted the new accounting standard implementing appropriate controls and procedures, the effect of which was not material to the consolidated financial statements and the notes thereto.</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June 2022, the FASB issued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Share Repurchase Program</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February 9, 2022, we announced a share repurchase program which allows us to repurchase up to $25 million of our outstanding common shares in the open market at prices below our net asset value as reported in our then most recently published consolidated financial statements. The program expired on March 31, 2023. During the three and nine months ended June 30, 2023, we did not make any repurchases of our common shares. During the three and nine months ended June 30, 2022, we repurchased 717,709 and 1,631,163, respectively, shares of common stock in open market transactions for an aggregate cost (including transaction costs) of $4.9 million and $12.0 million, respectively.</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i/>
          <w:sz w:val="16"/>
        </w:rPr>
        <w:t>Recent Developments</w:t>
      </w:r>
      <w:r>
        <w:rPr>
          <w:rFonts w:ascii="Times New Roman" w:hAnsi="Times New Roman"/>
          <w:sz w:val="20"/>
        </w:rPr>
        <w:t xml:space="preserve">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On July 26, 2023, PSLF, through its wholly-owned and consolidated subsidiary, PennantPark CLO VII, LLC (“CLO VII”), closed a $300.0 million debt securitization in the form of a collateralized loan obligation. PSLF retained all of the subordinated notes, which totaled $54.0 million. The reinvestment period for the term debt securitization ends in July 2027 and the debt is scheduled to mature in July 2035.</w:t>
      </w:r>
    </w:p>
    <w:p>
      <w:pPr>
        <w:pStyle w:val="TextBody"/>
        <w:bidi w:val="0"/>
        <w:spacing w:before="0" w:after="0"/>
        <w:jc w:val="left"/>
        <w:rPr>
          <w:rFonts w:ascii="Times New Roman;serif" w:hAnsi="Times New Roman;serif"/>
          <w:b/>
          <w:sz w:val="16"/>
        </w:rPr>
      </w:pPr>
      <w:bookmarkStart w:id="14" w:name="item_3_quantitative_qualitative_disclosu"/>
      <w:bookmarkEnd w:id="14"/>
      <w:r>
        <w:rPr>
          <w:rFonts w:ascii="Times New Roman;serif" w:hAnsi="Times New Roman;serif"/>
          <w:b/>
          <w:sz w:val="16"/>
        </w:rPr>
        <w:t>Item 3. Quantitative and Qualitative Disclosures About Market Risk</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We are subject to financial market risks, including changes in interest rates. As of June 30, 2023, our debt portfolio consisted of 96% variable-rate investments and 4% fixed 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w:t>
      </w:r>
      <w:r>
        <w:rPr>
          <w:rFonts w:ascii="Times New Roman" w:hAnsi="Times New Roman"/>
          <w:sz w:val="20"/>
        </w:rPr>
        <w:t xml:space="preserve">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the floor and thereafter benefit from market rates above any such floor. In contrast, our cost of funds, to the extent it is not fixed, will fluctuate with changes in interest rates since it has no floor.</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pStyle w:val="TextBody"/>
        <w:bidi w:val="0"/>
        <w:spacing w:before="0" w:after="0"/>
        <w:jc w:val="both"/>
        <w:rPr/>
      </w:pPr>
      <w:r>
        <w:rPr/>
        <w:t> </w:t>
      </w:r>
    </w:p>
    <w:tbl>
      <w:tblPr>
        <w:tblW w:w="6775" w:type="dxa"/>
        <w:jc w:val="left"/>
        <w:tblInd w:w="0" w:type="dxa"/>
        <w:tblLayout w:type="fixed"/>
        <w:tblCellMar>
          <w:top w:w="28" w:type="dxa"/>
          <w:left w:w="28" w:type="dxa"/>
          <w:bottom w:w="28" w:type="dxa"/>
          <w:right w:w="28" w:type="dxa"/>
        </w:tblCellMar>
      </w:tblPr>
      <w:tblGrid>
        <w:gridCol w:w="1906"/>
        <w:gridCol w:w="146"/>
        <w:gridCol w:w="516"/>
        <w:gridCol w:w="1584"/>
        <w:gridCol w:w="166"/>
        <w:gridCol w:w="146"/>
        <w:gridCol w:w="608"/>
        <w:gridCol w:w="1492"/>
        <w:gridCol w:w="21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0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Change in Interest Rates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2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Change in Interest Income, </w:t>
              <w:br/>
              <w:t>Net of Interest Expense</w:t>
              <w:br/>
              <w:t> (in thousands)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0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 xml:space="preserve">Change in Interest Income, </w:t>
              <w:br/>
              <w:t xml:space="preserve">Net of Interest </w:t>
              <w:br/>
              <w:t>Expense Per Share</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Down 1%</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1%</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5,096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0.08</w:t>
            </w:r>
          </w:p>
        </w:tc>
        <w:tc>
          <w:tcPr>
            <w:tcW w:w="21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2%</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0.16</w:t>
            </w:r>
          </w:p>
        </w:tc>
        <w:tc>
          <w:tcPr>
            <w:tcW w:w="21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3%</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15,294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0.23</w:t>
            </w:r>
          </w:p>
        </w:tc>
        <w:tc>
          <w:tcPr>
            <w:tcW w:w="211" w:type="dxa"/>
            <w:tcBorders/>
            <w:vAlign w:val="center"/>
          </w:tcPr>
          <w:p>
            <w:pPr>
              <w:pStyle w:val="TableContents"/>
              <w:bidi w:val="0"/>
              <w:spacing w:before="0" w:after="0"/>
              <w:ind w:left="0" w:right="0" w:hanging="0"/>
              <w:jc w:val="left"/>
              <w:rPr/>
            </w:pPr>
            <w:r>
              <w:rPr/>
              <w:t> </w:t>
            </w:r>
          </w:p>
        </w:tc>
      </w:tr>
      <w:tr>
        <w:trPr/>
        <w:tc>
          <w:tcPr>
            <w:tcW w:w="1906" w:type="dxa"/>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Up 4%</w:t>
            </w:r>
          </w:p>
        </w:tc>
        <w:tc>
          <w:tcPr>
            <w:tcW w:w="146"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158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20,419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08" w:type="dxa"/>
            <w:tcBorders/>
            <w:vAlign w:val="center"/>
          </w:tcPr>
          <w:p>
            <w:pPr>
              <w:pStyle w:val="TableContents"/>
              <w:bidi w:val="0"/>
              <w:spacing w:before="0" w:after="0"/>
              <w:ind w:left="0" w:right="0" w:hanging="0"/>
              <w:jc w:val="left"/>
              <w:rPr/>
            </w:pPr>
            <w:r>
              <w:rPr/>
              <w:t> </w:t>
            </w:r>
          </w:p>
        </w:tc>
        <w:tc>
          <w:tcPr>
            <w:tcW w:w="1492"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0.31</w:t>
            </w:r>
          </w:p>
        </w:tc>
        <w:tc>
          <w:tcPr>
            <w:tcW w:w="2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pStyle w:val="TextBody"/>
        <w:bidi w:val="0"/>
        <w:spacing w:before="0" w:after="0"/>
        <w:jc w:val="both"/>
        <w:rPr/>
      </w:pPr>
      <w:r>
        <w:rPr/>
        <w:t> </w:t>
      </w:r>
    </w:p>
    <w:p>
      <w:pPr>
        <w:pStyle w:val="TextBody"/>
        <w:bidi w:val="0"/>
        <w:spacing w:before="0" w:after="0"/>
        <w:jc w:val="left"/>
        <w:rPr>
          <w:rFonts w:ascii="Times New Roman" w:hAnsi="Times New Roman"/>
          <w:sz w:val="20"/>
        </w:rPr>
      </w:pPr>
      <w:bookmarkStart w:id="15" w:name="item_4_controls_procedures"/>
      <w:bookmarkEnd w:id="15"/>
      <w:r>
        <w:rPr>
          <w:rFonts w:ascii="Times New Roman;serif" w:hAnsi="Times New Roman;serif"/>
          <w:b/>
          <w:sz w:val="16"/>
        </w:rPr>
        <w:t>Item 4. Controls</w:t>
      </w:r>
      <w:r>
        <w:rPr>
          <w:rFonts w:ascii="Times New Roman" w:hAnsi="Times New Roman"/>
          <w:sz w:val="20"/>
        </w:rPr>
        <w:t xml:space="preserve"> </w:t>
      </w:r>
      <w:r>
        <w:rPr>
          <w:rFonts w:ascii="Times New Roman;serif" w:hAnsi="Times New Roman;serif"/>
          <w:b/>
          <w:sz w:val="16"/>
        </w:rPr>
        <w:t>and Procedures</w:t>
      </w:r>
    </w:p>
    <w:p>
      <w:pPr>
        <w:pStyle w:val="TextBody"/>
        <w:bidi w:val="0"/>
        <w:spacing w:before="0" w:after="0"/>
        <w:jc w:val="left"/>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As of the period covered by this Report, we, including our Chief Executive Officer and Chief Financial Officer, evaluated the effectiveness of the design and operation of our disclosure controls and procedures (as defined in Rule 13a-15(e) under the Exchange Act). As disclosed in our Annual Report on Form 10-K for the fiscal year ended September 30, 2022, a material weakness was previously identified in connection with our internal control over financial reporting relating to procedures ensuring the timely transmission of portfolio company financial information to our independent valuation service providers. We have taken steps to remediate this material weakness, which steps have included (i) enhancing existing controls to ensure the timely transmission of all relevant portfolio company financial information to our independent service providers and (ii) enhancing policies and procedures to demonstrate a commitment to improving our overall control environment.</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Taking the above efforts into consideration, our management, including the Chief Executive Officer and Chief Financial Officer, concluded that our disclosure controls and procedures for the quarter ended June 30, 2023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bidi w:val="0"/>
        <w:spacing w:before="0" w:after="0"/>
        <w:jc w:val="both"/>
        <w:rPr>
          <w:rFonts w:ascii="Times New Roman" w:hAnsi="Times New Roman"/>
          <w:sz w:val="20"/>
        </w:rPr>
      </w:pPr>
      <w:r>
        <w:rPr>
          <w:rFonts w:ascii="Times New Roman;serif" w:hAnsi="Times New Roman;serif"/>
          <w:b w:val="false"/>
          <w:sz w:val="16"/>
        </w:rPr>
        <w:t>Other than disclosed in this Item 4, there have been no changes in our internal control over financial reporting that occurred during the quarter ended June 30, 2023 that have materially affected, or are reasonably likely to materially affect, our internal control over financial reporting.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6" w:name="part_ii_or_information"/>
      <w:bookmarkEnd w:id="16"/>
      <w:r>
        <w:rPr>
          <w:rFonts w:ascii="Times New Roman;serif" w:hAnsi="Times New Roman;serif"/>
          <w:b/>
          <w:sz w:val="16"/>
        </w:rPr>
        <w:t>PART II – OTHER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bookmarkStart w:id="17" w:name="item_1_legal_proceedings"/>
      <w:bookmarkEnd w:id="17"/>
      <w:r>
        <w:rPr>
          <w:rFonts w:ascii="Times New Roman;serif" w:hAnsi="Times New Roman;serif"/>
          <w:b/>
          <w:sz w:val="16"/>
        </w:rPr>
        <w:t>Item 1. Legal</w:t>
      </w:r>
      <w:r>
        <w:rPr>
          <w:rFonts w:ascii="Times New Roman" w:hAnsi="Times New Roman"/>
          <w:sz w:val="20"/>
        </w:rPr>
        <w:t xml:space="preserve"> </w:t>
      </w:r>
      <w:r>
        <w:rPr>
          <w:rFonts w:ascii="Times New Roman;serif" w:hAnsi="Times New Roman;serif"/>
          <w:b/>
          <w:sz w:val="16"/>
        </w:rPr>
        <w:t>Proceedings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pStyle w:val="TextBody"/>
        <w:bidi w:val="0"/>
        <w:spacing w:before="0" w:after="0"/>
        <w:jc w:val="both"/>
        <w:rPr/>
      </w:pPr>
      <w:r>
        <w:rPr/>
        <w:t> </w:t>
      </w:r>
    </w:p>
    <w:p>
      <w:pPr>
        <w:pStyle w:val="TextBody"/>
        <w:bidi w:val="0"/>
        <w:spacing w:before="0" w:after="0"/>
        <w:jc w:val="both"/>
        <w:rPr>
          <w:rFonts w:ascii="Times New Roman;serif" w:hAnsi="Times New Roman;serif"/>
          <w:b/>
          <w:sz w:val="16"/>
        </w:rPr>
      </w:pPr>
      <w:bookmarkStart w:id="18" w:name="item_1a_risk_factors"/>
      <w:bookmarkEnd w:id="18"/>
      <w:r>
        <w:rPr>
          <w:rFonts w:ascii="Times New Roman;serif" w:hAnsi="Times New Roman;serif"/>
          <w:b/>
          <w:sz w:val="16"/>
        </w:rPr>
        <w:t>Item 1A. Risk Factors</w:t>
      </w:r>
    </w:p>
    <w:p>
      <w:pPr>
        <w:pStyle w:val="TextBody"/>
        <w:bidi w:val="0"/>
        <w:spacing w:before="0" w:after="0"/>
        <w:jc w:val="both"/>
        <w:rPr/>
      </w:pPr>
      <w:r>
        <w:rPr/>
        <w:t> </w:t>
      </w:r>
    </w:p>
    <w:p>
      <w:pPr>
        <w:pStyle w:val="TextBody"/>
        <w:bidi w:val="0"/>
        <w:spacing w:before="0" w:after="0"/>
        <w:jc w:val="both"/>
        <w:rPr>
          <w:rFonts w:ascii="Times New Roman;serif" w:hAnsi="Times New Roman;serif"/>
          <w:b w:val="false"/>
          <w:sz w:val="16"/>
        </w:rPr>
      </w:pPr>
      <w:r>
        <w:rPr>
          <w:rFonts w:ascii="Times New Roman;serif" w:hAnsi="Times New Roman;serif"/>
          <w:b w:val="false"/>
          <w:sz w:val="16"/>
        </w:rPr>
        <w:t>In addition to the other information set forth in this Report, you should consider carefully the factors discussed below, as well as in Part I “Item 1A. Risk Factors” in our Annual Report on Form 10-K for the fiscal year ended September 30, 2022 filed on November 17, 2022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pStyle w:val="TextBody"/>
        <w:bidi w:val="0"/>
        <w:spacing w:before="0" w:after="0"/>
        <w:jc w:val="both"/>
        <w:rPr/>
      </w:pPr>
      <w:r>
        <w:rPr/>
        <w:t> </w:t>
      </w:r>
    </w:p>
    <w:p>
      <w:pPr>
        <w:pStyle w:val="TextBody"/>
        <w:bidi w:val="0"/>
        <w:spacing w:before="0" w:after="0"/>
        <w:jc w:val="both"/>
        <w:rPr>
          <w:rFonts w:ascii="Times New Roman;serif" w:hAnsi="Times New Roman;serif"/>
          <w:b/>
          <w:sz w:val="16"/>
        </w:rPr>
      </w:pPr>
      <w:r>
        <w:rPr>
          <w:rFonts w:ascii="Times New Roman;serif" w:hAnsi="Times New Roman;serif"/>
          <w:b/>
          <w:sz w:val="16"/>
        </w:rPr>
        <w:t>We, the Adviser, and our portfolio companies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pStyle w:val="TextBody"/>
        <w:bidi w:val="0"/>
        <w:spacing w:before="0" w:after="0"/>
        <w:jc w:val="left"/>
        <w:rPr>
          <w:rFonts w:ascii="Times New Roman" w:hAnsi="Times New Roman"/>
          <w:sz w:val="20"/>
        </w:rPr>
      </w:pPr>
      <w:r>
        <w:rPr>
          <w:rFonts w:ascii="Times New Roman;serif" w:hAnsi="Times New Roman;serif"/>
          <w:b w:val="false"/>
          <w:sz w:val="16"/>
        </w:rPr>
        <w:t>Our cash and our Adviser’s cash is held in accounts at U.S. banking institutions that we believe are of high quality. Cash held by us, our Adviser and by our portfolio companies in non-interest-bearing and interest-bearing operating accounts may exceed the Federal Deposit Insurance Corporation (“FDIC”) insurance limits. If such banking institutions were to fail, we, our Adviser, or our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our, our Adviser’s and our portfolio companies’ business, financial condition, results of operations, or prospects.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Although we and our Adviser assess our and our portfolio companies’ banking relationships as we believe necessary or appropriate, our and our portfolio companies’ access to funding sources and other credit arrangements in amounts adequate to finance or capitalize our respective current and projected future business operations could be significantly impaired by factors that affect us, our Adviser or our portfolio companies, the financial institutions with which we, our Adviser or our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our Adviser or our portfolio companies have financial or business relationships, but could also include factors involving financial markets or the financial services industry generally.</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our Adviser, or our portfolio companies to acquire financing on acceptable terms or at all.</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bookmarkStart w:id="19" w:name="item_2_unregistered_sales_equity_securit"/>
      <w:bookmarkEnd w:id="19"/>
      <w:r>
        <w:rPr>
          <w:rFonts w:ascii="Times New Roman;serif" w:hAnsi="Times New Roman;serif"/>
          <w:b/>
          <w:sz w:val="16"/>
        </w:rPr>
        <w:t>Item 2. Unregistered Sales of Equity Securities and Use of Proceeds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No unregistered securities were sold in the quarter ended June 30, 2023.</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serif" w:hAnsi="Times New Roman;serif"/>
          <w:b/>
          <w:i/>
          <w:sz w:val="16"/>
        </w:rPr>
      </w:pPr>
      <w:r>
        <w:rPr>
          <w:rFonts w:ascii="Times New Roman;serif" w:hAnsi="Times New Roman;serif"/>
          <w:b/>
          <w:i/>
          <w:sz w:val="16"/>
        </w:rPr>
        <w:t>Issuer Purchases of Equity Securities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Repurchases of our common stock under our share repurchase program are as follows:</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1508"/>
        <w:gridCol w:w="146"/>
        <w:gridCol w:w="207"/>
        <w:gridCol w:w="1173"/>
        <w:gridCol w:w="146"/>
        <w:gridCol w:w="146"/>
        <w:gridCol w:w="320"/>
        <w:gridCol w:w="687"/>
        <w:gridCol w:w="146"/>
        <w:gridCol w:w="146"/>
        <w:gridCol w:w="347"/>
        <w:gridCol w:w="1968"/>
        <w:gridCol w:w="146"/>
        <w:gridCol w:w="146"/>
        <w:gridCol w:w="682"/>
        <w:gridCol w:w="2094"/>
        <w:gridCol w:w="197"/>
      </w:tblGrid>
      <w:tr>
        <w:trPr/>
        <w:tc>
          <w:tcPr>
            <w:tcW w:w="15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50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Period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38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 Number of Shares Purchased</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 Price 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31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 xml:space="preserve">Total Number of Shares Purchased as Part of Publicly Announced Plans or Programs </w:t>
            </w:r>
            <w:r>
              <w:rPr>
                <w:rFonts w:ascii="Times New Roman;serif" w:hAnsi="Times New Roman;serif"/>
                <w:b/>
                <w:sz w:val="9"/>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77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Approximate Dollar Value of Shares that May Yet Be Purchased Under the Plans or Programs (in thousands)</w:t>
            </w:r>
          </w:p>
        </w:tc>
        <w:tc>
          <w:tcPr>
            <w:tcW w:w="19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15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2022 through March 31, 2022</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117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913,454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7.72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913,454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17,944</w:t>
            </w:r>
          </w:p>
        </w:tc>
        <w:tc>
          <w:tcPr>
            <w:tcW w:w="197" w:type="dxa"/>
            <w:tcBorders/>
            <w:vAlign w:val="center"/>
          </w:tcPr>
          <w:p>
            <w:pPr>
              <w:pStyle w:val="TableContents"/>
              <w:bidi w:val="0"/>
              <w:spacing w:before="0" w:after="0"/>
              <w:ind w:left="0" w:right="0" w:hanging="0"/>
              <w:jc w:val="left"/>
              <w:rPr/>
            </w:pPr>
            <w:r>
              <w:rPr/>
              <w:t> </w:t>
            </w:r>
          </w:p>
        </w:tc>
      </w:tr>
      <w:tr>
        <w:trPr/>
        <w:tc>
          <w:tcPr>
            <w:tcW w:w="15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2022 through June 30, 2022</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117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717,709</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6.91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1,631,163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12,986</w:t>
            </w:r>
          </w:p>
        </w:tc>
        <w:tc>
          <w:tcPr>
            <w:tcW w:w="197" w:type="dxa"/>
            <w:tcBorders/>
            <w:vAlign w:val="center"/>
          </w:tcPr>
          <w:p>
            <w:pPr>
              <w:pStyle w:val="TableContents"/>
              <w:bidi w:val="0"/>
              <w:spacing w:before="0" w:after="0"/>
              <w:ind w:left="0" w:right="0" w:hanging="0"/>
              <w:jc w:val="left"/>
              <w:rPr/>
            </w:pPr>
            <w:r>
              <w:rPr/>
              <w:t> </w:t>
            </w:r>
          </w:p>
        </w:tc>
      </w:tr>
      <w:tr>
        <w:trPr/>
        <w:tc>
          <w:tcPr>
            <w:tcW w:w="15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July 1, 2022 through September 30, 2022</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1173"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189,442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6.52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1,820,605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11,751</w:t>
            </w:r>
          </w:p>
        </w:tc>
        <w:tc>
          <w:tcPr>
            <w:tcW w:w="197" w:type="dxa"/>
            <w:tcBorders/>
            <w:vAlign w:val="center"/>
          </w:tcPr>
          <w:p>
            <w:pPr>
              <w:pStyle w:val="TableContents"/>
              <w:bidi w:val="0"/>
              <w:spacing w:before="0" w:after="0"/>
              <w:ind w:left="0" w:right="0" w:hanging="0"/>
              <w:jc w:val="left"/>
              <w:rPr/>
            </w:pPr>
            <w:r>
              <w:rPr/>
              <w:t> </w:t>
            </w:r>
          </w:p>
        </w:tc>
      </w:tr>
      <w:tr>
        <w:trPr/>
        <w:tc>
          <w:tcPr>
            <w:tcW w:w="15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October 1, 2022 through December 31, 2022</w:t>
            </w:r>
          </w:p>
        </w:tc>
        <w:tc>
          <w:tcPr>
            <w:tcW w:w="14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 </w:t>
            </w:r>
          </w:p>
        </w:tc>
        <w:tc>
          <w:tcPr>
            <w:tcW w:w="1173"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7"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1,820,605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11,751</w:t>
            </w:r>
          </w:p>
        </w:tc>
        <w:tc>
          <w:tcPr>
            <w:tcW w:w="197" w:type="dxa"/>
            <w:tcBorders/>
            <w:vAlign w:val="center"/>
          </w:tcPr>
          <w:p>
            <w:pPr>
              <w:pStyle w:val="TableContents"/>
              <w:bidi w:val="0"/>
              <w:spacing w:before="0" w:after="0"/>
              <w:ind w:left="0" w:right="0" w:hanging="0"/>
              <w:jc w:val="left"/>
              <w:rPr/>
            </w:pPr>
            <w:r>
              <w:rPr/>
              <w:t> </w:t>
            </w:r>
          </w:p>
        </w:tc>
      </w:tr>
      <w:tr>
        <w:trPr/>
        <w:tc>
          <w:tcPr>
            <w:tcW w:w="15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2023 through March 31, 2023</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47" w:type="dxa"/>
            <w:tcBorders/>
            <w:vAlign w:val="center"/>
          </w:tcPr>
          <w:p>
            <w:pPr>
              <w:pStyle w:val="TableContents"/>
              <w:bidi w:val="0"/>
              <w:spacing w:before="0" w:after="0"/>
              <w:ind w:left="0" w:right="0" w:hanging="0"/>
              <w:jc w:val="left"/>
              <w:rPr/>
            </w:pPr>
            <w:r>
              <w:rPr/>
              <w:t> </w:t>
            </w:r>
          </w:p>
        </w:tc>
        <w:tc>
          <w:tcPr>
            <w:tcW w:w="1968"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1,820,605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682"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094" w:type="dxa"/>
            <w:tcBorders/>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w:t>
            </w:r>
          </w:p>
        </w:tc>
        <w:tc>
          <w:tcPr>
            <w:tcW w:w="197" w:type="dxa"/>
            <w:tcBorders/>
            <w:vAlign w:val="center"/>
          </w:tcPr>
          <w:p>
            <w:pPr>
              <w:pStyle w:val="TableContents"/>
              <w:bidi w:val="0"/>
              <w:spacing w:before="0" w:after="0"/>
              <w:ind w:left="0" w:right="0" w:hanging="0"/>
              <w:jc w:val="left"/>
              <w:rPr/>
            </w:pPr>
            <w:r>
              <w:rPr/>
              <w:t> </w:t>
            </w:r>
          </w:p>
        </w:tc>
      </w:tr>
      <w:tr>
        <w:trPr/>
        <w:tc>
          <w:tcPr>
            <w:tcW w:w="1508"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investments</w:t>
            </w:r>
          </w:p>
        </w:tc>
        <w:tc>
          <w:tcPr>
            <w:tcW w:w="146" w:type="dxa"/>
            <w:tcBorders/>
            <w:vAlign w:val="center"/>
          </w:tcPr>
          <w:p>
            <w:pPr>
              <w:pStyle w:val="TableContents"/>
              <w:bidi w:val="0"/>
              <w:spacing w:before="0" w:after="0"/>
              <w:ind w:left="0" w:right="0" w:hanging="0"/>
              <w:jc w:val="left"/>
              <w:rPr/>
            </w:pPr>
            <w:r>
              <w:rPr/>
              <w:t> </w:t>
            </w:r>
          </w:p>
        </w:tc>
        <w:tc>
          <w:tcPr>
            <w:tcW w:w="20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17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1,820,605</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87"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7.28</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1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776" w:type="dxa"/>
            <w:gridSpan w:val="2"/>
            <w:tcBorders/>
            <w:vAlign w:val="center"/>
          </w:tcPr>
          <w:p>
            <w:pPr>
              <w:pStyle w:val="TableContents"/>
              <w:bidi w:val="0"/>
              <w:spacing w:before="0" w:after="0"/>
              <w:ind w:left="0" w:right="0" w:hanging="0"/>
              <w:jc w:val="left"/>
              <w:rPr/>
            </w:pPr>
            <w:r>
              <w:rPr/>
              <w:t> </w:t>
            </w:r>
          </w:p>
        </w:tc>
        <w:tc>
          <w:tcPr>
            <w:tcW w:w="197"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w:t>
      </w:r>
    </w:p>
    <w:tbl>
      <w:tblPr>
        <w:tblW w:w="10205" w:type="dxa"/>
        <w:jc w:val="left"/>
        <w:tblInd w:w="0" w:type="dxa"/>
        <w:tblLayout w:type="fixed"/>
        <w:tblCellMar>
          <w:top w:w="28" w:type="dxa"/>
          <w:left w:w="28" w:type="dxa"/>
          <w:bottom w:w="28" w:type="dxa"/>
          <w:right w:w="28" w:type="dxa"/>
        </w:tblCellMar>
      </w:tblPr>
      <w:tblGrid>
        <w:gridCol w:w="249"/>
        <w:gridCol w:w="9956"/>
      </w:tblGrid>
      <w:tr>
        <w:trPr/>
        <w:tc>
          <w:tcPr>
            <w:tcW w:w="249" w:type="dxa"/>
            <w:tcBorders/>
            <w:vAlign w:val="center"/>
          </w:tcPr>
          <w:p>
            <w:pPr>
              <w:pStyle w:val="TableContents"/>
              <w:bidi w:val="0"/>
              <w:spacing w:before="0" w:after="283"/>
              <w:jc w:val="left"/>
              <w:rPr>
                <w:sz w:val="4"/>
                <w:szCs w:val="4"/>
              </w:rPr>
            </w:pPr>
            <w:r>
              <w:rPr>
                <w:sz w:val="4"/>
                <w:szCs w:val="4"/>
              </w:rPr>
            </w:r>
          </w:p>
        </w:tc>
        <w:tc>
          <w:tcPr>
            <w:tcW w:w="9956" w:type="dxa"/>
            <w:tcBorders/>
            <w:vAlign w:val="center"/>
          </w:tcPr>
          <w:p>
            <w:pPr>
              <w:pStyle w:val="TableContents"/>
              <w:bidi w:val="0"/>
              <w:spacing w:before="0" w:after="283"/>
              <w:jc w:val="left"/>
              <w:rPr>
                <w:sz w:val="4"/>
                <w:szCs w:val="4"/>
              </w:rPr>
            </w:pPr>
            <w:r>
              <w:rPr>
                <w:sz w:val="4"/>
                <w:szCs w:val="4"/>
              </w:rPr>
            </w:r>
          </w:p>
        </w:tc>
      </w:tr>
      <w:tr>
        <w:trPr/>
        <w:tc>
          <w:tcPr>
            <w:tcW w:w="24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(1)</w:t>
            </w:r>
          </w:p>
        </w:tc>
        <w:tc>
          <w:tcPr>
            <w:tcW w:w="99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2"/>
              </w:rPr>
            </w:pPr>
            <w:r>
              <w:rPr>
                <w:rFonts w:ascii="Times New Roman;serif" w:hAnsi="Times New Roman;serif"/>
                <w:b w:val="false"/>
                <w:sz w:val="12"/>
              </w:rPr>
              <w:t>On February 9, 2022, we announced a share repurchase program which allows us to repurchase up to $25.0 million of our outstanding commons stock. The program expired on March 31, 2023 and we purchased $1.8 million shares of our common stock in open market transaction while the program was in effect for an aggregate cost (including transaction costs) of $13.2 million.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bookmarkStart w:id="20" w:name="item_3_defaults_upon_senior_securities"/>
      <w:bookmarkEnd w:id="20"/>
      <w:r>
        <w:rPr>
          <w:rFonts w:ascii="Times New Roman;serif" w:hAnsi="Times New Roman;serif"/>
          <w:b/>
          <w:sz w:val="16"/>
        </w:rPr>
        <w:t>Item 3. Defaults Upon Senior Securities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None.</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bookmarkStart w:id="21" w:name="item_4_mine_safety_disclosures"/>
      <w:bookmarkEnd w:id="21"/>
      <w:r>
        <w:rPr>
          <w:rFonts w:ascii="Times New Roman;serif" w:hAnsi="Times New Roman;serif"/>
          <w:b/>
          <w:sz w:val="16"/>
        </w:rPr>
        <w:t>Item 4. Mine Safety Disclosures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Not applicable.</w:t>
      </w:r>
    </w:p>
    <w:p>
      <w:pPr>
        <w:pStyle w:val="TextBody"/>
        <w:bidi w:val="0"/>
        <w:spacing w:before="0" w:after="0"/>
        <w:jc w:val="left"/>
        <w:rPr/>
      </w:pPr>
      <w:r>
        <w:rPr/>
        <w:t> </w:t>
      </w:r>
    </w:p>
    <w:p>
      <w:pPr>
        <w:pStyle w:val="TextBody"/>
        <w:bidi w:val="0"/>
        <w:spacing w:before="0" w:after="0"/>
        <w:jc w:val="left"/>
        <w:rPr>
          <w:rFonts w:ascii="Times New Roman;serif" w:hAnsi="Times New Roman;serif"/>
          <w:b/>
          <w:sz w:val="16"/>
        </w:rPr>
      </w:pPr>
      <w:bookmarkStart w:id="22" w:name="item_5_other_information"/>
      <w:bookmarkEnd w:id="22"/>
      <w:r>
        <w:rPr>
          <w:rFonts w:ascii="Times New Roman;serif" w:hAnsi="Times New Roman;serif"/>
          <w:b/>
          <w:sz w:val="16"/>
        </w:rPr>
        <w:t>Item 5. Other Information</w:t>
      </w:r>
    </w:p>
    <w:p>
      <w:pPr>
        <w:pStyle w:val="TextBody"/>
        <w:bidi w:val="0"/>
        <w:spacing w:before="160" w:after="0"/>
        <w:jc w:val="left"/>
        <w:rPr>
          <w:rFonts w:ascii="Times New Roman;serif" w:hAnsi="Times New Roman;serif"/>
          <w:b/>
          <w:sz w:val="16"/>
        </w:rPr>
      </w:pPr>
      <w:r>
        <w:rPr>
          <w:rFonts w:ascii="Times New Roman;serif" w:hAnsi="Times New Roman;serif"/>
          <w:b/>
          <w:sz w:val="16"/>
        </w:rPr>
        <w:t>10b5-1 Disclosure</w:t>
      </w:r>
    </w:p>
    <w:p>
      <w:pPr>
        <w:pStyle w:val="TextBody"/>
        <w:bidi w:val="0"/>
        <w:spacing w:before="160" w:after="0"/>
        <w:jc w:val="left"/>
        <w:rPr>
          <w:rFonts w:ascii="Times New Roman" w:hAnsi="Times New Roman"/>
          <w:sz w:val="20"/>
        </w:rPr>
      </w:pPr>
      <w:r>
        <w:rPr>
          <w:rFonts w:ascii="Times New Roman;serif" w:hAnsi="Times New Roman;serif"/>
          <w:b w:val="false"/>
          <w:sz w:val="16"/>
        </w:rPr>
        <w:t>None of the officers or directors of the Company have adopted</w:t>
      </w:r>
      <w:r>
        <w:rPr>
          <w:rFonts w:ascii="Times New Roman" w:hAnsi="Times New Roman"/>
          <w:sz w:val="20"/>
        </w:rPr>
        <w:t xml:space="preserve"> </w:t>
      </w:r>
      <w:r>
        <w:rPr>
          <w:rFonts w:ascii="Times New Roman;serif" w:hAnsi="Times New Roman;serif"/>
          <w:b w:val="false"/>
          <w:sz w:val="16"/>
        </w:rPr>
        <w:t>or terminated</w:t>
      </w:r>
      <w:r>
        <w:rPr>
          <w:rFonts w:ascii="Times New Roman" w:hAnsi="Times New Roman"/>
          <w:sz w:val="20"/>
        </w:rPr>
        <w:t xml:space="preserve"> </w:t>
      </w:r>
      <w:r>
        <w:rPr>
          <w:rFonts w:ascii="Times New Roman;serif" w:hAnsi="Times New Roman;serif"/>
          <w:b w:val="false"/>
          <w:sz w:val="16"/>
        </w:rPr>
        <w:t>any Rule 10b5-1 trading arrangements applicable to them (if any) or the Company.</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3" w:name="item_6_exhibits"/>
      <w:bookmarkEnd w:id="23"/>
      <w:r>
        <w:rPr>
          <w:rFonts w:ascii="Times New Roman;serif" w:hAnsi="Times New Roman;serif"/>
          <w:b/>
          <w:sz w:val="16"/>
        </w:rPr>
        <w:t>Item 6.</w:t>
      </w:r>
      <w:r>
        <w:rPr>
          <w:rFonts w:ascii="Times New Roman" w:hAnsi="Times New Roman"/>
          <w:sz w:val="20"/>
        </w:rPr>
        <w:t xml:space="preserve"> </w:t>
      </w:r>
      <w:r>
        <w:rPr>
          <w:rFonts w:ascii="Times New Roman;serif" w:hAnsi="Times New Roman;serif"/>
          <w:b/>
          <w:sz w:val="16"/>
        </w:rPr>
        <w:t>Exhibits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Unless specifically indicated otherwise, the following exhibits are incorporated by reference to exhibits previously filed with the SEC:</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99"/>
        <w:gridCol w:w="9506"/>
      </w:tblGrid>
      <w:tr>
        <w:trPr/>
        <w:tc>
          <w:tcPr>
            <w:tcW w:w="699" w:type="dxa"/>
            <w:tcBorders/>
            <w:vAlign w:val="center"/>
          </w:tcPr>
          <w:p>
            <w:pPr>
              <w:pStyle w:val="TableContents"/>
              <w:bidi w:val="0"/>
              <w:spacing w:before="0" w:after="283"/>
              <w:jc w:val="left"/>
              <w:rPr>
                <w:sz w:val="4"/>
                <w:szCs w:val="4"/>
              </w:rPr>
            </w:pPr>
            <w:r>
              <w:rPr>
                <w:sz w:val="4"/>
                <w:szCs w:val="4"/>
              </w:rPr>
            </w:r>
          </w:p>
        </w:tc>
        <w:tc>
          <w:tcPr>
            <w:tcW w:w="9506" w:type="dxa"/>
            <w:tcBorders/>
            <w:vAlign w:val="center"/>
          </w:tcPr>
          <w:p>
            <w:pPr>
              <w:pStyle w:val="TableContents"/>
              <w:bidi w:val="0"/>
              <w:spacing w:before="0" w:after="283"/>
              <w:jc w:val="left"/>
              <w:rPr>
                <w:sz w:val="4"/>
                <w:szCs w:val="4"/>
              </w:rPr>
            </w:pPr>
            <w:r>
              <w:rPr>
                <w:sz w:val="4"/>
                <w:szCs w:val="4"/>
              </w:rPr>
            </w:r>
          </w:p>
        </w:tc>
      </w:tr>
      <w:tr>
        <w:trPr/>
        <w:tc>
          <w:tcPr>
            <w:tcW w:w="69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3.1</w:t>
            </w:r>
          </w:p>
        </w:tc>
        <w:tc>
          <w:tcPr>
            <w:tcW w:w="9506" w:type="dxa"/>
            <w:tcBorders/>
            <w:vAlign w:val="center"/>
          </w:tcPr>
          <w:p>
            <w:pPr>
              <w:pStyle w:val="TableContents"/>
              <w:bidi w:val="0"/>
              <w:spacing w:before="0" w:after="0"/>
              <w:ind w:left="0" w:right="0" w:hanging="0"/>
              <w:jc w:val="left"/>
              <w:rPr/>
            </w:pPr>
            <w:hyperlink r:id="rId2">
              <w:r>
                <w:rPr>
                  <w:rStyle w:val="InternetLink"/>
                  <w:rFonts w:ascii="Times New Roman;serif" w:hAnsi="Times New Roman;serif"/>
                  <w:b w:val="false"/>
                  <w:sz w:val="16"/>
                  <w:u w:val="single"/>
                </w:rPr>
                <w:t>Articles of Incorporation (Incorporated by reference to Exhibit 99(a) to the Registrant’s Pre-Effective Amendment No. 3 to the Registration Statement on Form N-2/A (File No. 333-140092), filed on April 5, 2007).</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3.2</w:t>
            </w:r>
          </w:p>
        </w:tc>
        <w:tc>
          <w:tcPr>
            <w:tcW w:w="9506" w:type="dxa"/>
            <w:tcBorders/>
            <w:vAlign w:val="center"/>
          </w:tcPr>
          <w:p>
            <w:pPr>
              <w:pStyle w:val="TableContents"/>
              <w:bidi w:val="0"/>
              <w:spacing w:before="0" w:after="0"/>
              <w:ind w:left="0" w:right="0" w:hanging="0"/>
              <w:jc w:val="left"/>
              <w:rPr/>
            </w:pPr>
            <w:hyperlink r:id="rId3">
              <w:r>
                <w:rPr>
                  <w:rStyle w:val="InternetLink"/>
                  <w:rFonts w:ascii="Times New Roman;serif" w:hAnsi="Times New Roman;serif"/>
                  <w:b w:val="false"/>
                  <w:sz w:val="16"/>
                  <w:u w:val="single"/>
                </w:rPr>
                <w:t>Second Amended and Restated Bylaws of the Registrant (Incorporated by reference to Exhibit 3.2 to the Registrant's Quarterly Report on Form 10-Q (File No. 814-00736), filed on May 11, 2020).</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pPr>
            <w:r>
              <w:rPr/>
              <w:t>  </w:t>
            </w:r>
            <w:r>
              <w:rPr>
                <w:rFonts w:ascii="Times New Roman;serif" w:hAnsi="Times New Roman;serif"/>
                <w:b w:val="false"/>
                <w:sz w:val="16"/>
              </w:rPr>
              <w:t>4.1</w:t>
            </w:r>
          </w:p>
        </w:tc>
        <w:tc>
          <w:tcPr>
            <w:tcW w:w="9506" w:type="dxa"/>
            <w:tcBorders/>
            <w:vAlign w:val="center"/>
          </w:tcPr>
          <w:p>
            <w:pPr>
              <w:pStyle w:val="TableContents"/>
              <w:bidi w:val="0"/>
              <w:spacing w:before="0" w:after="0"/>
              <w:ind w:left="0" w:right="0" w:hanging="0"/>
              <w:jc w:val="left"/>
              <w:rPr/>
            </w:pPr>
            <w:hyperlink r:id="rId4">
              <w:r>
                <w:rPr>
                  <w:rStyle w:val="InternetLink"/>
                  <w:rFonts w:ascii="Times New Roman;serif" w:hAnsi="Times New Roman;serif"/>
                  <w:b w:val="false"/>
                  <w:sz w:val="16"/>
                  <w:u w:val="single"/>
                </w:rPr>
                <w:t>Form of Share Certificate (Incorporated by reference to Exhibit 99(d)(1) to the Registrant’s Registration Statement on Form N-2 (File No. 333-150033), filed on April 2, 2008).</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31.1*</w:t>
            </w:r>
          </w:p>
        </w:tc>
        <w:tc>
          <w:tcPr>
            <w:tcW w:w="9506" w:type="dxa"/>
            <w:tcBorders/>
            <w:vAlign w:val="center"/>
          </w:tcPr>
          <w:p>
            <w:pPr>
              <w:pStyle w:val="TableContents"/>
              <w:bidi w:val="0"/>
              <w:spacing w:before="0" w:after="0"/>
              <w:ind w:left="0" w:right="0" w:hanging="0"/>
              <w:jc w:val="left"/>
              <w:rPr/>
            </w:pPr>
            <w:hyperlink w:anchor="pnnt-ex31_1.htm">
              <w:r>
                <w:rPr>
                  <w:rStyle w:val="InternetLink"/>
                  <w:rFonts w:ascii="Times New Roman;serif" w:hAnsi="Times New Roman;serif"/>
                  <w:b w:val="false"/>
                  <w:sz w:val="16"/>
                  <w:u w:val="single"/>
                </w:rPr>
                <w:t>Certification of Chief Executive Officer pursuant to Rule 13a-14 of the Securities Exchange Act of 1934, as amended.</w:t>
              </w:r>
            </w:hyperlink>
          </w:p>
        </w:tc>
      </w:tr>
      <w:tr>
        <w:trPr/>
        <w:tc>
          <w:tcPr>
            <w:tcW w:w="699" w:type="dxa"/>
            <w:tcBorders/>
            <w:vAlign w:val="center"/>
          </w:tcPr>
          <w:p>
            <w:pPr>
              <w:pStyle w:val="TableContents"/>
              <w:bidi w:val="0"/>
              <w:spacing w:before="0" w:after="283"/>
              <w:ind w:left="0" w:right="0" w:hanging="0"/>
              <w:jc w:val="left"/>
              <w:rPr>
                <w:sz w:val="4"/>
                <w:szCs w:val="4"/>
              </w:rPr>
            </w:pPr>
            <w:r>
              <w:rPr>
                <w:sz w:val="4"/>
                <w:szCs w:val="4"/>
              </w:rPr>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31.2*</w:t>
            </w:r>
          </w:p>
        </w:tc>
        <w:tc>
          <w:tcPr>
            <w:tcW w:w="9506" w:type="dxa"/>
            <w:tcBorders/>
            <w:vAlign w:val="center"/>
          </w:tcPr>
          <w:p>
            <w:pPr>
              <w:pStyle w:val="TableContents"/>
              <w:bidi w:val="0"/>
              <w:spacing w:before="0" w:after="0"/>
              <w:ind w:left="0" w:right="0" w:hanging="0"/>
              <w:jc w:val="left"/>
              <w:rPr/>
            </w:pPr>
            <w:hyperlink w:anchor="pnnt-ex31_2.htm">
              <w:r>
                <w:rPr>
                  <w:rStyle w:val="InternetLink"/>
                  <w:rFonts w:ascii="Times New Roman;serif" w:hAnsi="Times New Roman;serif"/>
                  <w:b w:val="false"/>
                  <w:sz w:val="16"/>
                  <w:u w:val="single"/>
                </w:rPr>
                <w:t>Certification of Chief Financial Officer pursuant to Rule 13a-14 of the Securities Exchange Act of 1934, as amended.</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32.1*</w:t>
            </w:r>
          </w:p>
        </w:tc>
        <w:tc>
          <w:tcPr>
            <w:tcW w:w="9506" w:type="dxa"/>
            <w:tcBorders/>
            <w:vAlign w:val="center"/>
          </w:tcPr>
          <w:p>
            <w:pPr>
              <w:pStyle w:val="TableContents"/>
              <w:bidi w:val="0"/>
              <w:spacing w:before="0" w:after="0"/>
              <w:ind w:left="0" w:right="0" w:hanging="0"/>
              <w:jc w:val="left"/>
              <w:rPr/>
            </w:pPr>
            <w:hyperlink w:anchor="pnnt-ex32_1.htm">
              <w:r>
                <w:rPr>
                  <w:rStyle w:val="InternetLink"/>
                  <w:rFonts w:ascii="Times New Roman;serif" w:hAnsi="Times New Roman;serif"/>
                  <w:b w:val="false"/>
                  <w:sz w:val="16"/>
                  <w:u w:val="single"/>
                </w:rPr>
                <w:t>Certification of Chief Executive Officer pursuant to Section 906 of the Sarbanes-Oxley Act of 2002.</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32.2*</w:t>
            </w:r>
          </w:p>
        </w:tc>
        <w:tc>
          <w:tcPr>
            <w:tcW w:w="9506" w:type="dxa"/>
            <w:tcBorders/>
            <w:vAlign w:val="center"/>
          </w:tcPr>
          <w:p>
            <w:pPr>
              <w:pStyle w:val="TableContents"/>
              <w:bidi w:val="0"/>
              <w:spacing w:before="0" w:after="0"/>
              <w:ind w:left="0" w:right="0" w:hanging="0"/>
              <w:jc w:val="left"/>
              <w:rPr/>
            </w:pPr>
            <w:hyperlink w:anchor="pnnt-ex32_2.htm">
              <w:r>
                <w:rPr>
                  <w:rStyle w:val="InternetLink"/>
                  <w:rFonts w:ascii="Times New Roman;serif" w:hAnsi="Times New Roman;serif"/>
                  <w:b w:val="false"/>
                  <w:sz w:val="16"/>
                  <w:u w:val="single"/>
                </w:rPr>
                <w:t>Certification of Chief Financial Officer pursuant to Section 906 of the Sarbanes-Oxley Act of 2002.</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99.1</w:t>
            </w:r>
          </w:p>
        </w:tc>
        <w:tc>
          <w:tcPr>
            <w:tcW w:w="9506" w:type="dxa"/>
            <w:tcBorders/>
            <w:vAlign w:val="center"/>
          </w:tcPr>
          <w:p>
            <w:pPr>
              <w:pStyle w:val="TableContents"/>
              <w:bidi w:val="0"/>
              <w:spacing w:before="0" w:after="0"/>
              <w:ind w:left="0" w:right="0" w:hanging="0"/>
              <w:jc w:val="left"/>
              <w:rPr/>
            </w:pPr>
            <w:hyperlink r:id="rId5">
              <w:r>
                <w:rPr>
                  <w:rStyle w:val="InternetLink"/>
                  <w:rFonts w:ascii="Times New Roman;serif" w:hAnsi="Times New Roman;serif"/>
                  <w:b w:val="false"/>
                  <w:sz w:val="16"/>
                  <w:u w:val="single"/>
                </w:rPr>
                <w:t>Privacy Policy of the Registrant (Incorporated by reference to Exhibit 99.1 to the Registrant’s Annual Report on Form 10-K (File No. 814-00736), filed on November 16, 2011).</w:t>
              </w:r>
            </w:hyperlink>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101.INS*</w:t>
            </w:r>
          </w:p>
        </w:tc>
        <w:tc>
          <w:tcPr>
            <w:tcW w:w="9506" w:type="dxa"/>
            <w:tcBorders/>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val="false"/>
                <w:sz w:val="16"/>
              </w:rPr>
              <w:t>Inline XBRL Instance Document</w:t>
            </w:r>
            <w:r>
              <w:rPr>
                <w:rFonts w:ascii="Times New Roman" w:hAnsi="Times New Roman"/>
                <w:sz w:val="16"/>
              </w:rPr>
              <w:t xml:space="preserve"> </w:t>
            </w:r>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101.SCH*</w:t>
            </w:r>
          </w:p>
        </w:tc>
        <w:tc>
          <w:tcPr>
            <w:tcW w:w="9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Schema</w:t>
            </w:r>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101.CAL*</w:t>
            </w:r>
          </w:p>
        </w:tc>
        <w:tc>
          <w:tcPr>
            <w:tcW w:w="9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Calculation Linkbase Document</w:t>
            </w:r>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101.DEF*</w:t>
            </w:r>
          </w:p>
        </w:tc>
        <w:tc>
          <w:tcPr>
            <w:tcW w:w="9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Definition Linkbase Document</w:t>
            </w:r>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101.LAB*</w:t>
            </w:r>
          </w:p>
        </w:tc>
        <w:tc>
          <w:tcPr>
            <w:tcW w:w="9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Label Linkbase Document</w:t>
            </w:r>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101.PRE*</w:t>
            </w:r>
          </w:p>
        </w:tc>
        <w:tc>
          <w:tcPr>
            <w:tcW w:w="9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Inline XBRL Taxonomy Extension Presentation Linkbase Document</w:t>
            </w:r>
          </w:p>
        </w:tc>
      </w:tr>
      <w:tr>
        <w:trPr/>
        <w:tc>
          <w:tcPr>
            <w:tcW w:w="699" w:type="dxa"/>
            <w:tcBorders/>
            <w:vAlign w:val="center"/>
          </w:tcPr>
          <w:p>
            <w:pPr>
              <w:pStyle w:val="TableContents"/>
              <w:bidi w:val="0"/>
              <w:spacing w:before="0" w:after="0"/>
              <w:ind w:left="0" w:right="0" w:hanging="0"/>
              <w:jc w:val="left"/>
              <w:rPr/>
            </w:pPr>
            <w:r>
              <w:rPr/>
              <w:t> </w:t>
            </w:r>
          </w:p>
        </w:tc>
        <w:tc>
          <w:tcPr>
            <w:tcW w:w="9506" w:type="dxa"/>
            <w:tcBorders/>
            <w:vAlign w:val="center"/>
          </w:tcPr>
          <w:p>
            <w:pPr>
              <w:pStyle w:val="TableContents"/>
              <w:bidi w:val="0"/>
              <w:spacing w:before="0" w:after="0"/>
              <w:ind w:left="0" w:right="0" w:hanging="0"/>
              <w:jc w:val="left"/>
              <w:rPr/>
            </w:pPr>
            <w:r>
              <w:rPr/>
              <w:t> </w:t>
            </w:r>
          </w:p>
        </w:tc>
      </w:tr>
      <w:tr>
        <w:trPr/>
        <w:tc>
          <w:tcPr>
            <w:tcW w:w="699"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104</w:t>
            </w:r>
          </w:p>
        </w:tc>
        <w:tc>
          <w:tcPr>
            <w:tcW w:w="950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Cover Page Interactive Data File (formatted as inline XBRL and contained in Exhibit 101)</w:t>
            </w:r>
          </w:p>
        </w:tc>
      </w:tr>
    </w:tbl>
    <w:p>
      <w:pPr>
        <w:pStyle w:val="TextBody"/>
        <w:pBdr>
          <w:bottom w:val="single" w:sz="4" w:space="1" w:color="000000"/>
        </w:pBdr>
        <w:bidi w:val="0"/>
        <w:spacing w:before="0" w:after="0"/>
        <w:jc w:val="left"/>
        <w:rPr/>
      </w:pPr>
      <w:r>
        <w:rPr/>
        <w:t> </w:t>
      </w:r>
    </w:p>
    <w:p>
      <w:pPr>
        <w:pStyle w:val="TextBody"/>
        <w:bidi w:val="0"/>
        <w:spacing w:before="40" w:after="0"/>
        <w:jc w:val="left"/>
        <w:rPr>
          <w:rFonts w:ascii="Times New Roman;serif" w:hAnsi="Times New Roman;serif"/>
          <w:b w:val="false"/>
          <w:sz w:val="16"/>
        </w:rPr>
      </w:pPr>
      <w:r>
        <w:rPr>
          <w:rFonts w:ascii="Times New Roman;serif" w:hAnsi="Times New Roman;serif"/>
          <w:b w:val="false"/>
          <w:sz w:val="16"/>
        </w:rPr>
        <w:t>* Filed herewith.</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16"/>
        </w:rPr>
      </w:pPr>
      <w:bookmarkStart w:id="24" w:name="signatures"/>
      <w:bookmarkEnd w:id="24"/>
      <w:r>
        <w:rPr>
          <w:rFonts w:ascii="Times New Roman;serif" w:hAnsi="Times New Roman;serif"/>
          <w:b/>
          <w:sz w:val="16"/>
        </w:rPr>
        <w:t>SIGNATURES</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Pursuant to the requirements of the Securities Exchange Act of 1934, the registrant has duly caused this Report on Form 10-Q to be signed on its behalf by the undersigned, thereunto duly authorized.</w:t>
      </w:r>
    </w:p>
    <w:p>
      <w:pPr>
        <w:pStyle w:val="TextBody"/>
        <w:bidi w:val="0"/>
        <w:spacing w:before="0" w:after="0"/>
        <w:jc w:val="left"/>
        <w:rPr/>
      </w:pPr>
      <w:r>
        <w:rPr/>
        <w:t> </w:t>
      </w:r>
    </w:p>
    <w:tbl>
      <w:tblPr>
        <w:tblW w:w="7031" w:type="dxa"/>
        <w:jc w:val="left"/>
        <w:tblInd w:w="0" w:type="dxa"/>
        <w:tblLayout w:type="fixed"/>
        <w:tblCellMar>
          <w:top w:w="28" w:type="dxa"/>
          <w:left w:w="28" w:type="dxa"/>
          <w:bottom w:w="28" w:type="dxa"/>
          <w:right w:w="28" w:type="dxa"/>
        </w:tblCellMar>
      </w:tblPr>
      <w:tblGrid>
        <w:gridCol w:w="1636"/>
        <w:gridCol w:w="109"/>
        <w:gridCol w:w="346"/>
        <w:gridCol w:w="109"/>
        <w:gridCol w:w="48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5286" w:type="dxa"/>
            <w:gridSpan w:val="3"/>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PENNANTPARK INVESTMENT CORPORATION</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55" w:type="dxa"/>
            <w:gridSpan w:val="2"/>
            <w:tcBorders/>
            <w:vAlign w:val="center"/>
          </w:tcPr>
          <w:p>
            <w:pPr>
              <w:pStyle w:val="TableContents"/>
              <w:bidi w:val="0"/>
              <w:spacing w:before="0" w:after="283"/>
              <w:ind w:left="0" w:right="0" w:hanging="0"/>
              <w:jc w:val="left"/>
              <w:rPr>
                <w:sz w:val="4"/>
                <w:szCs w:val="4"/>
              </w:rPr>
            </w:pPr>
            <w:r>
              <w:rPr>
                <w:sz w:val="4"/>
                <w:szCs w:val="4"/>
              </w:rPr>
            </w:r>
          </w:p>
        </w:tc>
        <w:tc>
          <w:tcPr>
            <w:tcW w:w="494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6"/>
              </w:rPr>
              <w:t xml:space="preserve">Date: </w:t>
            </w:r>
            <w:r>
              <w:rPr>
                <w:rFonts w:ascii="Times New Roman;serif" w:hAnsi="Times New Roman;serif"/>
                <w:b w:val="false"/>
                <w:sz w:val="18"/>
              </w:rPr>
              <w:t>August 9,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 Arthur H. Penn</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Arthur H. Penn</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Executive Officer and Chairman of the Board of Directors</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Executive Officer)</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455" w:type="dxa"/>
            <w:gridSpan w:val="2"/>
            <w:tcBorders/>
            <w:vAlign w:val="center"/>
          </w:tcPr>
          <w:p>
            <w:pPr>
              <w:pStyle w:val="TableContents"/>
              <w:bidi w:val="0"/>
              <w:spacing w:before="0" w:after="283"/>
              <w:ind w:left="0" w:right="0" w:hanging="0"/>
              <w:jc w:val="left"/>
              <w:rPr>
                <w:sz w:val="4"/>
                <w:szCs w:val="4"/>
              </w:rPr>
            </w:pPr>
            <w:r>
              <w:rPr>
                <w:sz w:val="4"/>
                <w:szCs w:val="4"/>
              </w:rPr>
            </w:r>
          </w:p>
        </w:tc>
        <w:tc>
          <w:tcPr>
            <w:tcW w:w="494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636" w:type="dxa"/>
            <w:tcBorders/>
            <w:vAlign w:val="center"/>
          </w:tcPr>
          <w:p>
            <w:pPr>
              <w:pStyle w:val="TableContents"/>
              <w:bidi w:val="0"/>
              <w:spacing w:before="0" w:after="0"/>
              <w:ind w:left="0" w:right="0" w:hanging="0"/>
              <w:jc w:val="left"/>
              <w:rPr>
                <w:rFonts w:ascii="Times New Roman" w:hAnsi="Times New Roman"/>
                <w:sz w:val="18"/>
              </w:rPr>
            </w:pPr>
            <w:r>
              <w:rPr>
                <w:rFonts w:ascii="Times New Roman;serif" w:hAnsi="Times New Roman;serif"/>
                <w:b w:val="false"/>
                <w:sz w:val="16"/>
              </w:rPr>
              <w:t xml:space="preserve">Date: </w:t>
            </w:r>
            <w:r>
              <w:rPr>
                <w:rFonts w:ascii="Times New Roman;serif" w:hAnsi="Times New Roman;serif"/>
                <w:b w:val="false"/>
                <w:sz w:val="18"/>
              </w:rPr>
              <w:t>August 9, 2023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By:</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/s/ Richard T. Allorto, Jr.</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Richard T. Allorto, Jr.</w:t>
            </w:r>
          </w:p>
        </w:tc>
      </w:tr>
      <w:tr>
        <w:trPr/>
        <w:tc>
          <w:tcPr>
            <w:tcW w:w="16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31"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Chief Financial Officer and Treasurer</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(Principal Financial and Accounting Officer)</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16"/>
        </w:rPr>
      </w:pPr>
      <w:bookmarkStart w:id="25" w:name="pnnt-ex31_1.htm"/>
      <w:bookmarkStart w:id="26" w:name="kspnntex31_1"/>
      <w:bookmarkEnd w:id="25"/>
      <w:bookmarkEnd w:id="26"/>
      <w:r>
        <w:rPr>
          <w:rFonts w:ascii="Times New Roman;serif" w:hAnsi="Times New Roman;serif"/>
          <w:b/>
          <w:sz w:val="16"/>
        </w:rPr>
        <w:t>EXHIBIT 31.1</w:t>
      </w:r>
      <w:r>
        <w:br w:type="page"/>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CERTIFICATION PURSUANT TO SECTION 302</w:t>
      </w:r>
    </w:p>
    <w:p>
      <w:pPr>
        <w:pStyle w:val="TextBody"/>
        <w:bidi w:val="0"/>
        <w:spacing w:before="0" w:after="0"/>
        <w:jc w:val="center"/>
        <w:rPr>
          <w:rFonts w:ascii="Times New Roman;serif" w:hAnsi="Times New Roman;serif"/>
          <w:b/>
          <w:sz w:val="16"/>
        </w:rPr>
      </w:pPr>
      <w:r>
        <w:rPr>
          <w:rFonts w:ascii="Times New Roman;serif" w:hAnsi="Times New Roman;serif"/>
          <w:b/>
          <w:sz w:val="16"/>
        </w:rPr>
        <w:t>CHIEF EXECUTIVE OFFICER CERTIFICATION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 Arthur H. Penn, Chief Executive Officer of PennantPark Investment Corporation, certify that: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1. I have reviewed this Report on Form 10-Q of PennantPark Investment Corporation;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Dated: August 9, 2023</w:t>
      </w:r>
    </w:p>
    <w:p>
      <w:pPr>
        <w:pStyle w:val="TextBody"/>
        <w:bidi w:val="0"/>
        <w:spacing w:before="0" w:after="0"/>
        <w:jc w:val="left"/>
        <w:rPr/>
      </w:pPr>
      <w:r>
        <w:rPr/>
        <w:t> </w:t>
      </w:r>
    </w:p>
    <w:tbl>
      <w:tblPr>
        <w:tblW w:w="2372" w:type="dxa"/>
        <w:jc w:val="left"/>
        <w:tblInd w:w="0" w:type="dxa"/>
        <w:tblLayout w:type="fixed"/>
        <w:tblCellMar>
          <w:top w:w="28" w:type="dxa"/>
          <w:left w:w="28" w:type="dxa"/>
          <w:bottom w:w="28" w:type="dxa"/>
          <w:right w:w="28" w:type="dxa"/>
        </w:tblCellMar>
      </w:tblPr>
      <w:tblGrid>
        <w:gridCol w:w="571"/>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37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w:t>
            </w:r>
          </w:p>
        </w:tc>
      </w:tr>
    </w:tbl>
    <w:p>
      <w:pPr>
        <w:pStyle w:val="TextBody"/>
        <w:bidi w:val="0"/>
        <w:spacing w:before="0" w:after="0"/>
        <w:jc w:val="left"/>
        <w:rPr/>
      </w:pPr>
      <w:r>
        <w:rPr/>
        <w:t> </w:t>
      </w:r>
    </w:p>
    <w:p>
      <w:pPr>
        <w:pStyle w:val="TextBody"/>
        <w:bidi w:val="0"/>
        <w:spacing w:before="0" w:after="0"/>
        <w:jc w:val="center"/>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16"/>
        </w:rPr>
      </w:pPr>
      <w:bookmarkStart w:id="27" w:name="pnnt-ex31_2.htm"/>
      <w:bookmarkStart w:id="28" w:name="kspnntex31_2"/>
      <w:bookmarkEnd w:id="27"/>
      <w:bookmarkEnd w:id="28"/>
      <w:r>
        <w:rPr>
          <w:rFonts w:ascii="Times New Roman;serif" w:hAnsi="Times New Roman;serif"/>
          <w:b/>
          <w:sz w:val="16"/>
        </w:rPr>
        <w:t>EXHIBIT 31.2</w:t>
      </w:r>
      <w:r>
        <w:br w:type="page"/>
      </w:r>
    </w:p>
    <w:p>
      <w:pPr>
        <w:pStyle w:val="TextBody"/>
        <w:bidi w:val="0"/>
        <w:spacing w:before="0" w:after="0"/>
        <w:jc w:val="center"/>
        <w:rPr/>
      </w:pPr>
      <w:r>
        <w:rPr/>
        <w:t> </w:t>
      </w:r>
    </w:p>
    <w:p>
      <w:pPr>
        <w:pStyle w:val="TextBody"/>
        <w:bidi w:val="0"/>
        <w:spacing w:before="0" w:after="0"/>
        <w:jc w:val="center"/>
        <w:rPr>
          <w:rFonts w:ascii="Times New Roman;serif" w:hAnsi="Times New Roman;serif"/>
          <w:b/>
          <w:sz w:val="16"/>
        </w:rPr>
      </w:pPr>
      <w:r>
        <w:rPr>
          <w:rFonts w:ascii="Times New Roman;serif" w:hAnsi="Times New Roman;serif"/>
          <w:b/>
          <w:sz w:val="16"/>
        </w:rPr>
        <w:t>CERTIFICATION PURSUANT TO SECTION 302</w:t>
      </w:r>
    </w:p>
    <w:p>
      <w:pPr>
        <w:pStyle w:val="TextBody"/>
        <w:bidi w:val="0"/>
        <w:spacing w:before="0" w:after="0"/>
        <w:jc w:val="center"/>
        <w:rPr>
          <w:rFonts w:ascii="Times New Roman;serif" w:hAnsi="Times New Roman;serif"/>
          <w:b/>
          <w:sz w:val="16"/>
        </w:rPr>
      </w:pPr>
      <w:r>
        <w:rPr>
          <w:rFonts w:ascii="Times New Roman;serif" w:hAnsi="Times New Roman;serif"/>
          <w:b/>
          <w:sz w:val="16"/>
        </w:rPr>
        <w:t>CHIEF FINANCIAL OFFICER CERTIFICATION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I, Richard T. Allorto, Jr., Chief Financial Officer of PennantPark Investment Corporation, certify that: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1. I have reviewed this Report on Form 10-Q of PennantPark Investment Corporation;</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serif" w:hAnsi="Times New Roman;serif"/>
          <w:b w:val="false"/>
          <w:sz w:val="16"/>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6"/>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16"/>
        </w:rPr>
      </w:pPr>
      <w:r>
        <w:rPr>
          <w:rFonts w:ascii="Times New Roman;serif" w:hAnsi="Times New Roman;serif"/>
          <w:b w:val="false"/>
          <w:sz w:val="16"/>
        </w:rPr>
        <w:t>Dated: August 9, 2023</w:t>
      </w:r>
    </w:p>
    <w:p>
      <w:pPr>
        <w:pStyle w:val="TextBody"/>
        <w:bidi w:val="0"/>
        <w:spacing w:before="0" w:after="0"/>
        <w:jc w:val="left"/>
        <w:rPr/>
      </w:pPr>
      <w:r>
        <w:rPr/>
        <w:t> </w:t>
      </w:r>
    </w:p>
    <w:tbl>
      <w:tblPr>
        <w:tblW w:w="2312" w:type="dxa"/>
        <w:jc w:val="left"/>
        <w:tblInd w:w="0" w:type="dxa"/>
        <w:tblLayout w:type="fixed"/>
        <w:tblCellMar>
          <w:top w:w="28" w:type="dxa"/>
          <w:left w:w="28" w:type="dxa"/>
          <w:bottom w:w="28" w:type="dxa"/>
          <w:right w:w="28" w:type="dxa"/>
        </w:tblCellMar>
      </w:tblPr>
      <w:tblGrid>
        <w:gridCol w:w="571"/>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31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16"/>
        </w:rPr>
      </w:pPr>
      <w:bookmarkStart w:id="29" w:name="pnnt-ex32_1.htm"/>
      <w:bookmarkStart w:id="30" w:name="kspnntex32_1"/>
      <w:bookmarkEnd w:id="29"/>
      <w:bookmarkEnd w:id="30"/>
      <w:r>
        <w:rPr>
          <w:rFonts w:ascii="Times New Roman;serif" w:hAnsi="Times New Roman;serif"/>
          <w:b/>
          <w:sz w:val="16"/>
        </w:rPr>
        <w:t>EXHIBIT 32.1</w:t>
      </w:r>
      <w:r>
        <w:br w:type="page"/>
      </w:r>
    </w:p>
    <w:p>
      <w:pPr>
        <w:pStyle w:val="TextBody"/>
        <w:bidi w:val="0"/>
        <w:spacing w:before="160" w:after="0"/>
        <w:jc w:val="center"/>
        <w:rPr>
          <w:rFonts w:ascii="Times New Roman" w:hAnsi="Times New Roman"/>
          <w:sz w:val="20"/>
        </w:rPr>
      </w:pPr>
      <w:r>
        <w:rPr>
          <w:rFonts w:ascii="Times New Roman;serif" w:hAnsi="Times New Roman;serif"/>
          <w:b/>
          <w:sz w:val="16"/>
        </w:rPr>
        <w:t>CERTIFICATION OF CHIEF EXECUTIVE OFFICER</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PURSUANT TO</w:t>
      </w:r>
    </w:p>
    <w:p>
      <w:pPr>
        <w:pStyle w:val="TextBody"/>
        <w:bidi w:val="0"/>
        <w:spacing w:before="0" w:after="0"/>
        <w:jc w:val="center"/>
        <w:rPr>
          <w:rFonts w:ascii="Times New Roman;serif" w:hAnsi="Times New Roman;serif"/>
          <w:b/>
          <w:sz w:val="16"/>
        </w:rPr>
      </w:pPr>
      <w:r>
        <w:rPr>
          <w:rFonts w:ascii="Times New Roman;serif" w:hAnsi="Times New Roman;serif"/>
          <w:b/>
          <w:sz w:val="16"/>
        </w:rPr>
        <w:t>SECTION 906 OF THE SARBANES-OXLEY ACT OF 2002 (18 U.S.C. 1350)</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In connection with this Report on Form 10-Q for the three and nine months ended June 30, 2023 (the “Report”) of PennantPark Investment Corporation (the “Registrant”), as filed with the Securities and Exchange Commission on the date hereof, I, Arthur H. Penn, Chief Executive Officer of the Registrant, hereby certify, to the best of my knowledge, that:</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(1) The Report fully complies with the requirements of Section 13(a) or 15(d) of the Securities Exchange Act of 1934, as amended; and</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(2) The information contained in the Report fairly presents, in all material respects, the financial condition and results of operations of the Registrant.</w:t>
      </w:r>
    </w:p>
    <w:p>
      <w:pPr>
        <w:pStyle w:val="TextBody"/>
        <w:bidi w:val="0"/>
        <w:spacing w:before="0" w:after="0"/>
        <w:jc w:val="left"/>
        <w:rPr/>
      </w:pPr>
      <w:r>
        <w:rPr/>
        <w:t> </w:t>
      </w:r>
    </w:p>
    <w:tbl>
      <w:tblPr>
        <w:tblW w:w="2518" w:type="dxa"/>
        <w:jc w:val="left"/>
        <w:tblInd w:w="0" w:type="dxa"/>
        <w:tblLayout w:type="fixed"/>
        <w:tblCellMar>
          <w:top w:w="28" w:type="dxa"/>
          <w:left w:w="28" w:type="dxa"/>
          <w:bottom w:w="28" w:type="dxa"/>
          <w:right w:w="28" w:type="dxa"/>
        </w:tblCellMar>
      </w:tblPr>
      <w:tblGrid>
        <w:gridCol w:w="571"/>
        <w:gridCol w:w="146"/>
        <w:gridCol w:w="180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Arthur H. Penn</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Executive Officer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w:t>
            </w:r>
          </w:p>
        </w:tc>
        <w:tc>
          <w:tcPr>
            <w:tcW w:w="146" w:type="dxa"/>
            <w:tcBorders/>
            <w:vAlign w:val="center"/>
          </w:tcPr>
          <w:p>
            <w:pPr>
              <w:pStyle w:val="TableContents"/>
              <w:bidi w:val="0"/>
              <w:spacing w:before="0" w:after="0"/>
              <w:ind w:left="0" w:right="0" w:hanging="0"/>
              <w:jc w:val="left"/>
              <w:rPr/>
            </w:pPr>
            <w:r>
              <w:rPr/>
              <w:t> </w:t>
            </w:r>
          </w:p>
        </w:tc>
        <w:tc>
          <w:tcPr>
            <w:tcW w:w="180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August 9, 2023</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right"/>
        <w:rPr>
          <w:rFonts w:ascii="Times New Roman;serif" w:hAnsi="Times New Roman;serif"/>
          <w:b/>
          <w:sz w:val="16"/>
        </w:rPr>
      </w:pPr>
      <w:bookmarkStart w:id="31" w:name="pnnt-ex32_2.htm"/>
      <w:bookmarkStart w:id="32" w:name="kspnntex32_2"/>
      <w:bookmarkEnd w:id="31"/>
      <w:bookmarkEnd w:id="32"/>
      <w:r>
        <w:rPr>
          <w:rFonts w:ascii="Times New Roman;serif" w:hAnsi="Times New Roman;serif"/>
          <w:b/>
          <w:sz w:val="16"/>
        </w:rPr>
        <w:t>EXHIBIT 32.2</w:t>
      </w:r>
      <w:r>
        <w:br w:type="page"/>
      </w:r>
    </w:p>
    <w:p>
      <w:pPr>
        <w:pStyle w:val="TextBody"/>
        <w:bidi w:val="0"/>
        <w:spacing w:before="160" w:after="0"/>
        <w:jc w:val="center"/>
        <w:rPr>
          <w:rFonts w:ascii="Times New Roman;serif" w:hAnsi="Times New Roman;serif"/>
          <w:b/>
          <w:sz w:val="16"/>
        </w:rPr>
      </w:pPr>
      <w:r>
        <w:rPr>
          <w:rFonts w:ascii="Times New Roman;serif" w:hAnsi="Times New Roman;serif"/>
          <w:b/>
          <w:sz w:val="16"/>
        </w:rPr>
        <w:t>CERTIFICATION OF CHIEF FINANCIAL OFFICER</w:t>
      </w:r>
    </w:p>
    <w:p>
      <w:pPr>
        <w:pStyle w:val="TextBody"/>
        <w:bidi w:val="0"/>
        <w:spacing w:before="0" w:after="0"/>
        <w:jc w:val="center"/>
        <w:rPr>
          <w:rFonts w:ascii="Times New Roman;serif" w:hAnsi="Times New Roman;serif"/>
          <w:b/>
          <w:sz w:val="16"/>
        </w:rPr>
      </w:pPr>
      <w:r>
        <w:rPr>
          <w:rFonts w:ascii="Times New Roman;serif" w:hAnsi="Times New Roman;serif"/>
          <w:b/>
          <w:sz w:val="16"/>
        </w:rPr>
        <w:t>PURSUANT TO</w:t>
      </w:r>
    </w:p>
    <w:p>
      <w:pPr>
        <w:pStyle w:val="TextBody"/>
        <w:bidi w:val="0"/>
        <w:spacing w:before="0" w:after="0"/>
        <w:jc w:val="center"/>
        <w:rPr>
          <w:rFonts w:ascii="Times New Roman;serif" w:hAnsi="Times New Roman;serif"/>
          <w:b/>
          <w:sz w:val="16"/>
        </w:rPr>
      </w:pPr>
      <w:r>
        <w:rPr>
          <w:rFonts w:ascii="Times New Roman;serif" w:hAnsi="Times New Roman;serif"/>
          <w:b/>
          <w:sz w:val="16"/>
        </w:rPr>
        <w:t>SECTION 906 OF THE SARBANES-OXLEY ACT OF 2002 (18 U.S.C. 1350)</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In connection with this Report on Form 10-Q for the three and nine months ended June 30, 2023 (the “Report”) of PennantPark Investment Corporation (the “Registrant”), as filed with the Securities and Exchange Commission on the date hereof, I, Richard T. Allorto, Jr., Chief Financial Officer of the Registrant, hereby certify, to the best of my knowledge, that:</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(1) The Report fully complies with the requirements of Section 13(a) or 15(d) of the Securities Exchange Act of 1934, as amended; and</w:t>
      </w:r>
    </w:p>
    <w:p>
      <w:pPr>
        <w:pStyle w:val="TextBody"/>
        <w:bidi w:val="0"/>
        <w:spacing w:before="160" w:after="0"/>
        <w:jc w:val="left"/>
        <w:rPr>
          <w:rFonts w:ascii="Times New Roman;serif" w:hAnsi="Times New Roman;serif"/>
          <w:b w:val="false"/>
          <w:sz w:val="16"/>
        </w:rPr>
      </w:pPr>
      <w:r>
        <w:rPr>
          <w:rFonts w:ascii="Times New Roman;serif" w:hAnsi="Times New Roman;serif"/>
          <w:b w:val="false"/>
          <w:sz w:val="16"/>
        </w:rPr>
        <w:t>(2) The information contained in the Report fairly presents, in all material respects, the financial condition and results of operations of the Registrant.</w:t>
      </w:r>
    </w:p>
    <w:p>
      <w:pPr>
        <w:pStyle w:val="TextBody"/>
        <w:bidi w:val="0"/>
        <w:spacing w:before="0" w:after="0"/>
        <w:jc w:val="left"/>
        <w:rPr/>
      </w:pPr>
      <w:r>
        <w:rPr/>
        <w:t> </w:t>
      </w:r>
    </w:p>
    <w:tbl>
      <w:tblPr>
        <w:tblW w:w="2458" w:type="dxa"/>
        <w:jc w:val="left"/>
        <w:tblInd w:w="0" w:type="dxa"/>
        <w:tblLayout w:type="fixed"/>
        <w:tblCellMar>
          <w:top w:w="28" w:type="dxa"/>
          <w:left w:w="28" w:type="dxa"/>
          <w:bottom w:w="28" w:type="dxa"/>
          <w:right w:w="28" w:type="dxa"/>
        </w:tblCellMar>
      </w:tblPr>
      <w:tblGrid>
        <w:gridCol w:w="571"/>
        <w:gridCol w:w="146"/>
        <w:gridCol w:w="174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 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Name:</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Richard T. Allorto, Jr.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Title:</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Chief Financial Officer</w:t>
            </w:r>
          </w:p>
        </w:tc>
      </w:tr>
      <w:tr>
        <w:trPr/>
        <w:tc>
          <w:tcPr>
            <w:tcW w:w="57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Date:</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August 9, 2023</w:t>
            </w:r>
          </w:p>
        </w:tc>
      </w:tr>
    </w:tbl>
    <w:p>
      <w:pPr>
        <w:pStyle w:val="TextBody"/>
        <w:bidi w:val="0"/>
        <w:spacing w:before="0" w:after="0"/>
        <w:jc w:val="left"/>
        <w:rPr/>
      </w:pPr>
      <w:r>
        <w:rPr/>
        <w:t> </w:t>
      </w:r>
    </w:p>
    <w:p>
      <w:pPr>
        <w:pStyle w:val="TextBody"/>
        <w:bidi w:val="0"/>
        <w:spacing w:before="0" w:after="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83414/000119312507075646/dex99a.htm" TargetMode="External"/><Relationship Id="rId3" Type="http://schemas.openxmlformats.org/officeDocument/2006/relationships/hyperlink" Target="https://www.sec.gov/Archives/edgar/data/1383414/000156459020024172/pnnt-ex32_163.htm" TargetMode="External"/><Relationship Id="rId4" Type="http://schemas.openxmlformats.org/officeDocument/2006/relationships/hyperlink" Target="https://www.sec.gov/Archives/edgar/data/1383414/000119312508072557/dex99d1.htm" TargetMode="External"/><Relationship Id="rId5" Type="http://schemas.openxmlformats.org/officeDocument/2006/relationships/hyperlink" Target="https://www.sec.gov/Archives/edgar/data/1383414/000138341411000013/pnntprivacypolicy09201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46071</Words>
  <Characters>256016</Characters>
  <CharactersWithSpaces>314367</CharactersWithSpaces>
  <Paragraphs>34391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