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8, 2023</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p>
      <w:pPr>
        <w:ind w:left="2140"/>
        <w:spacing w:after="0"/>
        <w:tabs>
          <w:tab w:leader="none" w:pos="5360" w:val="left"/>
          <w:tab w:leader="none" w:pos="840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814-00736</w:t>
      </w:r>
      <w:r>
        <w:rPr>
          <w:sz w:val="20"/>
          <w:szCs w:val="20"/>
          <w:color w:val="auto"/>
        </w:rPr>
        <w:tab/>
      </w: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ind w:left="920"/>
        <w:spacing w:after="0"/>
        <w:tabs>
          <w:tab w:leader="none" w:pos="4760" w:val="left"/>
          <w:tab w:leader="none" w:pos="744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ectPr>
          <w:pgSz w:w="11900" w:h="16838" w:orient="portrait"/>
          <w:cols w:equalWidth="0" w:num="1">
            <w:col w:w="11120"/>
          </w:cols>
          <w:pgMar w:left="320" w:top="549" w:right="459" w:bottom="1440" w:gutter="0" w:footer="0" w:header="0"/>
        </w:sectPr>
      </w:pPr>
    </w:p>
    <w:p>
      <w:pPr>
        <w:spacing w:after="0" w:line="230"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33139</w:t>
      </w:r>
    </w:p>
    <w:p>
      <w:pPr>
        <w:spacing w:after="0" w:line="3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(Zip Code)</w:t>
      </w:r>
    </w:p>
    <w:p>
      <w:pPr>
        <w:spacing w:after="0" w:line="1619" w:lineRule="exact"/>
        <w:rPr>
          <w:sz w:val="24"/>
          <w:szCs w:val="24"/>
          <w:color w:val="auto"/>
        </w:rPr>
      </w:pPr>
    </w:p>
    <w:p>
      <w:pPr>
        <w:sectPr>
          <w:pgSz w:w="11900" w:h="16838" w:orient="portrait"/>
          <w:cols w:equalWidth="0" w:num="2">
            <w:col w:w="7840" w:space="260"/>
            <w:col w:w="3020"/>
          </w:cols>
          <w:pgMar w:left="320" w:top="549" w:right="459" w:bottom="1440" w:gutter="0" w:footer="0" w:header="0"/>
          <w:type w:val="continuous"/>
        </w:sectPr>
      </w:pPr>
    </w:p>
    <w:p>
      <w:pPr>
        <w:spacing w:after="0" w:line="27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highlight w:val="black"/>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highlight w:val="black"/>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highlight w:val="black"/>
        </w:rPr>
      </w:pPr>
    </w:p>
    <w:p>
      <w:pPr>
        <w:ind w:right="2560" w:firstLine="21"/>
        <w:spacing w:after="0" w:line="548" w:lineRule="auto"/>
        <w:tabs>
          <w:tab w:leader="none" w:pos="51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17" w:lineRule="exact"/>
        <w:rPr>
          <w:sz w:val="24"/>
          <w:szCs w:val="24"/>
          <w:color w:val="auto"/>
        </w:rPr>
      </w:pPr>
    </w:p>
    <w:p>
      <w:pPr>
        <w:ind w:left="1520"/>
        <w:spacing w:after="0"/>
        <w:tabs>
          <w:tab w:leader="none" w:pos="4920" w:val="left"/>
          <w:tab w:leader="none" w:pos="72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40" w:lineRule="exact"/>
        <w:rPr>
          <w:sz w:val="24"/>
          <w:szCs w:val="24"/>
          <w:color w:val="auto"/>
        </w:rPr>
      </w:pPr>
    </w:p>
    <w:p>
      <w:pPr>
        <w:ind w:left="680"/>
        <w:spacing w:after="0"/>
        <w:tabs>
          <w:tab w:leader="none" w:pos="5400" w:val="left"/>
          <w:tab w:leader="none" w:pos="788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PNNT</w:t>
      </w:r>
      <w:r>
        <w:rPr>
          <w:sz w:val="20"/>
          <w:szCs w:val="20"/>
          <w:color w:val="auto"/>
        </w:rPr>
        <w:tab/>
      </w:r>
      <w:r>
        <w:rPr>
          <w:rFonts w:ascii="Times New Roman" w:cs="Times New Roman" w:eastAsia="Times New Roman" w:hAnsi="Times New Roman"/>
          <w:sz w:val="17"/>
          <w:szCs w:val="17"/>
          <w:color w:val="auto"/>
        </w:rPr>
        <w:t>The New York Stock Exchange</w:t>
      </w:r>
    </w:p>
    <w:p>
      <w:pPr>
        <w:spacing w:after="0" w:line="2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28435281.2.BUSINESS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9"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8, 2023, PennantPark Investment Corporation, or the Company, issued a press release announcing its financial results for the first quarter ended December 31, 2022. A copy of the press release is furnished as Exhibit 99.1 to this report pursuant to Item 2.02 on Form 8-K and Regulation FD.</w:t>
      </w:r>
    </w:p>
    <w:p>
      <w:pPr>
        <w:spacing w:after="0" w:line="14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PennantPark Investment Corporation dated February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3560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044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28435281.2.BUSINESS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7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February 8, 2023</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28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28435281.2.BUSINESS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0848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84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PennantPark Investment Corporation Announces 12.1% Increase of Its Quarterly Distribution to $0.185 per Share and Financial Results for the Quarter Ended December 31, 2022</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MIAMI, February 8, 2023 (GLOBE NEWSWIRE) — PennantPark Investment Corporation (NYSE: PNNT) announced today financial results for the first quarter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December 31, 2022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and Liabilities:</w:t>
            </w:r>
          </w:p>
        </w:tc>
        <w:tc>
          <w:tcPr>
            <w:tcW w:w="3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Investment portfolio </w:t>
            </w:r>
            <w:r>
              <w:rPr>
                <w:rFonts w:ascii="Times New Roman" w:cs="Times New Roman" w:eastAsia="Times New Roman" w:hAnsi="Times New Roman"/>
                <w:sz w:val="19"/>
                <w:szCs w:val="19"/>
                <w:color w:val="auto"/>
                <w:vertAlign w:val="superscript"/>
              </w:rPr>
              <w:t>(1)</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1,196.0</w:t>
            </w:r>
          </w:p>
        </w:tc>
        <w:tc>
          <w:tcPr>
            <w:tcW w:w="80" w:type="dxa"/>
            <w:vAlign w:val="bottom"/>
          </w:tcPr>
          <w:p>
            <w:pPr>
              <w:spacing w:after="0"/>
              <w:rPr>
                <w:sz w:val="15"/>
                <w:szCs w:val="15"/>
                <w:color w:val="auto"/>
              </w:rPr>
            </w:pPr>
          </w:p>
        </w:tc>
      </w:tr>
      <w:tr>
        <w:trPr>
          <w:trHeight w:val="176"/>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502.9</w:t>
            </w:r>
          </w:p>
        </w:tc>
        <w:tc>
          <w:tcPr>
            <w:tcW w:w="80" w:type="dxa"/>
            <w:vAlign w:val="bottom"/>
          </w:tcPr>
          <w:p>
            <w:pPr>
              <w:spacing w:after="0"/>
              <w:rPr>
                <w:sz w:val="15"/>
                <w:szCs w:val="15"/>
                <w:color w:val="auto"/>
              </w:rPr>
            </w:pPr>
          </w:p>
        </w:tc>
      </w:tr>
      <w:tr>
        <w:trPr>
          <w:trHeight w:val="176"/>
        </w:trPr>
        <w:tc>
          <w:tcPr>
            <w:tcW w:w="6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GAAP net asset value per share</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Quarterly decrease in GAAP net asset value per share</w:t>
            </w:r>
          </w:p>
        </w:tc>
        <w:tc>
          <w:tcPr>
            <w:tcW w:w="36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(14.1 )%</w:t>
            </w:r>
          </w:p>
        </w:tc>
      </w:tr>
      <w:tr>
        <w:trPr>
          <w:trHeight w:val="176"/>
        </w:trPr>
        <w:tc>
          <w:tcPr>
            <w:tcW w:w="6400" w:type="dxa"/>
            <w:vAlign w:val="bottom"/>
            <w:shd w:val="clear" w:color="auto" w:fill="CCECFF"/>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Adjusted net asset value per share </w:t>
            </w:r>
            <w:r>
              <w:rPr>
                <w:rFonts w:ascii="Times New Roman" w:cs="Times New Roman" w:eastAsia="Times New Roman" w:hAnsi="Times New Roman"/>
                <w:sz w:val="19"/>
                <w:szCs w:val="19"/>
                <w:color w:val="auto"/>
                <w:vertAlign w:val="superscript"/>
              </w:rPr>
              <w:t>(2)</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5"/>
                <w:szCs w:val="15"/>
                <w:color w:val="auto"/>
              </w:rPr>
            </w:pPr>
          </w:p>
        </w:tc>
      </w:tr>
      <w:tr>
        <w:trPr>
          <w:trHeight w:val="175"/>
        </w:trPr>
        <w:tc>
          <w:tcPr>
            <w:tcW w:w="640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Quarterly decrease in adjusted net asset value per share </w:t>
            </w:r>
            <w:r>
              <w:rPr>
                <w:rFonts w:ascii="Times New Roman" w:cs="Times New Roman" w:eastAsia="Times New Roman" w:hAnsi="Times New Roman"/>
                <w:sz w:val="19"/>
                <w:szCs w:val="19"/>
                <w:color w:val="auto"/>
                <w:vertAlign w:val="superscript"/>
              </w:rPr>
              <w:t>(2)</w:t>
            </w:r>
          </w:p>
        </w:tc>
        <w:tc>
          <w:tcPr>
            <w:tcW w:w="36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(15.4 )%</w:t>
            </w:r>
          </w:p>
        </w:tc>
      </w:tr>
      <w:tr>
        <w:trPr>
          <w:trHeight w:val="176"/>
        </w:trPr>
        <w:tc>
          <w:tcPr>
            <w:tcW w:w="6400" w:type="dxa"/>
            <w:vAlign w:val="bottom"/>
            <w:shd w:val="clear" w:color="auto" w:fill="CCECFF"/>
          </w:tcPr>
          <w:p>
            <w:pPr>
              <w:spacing w:after="0"/>
              <w:rPr>
                <w:sz w:val="15"/>
                <w:szCs w:val="15"/>
                <w:color w:val="auto"/>
              </w:rPr>
            </w:pPr>
          </w:p>
        </w:tc>
        <w:tc>
          <w:tcPr>
            <w:tcW w:w="36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367.3</w:t>
            </w: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147.0</w:t>
            </w:r>
          </w:p>
        </w:tc>
        <w:tc>
          <w:tcPr>
            <w:tcW w:w="8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2026-2 Notes</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SBA Debentures</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Debt to Equity</w:t>
            </w:r>
          </w:p>
        </w:tc>
        <w:tc>
          <w:tcPr>
            <w:tcW w:w="36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1.41x</w:t>
            </w: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yield on debt investments at quarter-end</w:t>
            </w:r>
          </w:p>
        </w:tc>
        <w:tc>
          <w:tcPr>
            <w:tcW w:w="362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80" w:type="dxa"/>
            <w:vAlign w:val="bottom"/>
          </w:tcPr>
          <w:p>
            <w:pPr>
              <w:spacing w:after="0"/>
              <w:rPr>
                <w:sz w:val="15"/>
                <w:szCs w:val="15"/>
                <w:color w:val="auto"/>
              </w:rPr>
            </w:pPr>
          </w:p>
        </w:tc>
      </w:tr>
      <w:tr>
        <w:trPr>
          <w:trHeight w:val="176"/>
        </w:trPr>
        <w:tc>
          <w:tcPr>
            <w:tcW w:w="64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Operating Results:</w:t>
            </w:r>
          </w:p>
        </w:tc>
        <w:tc>
          <w:tcPr>
            <w:tcW w:w="36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r>
      <w:tr>
        <w:trPr>
          <w:trHeight w:val="176"/>
        </w:trPr>
        <w:tc>
          <w:tcPr>
            <w:tcW w:w="6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investment income per share</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declared per share</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0.165</w:t>
            </w:r>
          </w:p>
        </w:tc>
        <w:tc>
          <w:tcPr>
            <w:tcW w:w="80" w:type="dxa"/>
            <w:vAlign w:val="bottom"/>
          </w:tcPr>
          <w:p>
            <w:pPr>
              <w:spacing w:after="0"/>
              <w:rPr>
                <w:sz w:val="15"/>
                <w:szCs w:val="15"/>
                <w:color w:val="auto"/>
              </w:rPr>
            </w:pPr>
          </w:p>
        </w:tc>
      </w:tr>
      <w:tr>
        <w:trPr>
          <w:trHeight w:val="176"/>
        </w:trPr>
        <w:tc>
          <w:tcPr>
            <w:tcW w:w="6400" w:type="dxa"/>
            <w:vAlign w:val="bottom"/>
            <w:shd w:val="clear" w:color="auto" w:fill="CCECFF"/>
          </w:tcPr>
          <w:p>
            <w:pPr>
              <w:spacing w:after="0"/>
              <w:rPr>
                <w:sz w:val="15"/>
                <w:szCs w:val="15"/>
                <w:color w:val="auto"/>
              </w:rPr>
            </w:pPr>
          </w:p>
        </w:tc>
        <w:tc>
          <w:tcPr>
            <w:tcW w:w="36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Activity:</w:t>
            </w:r>
          </w:p>
        </w:tc>
        <w:tc>
          <w:tcPr>
            <w:tcW w:w="3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and repayments of investments</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5"/>
                <w:szCs w:val="15"/>
                <w:color w:val="auto"/>
              </w:rPr>
            </w:pPr>
          </w:p>
        </w:tc>
      </w:tr>
      <w:tr>
        <w:trPr>
          <w:trHeight w:val="176"/>
        </w:trPr>
        <w:tc>
          <w:tcPr>
            <w:tcW w:w="6400" w:type="dxa"/>
            <w:vAlign w:val="bottom"/>
            <w:shd w:val="clear" w:color="auto" w:fill="CCECFF"/>
          </w:tcPr>
          <w:p>
            <w:pPr>
              <w:spacing w:after="0"/>
              <w:rPr>
                <w:sz w:val="15"/>
                <w:szCs w:val="15"/>
                <w:color w:val="auto"/>
              </w:rPr>
            </w:pPr>
          </w:p>
        </w:tc>
        <w:tc>
          <w:tcPr>
            <w:tcW w:w="36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PSLF Portfolio data:</w:t>
            </w:r>
          </w:p>
        </w:tc>
        <w:tc>
          <w:tcPr>
            <w:tcW w:w="3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PSLF investment portfolio</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734.7</w:t>
            </w:r>
          </w:p>
        </w:tc>
        <w:tc>
          <w:tcPr>
            <w:tcW w:w="80" w:type="dxa"/>
            <w:vAlign w:val="bottom"/>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6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r>
      <w:tr>
        <w:trPr>
          <w:trHeight w:val="175"/>
        </w:trPr>
        <w:tc>
          <w:tcPr>
            <w:tcW w:w="6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Sales and repayments of investments</w:t>
            </w:r>
          </w:p>
        </w:tc>
        <w:tc>
          <w:tcPr>
            <w:tcW w:w="3620" w:type="dxa"/>
            <w:vAlign w:val="bottom"/>
            <w:shd w:val="clear" w:color="auto" w:fill="CCEC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investments in PennantPark Senior Loan Fund, LLC, or PSLF, an unconsolidated joint venture, totaling $149.2 million, at fair value.</w:t>
      </w:r>
    </w:p>
    <w:p>
      <w:pPr>
        <w:spacing w:after="0" w:line="28" w:lineRule="exact"/>
        <w:rPr>
          <w:rFonts w:ascii="Times New Roman" w:cs="Times New Roman" w:eastAsia="Times New Roman" w:hAnsi="Times New Roman"/>
          <w:sz w:val="14"/>
          <w:szCs w:val="14"/>
          <w:color w:val="auto"/>
        </w:rPr>
      </w:pPr>
    </w:p>
    <w:p>
      <w:pPr>
        <w:jc w:val="both"/>
        <w:ind w:left="380" w:right="80" w:hanging="372"/>
        <w:spacing w:after="0" w:line="241" w:lineRule="auto"/>
        <w:tabs>
          <w:tab w:leader="none" w:pos="3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a non-GAAP financial measure. The Company believes that this number provides useful information to investors and management because it reflects the Company’s financial performance excluding the impact of $7.5 million, or $0.11 per share, unrealized gain on our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AT 12:00 P.M. EST ON February 9, 2023</w:t>
      </w:r>
    </w:p>
    <w:p>
      <w:pPr>
        <w:spacing w:after="0" w:line="229"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PennantPark Investment Corporation (“we,” “our,” “us” or the “Company”) will also host a conference call at 12:00 p.m. (Eastern Time) on Thursday, February 9,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#1078579 or PennantPark Investment Corporation. An archived replay will also be available on a webcast link located on the Quarterly Earnings page Investor section of PennantPark’s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INCREASE OF QUARTERLY DISTRIBUTION TO $0.185 PER SHARE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declares a distribution of $0.185 per share, an increase of 12.1% from the most recent distribution. The distribution is payable on April 3, 2023 to stockholders of record as of March 16,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are pleased to announce a substantial increase in our quarterly dividend, which is well covered by our run rate net investment income,” said Arthur Penn, Chairman and CEO. “The past quarter was pivotal in our transition to a more stable, higher earning and higher dividend paying BDC. We have a portfolio that is primarily floating rate senior secured first lien debt and is positioned to perform well in this environment. With the conclusion of our transition from legacy investments, we can move forward strongly with the investment strategy that has served us well over the past seven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of December 31, 2022, our portfolio totaled $1,196.0 million, which consisted of $661.2 million of first lien secured debt, $130.8 million of second lien secured debt, $148.6 million of subordinated debt (including $95.4 million in PSLF) and $255.4 million of preferred and common equity (including $53.8 million in PSLF). Our debt portfolio consisted of 96% variable-rate investments and 4% fixed-rate investments. As of December 31, 2022, we had two portfolio companies on non-accrual, representing 2.7% and 1.1% of our overall portfolio on a cost and fair value basis, respectively. Overall, the portfolio had net unrealized depreciation of $167.5 million as of December 31, 2022. Our overall portfolio consisted of 125 companies with an average investment size of $9.6 million, and a weighted average yield on interest bearing debt investments of 11.9%</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Overall, the portfolio had net unrealized depreciation of $71.0 million as of September 30, 2022. Our overall portfolio consisted of 123 companies with an average investment size of $10.1 million, and a weighted average yield on interest bearing debt investments of 10.8 %.</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we invested $86.2 million in six new and 29 existing portfolio companies with a weighted average yield on debt investments of 11.2%. Sales and repayments of investments for the three months ended December 31, 2022 totaled $30.6 million.</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2021, we invested $295.1 million in 15 new and 30 existing portfolio companies with a weighted average yield on debt investments of 8.1%. Sales and repayments of investments for the three months ended December 31, 2021 totaled $132.2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Senior Loan Fund, LLC</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PSLF’s portfolio totaled $734.7 million, consisted of 83 companies with an average investment size of $8.9 million and had a weighted average yield on debt investments of 10.6 %.</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PSLF’s portfolio totaled $730.1 million, consisted of 80 companies with an average investment size of $9.1 million and had a weighted average yield on debt investments of 9.4%.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2022, PSLF invested $16.8 million (of which none were purchased from the Company) in four new and four existing portfolio companies with a weighted average yield on debt investments of 11.4%. PSLF’s sales and repayments of investments for the same period totaled $9.0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2021, PSLF invested $50.7 million (of which $48.1million was purchased from the Company) in nine new and two existing portfolio companies with a weighted average yield on debt investments of 7.5%. PSLF’s sales and repayments of investments for the same period totaled $35.6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are the results of operations during the three months ended December 31,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2022, investment income was $30.0 million, which was attributable to $21.8 million from first lien secured debt, $3.8 million from second lien secured debt, $1.1 million from subordinated debt and $3.3 million from preferred and common equity. For the three months ended December 31, 2021, investment income was $28.3 million, which was attributable to $20.1 million from first lien secured debt, $4.5 million from second lien secured debt, $1.9 million from subordinated debt and $1.8 million from preferred and common equity. The increase in investment income compared to the same period in the prior year was primarily due to the increase in the cost yield of our debt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2022, expenses totaled $19.6 million and were comprised of; $9.7 million of debt related interest and expenses, $4.6 million of base management fees, $2.2 million of performance based $1.1 million of general and administrative expenses and $2.0 million of provision for excise taxes. For the three months ended December 31, 2021, expenses totaled $15.8 and were comprised of; $6.9 million of debt-related interest and expenses, $5.1 million of base management fees, $2.6 million of performance based, incentive fees, $1.0 million of general and administrative expenses and $0.2 million of provision for excise taxes. The increase in provision for excise taxes was primarily due to the increase undistributed taxable income as of December 31, 2022 compared to the same period in the prior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2022 and 2021, net investment income totaled $10.3 million, or $0.16 per share, and $12.5 million, or $0.19 per share, respectively. The decrease in net investment income compared to the same period in the prior year was primarily due to an increase in debt related interest and expenses and an increase in the provision for excise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Realized Gains or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and 2021, net realized gains (losses) totaled $4.1 million and $(26.1) million, respectively. The change in realized gains (losses) was primarily due to changes in the market conditions of our investments and the values at which they were realized.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on Investments and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2022 and 2021, we reported net change in unrealized appreciation (depreciation) on investments of $(91.6) million and $46.8 million, respectively. As of December 31, 2022 and September 30, 2022, our net unrealized appreciation (depreciation) on investments totaled $(167.5) million and $(75.7) million, respectively. The net change in unrealized depreciation on our investments compared to the same period in the prior year was primarily due to changes in the capital market conditions of our investments and the values at which they were realized.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2022 and 2021, the Truist Credit Facility had a net change in unrealized (appreciation) depreciation of $4.4 million and $(1.0) million, respectively. As of December 31, 2022 and September 30, 2022, the net unrealized depreciation on the Truist Credit Facility totaled $13.6 million and $9.2 million, respectively. The net change in unrealized depreciation compared to the same periods in the prior year was primarily due to changes in the capital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and 2021, net increase (decrease) in net assets resulting from operations totaled $(71.9) million, or $(1.10) per share and $25.5 million, or $0.38 per share,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2022 and 2021, the annualized weighted average cost of debt inclusive of the fee on the undrawn commitment and amendment costs on the Truist Credit Facility, and amortized upfront fees on SBA debentures, was 5.6% and 4.0%, respectively. As of December 31, 2022 and September 30, 2022, we had $119.1 million and $114.1 million of unused borrowing capacity under the Truist Credit Facility, respectively, subject to leverage and borrowing base restrictions.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2022 and September 30, 2022, we had $380.9 million and $385.9 million, in outstanding borrowings under the Truist Credit Facility, respectively and the weighted average interest rate of 6.6% and 5.3%, respectively.</w:t>
      </w:r>
    </w:p>
    <w:p>
      <w:pPr>
        <w:spacing w:after="0" w:line="94" w:lineRule="exact"/>
        <w:rPr>
          <w:sz w:val="20"/>
          <w:szCs w:val="20"/>
          <w:color w:val="auto"/>
        </w:rPr>
      </w:pPr>
    </w:p>
    <w:p>
      <w:pPr>
        <w:jc w:val="both"/>
        <w:ind w:right="200" w:firstLine="630"/>
        <w:spacing w:after="0" w:line="312" w:lineRule="auto"/>
        <w:rPr>
          <w:sz w:val="20"/>
          <w:szCs w:val="20"/>
          <w:color w:val="auto"/>
        </w:rPr>
      </w:pPr>
      <w:r>
        <w:rPr>
          <w:rFonts w:ascii="Times New Roman" w:cs="Times New Roman" w:eastAsia="Times New Roman" w:hAnsi="Times New Roman"/>
          <w:sz w:val="17"/>
          <w:szCs w:val="17"/>
          <w:color w:val="auto"/>
        </w:rPr>
        <w:t>As of December 31, 2022 and September 30, 2022, we had cash and cash equivalents of $28.6 million and $52.7 million, respectively, available for investing and general corporate purposes. We believe our liquidity and capital resources are sufficient to allows us to effectively operate our business.</w:t>
      </w:r>
    </w:p>
    <w:p>
      <w:pPr>
        <w:spacing w:after="0" w:line="140"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2022, our operating activities used cash of $9.6 million and our financing activities used cash of $14.8 million. Our operating activities used cash primarily due to our investment activities and our financing activities used cash primarily due to repayments under the Truist Credit Facility.</w:t>
      </w:r>
    </w:p>
    <w:p>
      <w:pPr>
        <w:spacing w:after="0" w:line="176" w:lineRule="exact"/>
        <w:rPr>
          <w:sz w:val="20"/>
          <w:szCs w:val="20"/>
          <w:color w:val="auto"/>
        </w:rPr>
      </w:pPr>
    </w:p>
    <w:p>
      <w:pPr>
        <w:jc w:val="both"/>
        <w:ind w:firstLine="530"/>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2021, our operating activities used cash of $177.4 million, and our financing activities provided cash of $196.6 million. Our operating activities used cash primarily due to our investment activities and our financing activities provided cash primarily due to the issuance of the 2026 Notes-2 and borrowings under the Truist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months ended December 31, 2022 and 2021, we did not make any repurchases of shares of our common stock,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2022, we declared distributions of $0.165 per share, for total distributions of $10.8 million. For the same periods in the prior year, we declared distributions of $0.12 per share, for total distributions of $8.0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makes available on its website its annual report on Form 10-K filed with the SEC and stockholders may find the report on our website at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3"/>
                <w:szCs w:val="13"/>
                <w:color w:val="auto"/>
              </w:rPr>
            </w:pPr>
          </w:p>
        </w:tc>
        <w:tc>
          <w:tcPr>
            <w:tcW w:w="18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87"/>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CFF"/>
          </w:tcPr>
          <w:p>
            <w:pPr>
              <w:spacing w:after="0"/>
              <w:rPr>
                <w:sz w:val="14"/>
                <w:szCs w:val="14"/>
                <w:color w:val="auto"/>
              </w:rPr>
            </w:pPr>
          </w:p>
        </w:tc>
        <w:tc>
          <w:tcPr>
            <w:tcW w:w="162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17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(cost—$929,937 and $882,513 respectively)</w:t>
            </w: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928,888</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932,155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 $38,431 and $37,612, respectively)</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 $395,134 and $381,904, respectively)</w:t>
            </w:r>
          </w:p>
        </w:tc>
        <w:tc>
          <w:tcPr>
            <w:tcW w:w="200" w:type="dxa"/>
            <w:vAlign w:val="bottom"/>
            <w:tcBorders>
              <w:bottom w:val="single" w:sz="8" w:color="auto"/>
            </w:tcBorders>
            <w:shd w:val="clear" w:color="auto" w:fill="CCECFF"/>
          </w:tcPr>
          <w:p>
            <w:pPr>
              <w:spacing w:after="0"/>
              <w:rPr>
                <w:sz w:val="15"/>
                <w:szCs w:val="15"/>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231,568</w:t>
            </w:r>
          </w:p>
        </w:tc>
        <w:tc>
          <w:tcPr>
            <w:tcW w:w="2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of investments (cost—$1,363,502 and $1,302,029, respectively)</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1,196,035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(cost—$28,558 and $52,844, respectively)</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00" w:type="dxa"/>
            <w:vAlign w:val="bottom"/>
            <w:shd w:val="clear" w:color="auto" w:fill="CCECFF"/>
          </w:tcPr>
          <w:p>
            <w:pPr>
              <w:spacing w:after="0"/>
              <w:rPr>
                <w:sz w:val="15"/>
                <w:szCs w:val="15"/>
                <w:color w:val="auto"/>
              </w:rPr>
            </w:pPr>
          </w:p>
        </w:tc>
        <w:tc>
          <w:tcPr>
            <w:tcW w:w="1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29,494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receivable</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Borders>
              <w:bottom w:val="single" w:sz="8" w:color="auto"/>
            </w:tcBorders>
            <w:shd w:val="clear" w:color="auto" w:fill="CCECFF"/>
          </w:tcPr>
          <w:p>
            <w:pPr>
              <w:spacing w:after="0"/>
              <w:rPr>
                <w:sz w:val="15"/>
                <w:szCs w:val="15"/>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2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1,236,007</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8,325</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 payable, at fair value (cost—$380,920 and $385,920, respectively)</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367,308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(par—$150,000, respectively)</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146,993</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Notes-2 payable, net (par—$165,000, respectively)</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161,586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SBA Debentures payable, net (par—$20,000, respectively)</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19,701</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Base-management fee payable, net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Incentive fee payable</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tax liability</w:t>
            </w: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shd w:val="clear" w:color="auto" w:fill="CCECFF"/>
          </w:tcPr>
          <w:p>
            <w:pPr>
              <w:spacing w:after="0"/>
              <w:rPr>
                <w:sz w:val="14"/>
                <w:szCs w:val="14"/>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733,098</w:t>
            </w:r>
          </w:p>
        </w:tc>
        <w:tc>
          <w:tcPr>
            <w:tcW w:w="2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732,945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65,224,500 shares issued and outstanding,</w:t>
            </w:r>
          </w:p>
        </w:tc>
        <w:tc>
          <w:tcPr>
            <w:tcW w:w="20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748,169</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748,169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Pr>
          <w:p>
            <w:pPr>
              <w:spacing w:after="0"/>
              <w:rPr>
                <w:sz w:val="15"/>
                <w:szCs w:val="15"/>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(245,325 )</w:t>
            </w:r>
          </w:p>
        </w:tc>
        <w:tc>
          <w:tcPr>
            <w:tcW w:w="220" w:type="dxa"/>
            <w:vAlign w:val="bottom"/>
          </w:tcPr>
          <w:p>
            <w:pPr>
              <w:spacing w:after="0"/>
              <w:rPr>
                <w:sz w:val="15"/>
                <w:szCs w:val="15"/>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(162,669 )</w:t>
            </w:r>
          </w:p>
        </w:tc>
        <w:tc>
          <w:tcPr>
            <w:tcW w:w="0" w:type="dxa"/>
            <w:vAlign w:val="bottom"/>
          </w:tcPr>
          <w:p>
            <w:pPr>
              <w:spacing w:after="0"/>
              <w:rPr>
                <w:sz w:val="1"/>
                <w:szCs w:val="1"/>
                <w:color w:val="auto"/>
              </w:rPr>
            </w:pPr>
          </w:p>
        </w:tc>
      </w:tr>
      <w:tr>
        <w:trPr>
          <w:trHeight w:val="169"/>
        </w:trPr>
        <w:tc>
          <w:tcPr>
            <w:tcW w:w="714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0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502,909</w:t>
            </w:r>
          </w:p>
        </w:tc>
        <w:tc>
          <w:tcPr>
            <w:tcW w:w="2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1,236,007</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7.71</w:t>
            </w:r>
          </w:p>
        </w:tc>
        <w:tc>
          <w:tcPr>
            <w:tcW w:w="26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7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-3548380</wp:posOffset>
            </wp:positionV>
            <wp:extent cx="685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-2870835</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-1285240</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-505460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-248285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-231140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32"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6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980" w:type="dxa"/>
            <w:vAlign w:val="bottom"/>
            <w:shd w:val="clear" w:color="auto" w:fill="CCEC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980" w:type="dxa"/>
            <w:vAlign w:val="bottom"/>
          </w:tcPr>
          <w:p>
            <w:pPr>
              <w:spacing w:after="0"/>
              <w:rPr>
                <w:sz w:val="15"/>
                <w:szCs w:val="15"/>
                <w:color w:val="auto"/>
              </w:rPr>
            </w:pPr>
          </w:p>
        </w:tc>
        <w:tc>
          <w:tcPr>
            <w:tcW w:w="8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5"/>
                <w:szCs w:val="15"/>
                <w:color w:val="auto"/>
              </w:rPr>
            </w:pPr>
          </w:p>
        </w:tc>
      </w:tr>
      <w:tr>
        <w:trPr>
          <w:trHeight w:val="175"/>
        </w:trPr>
        <w:tc>
          <w:tcPr>
            <w:tcW w:w="7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980" w:type="dxa"/>
            <w:vAlign w:val="bottom"/>
            <w:tcBorders>
              <w:bottom w:val="single" w:sz="8" w:color="auto"/>
            </w:tcBorders>
            <w:shd w:val="clear" w:color="auto" w:fill="CCECFF"/>
          </w:tcPr>
          <w:p>
            <w:pPr>
              <w:spacing w:after="0"/>
              <w:rPr>
                <w:sz w:val="15"/>
                <w:szCs w:val="15"/>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30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28,349</w:t>
            </w:r>
          </w:p>
        </w:tc>
        <w:tc>
          <w:tcPr>
            <w:tcW w:w="100" w:type="dxa"/>
            <w:vAlign w:val="bottom"/>
          </w:tcPr>
          <w:p>
            <w:pPr>
              <w:spacing w:after="0"/>
              <w:rPr>
                <w:sz w:val="14"/>
                <w:szCs w:val="14"/>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9,729</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5"/>
                <w:szCs w:val="15"/>
                <w:color w:val="auto"/>
              </w:rPr>
            </w:pPr>
          </w:p>
        </w:tc>
      </w:tr>
      <w:tr>
        <w:trPr>
          <w:trHeight w:val="169"/>
        </w:trPr>
        <w:tc>
          <w:tcPr>
            <w:tcW w:w="7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98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17,630</w:t>
            </w:r>
          </w:p>
        </w:tc>
        <w:tc>
          <w:tcPr>
            <w:tcW w:w="3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4"/>
                <w:szCs w:val="14"/>
                <w:color w:val="auto"/>
              </w:rPr>
            </w:pPr>
          </w:p>
        </w:tc>
      </w:tr>
      <w:tr>
        <w:trPr>
          <w:trHeight w:val="169"/>
        </w:trPr>
        <w:tc>
          <w:tcPr>
            <w:tcW w:w="7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98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3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15,825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00" w:type="dxa"/>
            <w:vAlign w:val="bottom"/>
          </w:tcPr>
          <w:p>
            <w:pPr>
              <w:spacing w:after="0"/>
              <w:rPr>
                <w:sz w:val="14"/>
                <w:szCs w:val="14"/>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980" w:type="dxa"/>
            <w:vAlign w:val="bottom"/>
          </w:tcPr>
          <w:p>
            <w:pPr>
              <w:spacing w:after="0"/>
              <w:rPr>
                <w:sz w:val="15"/>
                <w:szCs w:val="15"/>
                <w:color w:val="auto"/>
              </w:rPr>
            </w:pPr>
          </w:p>
        </w:tc>
        <w:tc>
          <w:tcPr>
            <w:tcW w:w="8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(31,274 )</w:t>
            </w:r>
          </w:p>
        </w:tc>
      </w:tr>
      <w:tr>
        <w:trPr>
          <w:trHeight w:val="175"/>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extinguishment</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(1,669 )</w:t>
            </w:r>
          </w:p>
        </w:tc>
      </w:tr>
      <w:tr>
        <w:trPr>
          <w:trHeight w:val="20"/>
        </w:trPr>
        <w:tc>
          <w:tcPr>
            <w:tcW w:w="780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(27,742 )</w:t>
            </w: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980" w:type="dxa"/>
            <w:vAlign w:val="bottom"/>
            <w:tcBorders>
              <w:top w:val="single" w:sz="8" w:color="auto"/>
            </w:tcBorders>
            <w:shd w:val="clear" w:color="auto" w:fill="CCECFF"/>
          </w:tcPr>
          <w:p>
            <w:pPr>
              <w:spacing w:after="0"/>
              <w:rPr>
                <w:sz w:val="14"/>
                <w:szCs w:val="14"/>
                <w:color w:val="auto"/>
              </w:rPr>
            </w:pPr>
          </w:p>
        </w:tc>
        <w:tc>
          <w:tcPr>
            <w:tcW w:w="520" w:type="dxa"/>
            <w:vAlign w:val="bottom"/>
            <w:tcBorders>
              <w:top w:val="single" w:sz="8" w:color="auto"/>
            </w:tcBorders>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spacing w:after="0"/>
              <w:rPr>
                <w:sz w:val="14"/>
                <w:szCs w:val="14"/>
                <w:color w:val="auto"/>
              </w:rPr>
            </w:pPr>
          </w:p>
        </w:tc>
        <w:tc>
          <w:tcPr>
            <w:tcW w:w="12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9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(50,517 )</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(49,603 )</w:t>
            </w:r>
          </w:p>
        </w:tc>
      </w:tr>
      <w:tr>
        <w:trPr>
          <w:trHeight w:val="176"/>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98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(41,048 )</w:t>
            </w: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96,372</w:t>
            </w:r>
          </w:p>
        </w:tc>
        <w:tc>
          <w:tcPr>
            <w:tcW w:w="100" w:type="dxa"/>
            <w:vAlign w:val="bottom"/>
            <w:shd w:val="clear" w:color="auto" w:fill="CCECFF"/>
          </w:tcPr>
          <w:p>
            <w:pPr>
              <w:spacing w:after="0"/>
              <w:rPr>
                <w:sz w:val="15"/>
                <w:szCs w:val="15"/>
                <w:color w:val="auto"/>
              </w:rPr>
            </w:pPr>
          </w:p>
        </w:tc>
      </w:tr>
      <w:tr>
        <w:trPr>
          <w:trHeight w:val="175"/>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(depreciation) on investments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(5,045 )</w:t>
            </w:r>
          </w:p>
        </w:tc>
      </w:tr>
      <w:tr>
        <w:trPr>
          <w:trHeight w:val="175"/>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(996 )</w:t>
            </w:r>
          </w:p>
        </w:tc>
      </w:tr>
      <w:tr>
        <w:trPr>
          <w:trHeight w:val="20"/>
        </w:trPr>
        <w:tc>
          <w:tcPr>
            <w:tcW w:w="780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9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(86,291 )</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40,728</w:t>
            </w:r>
          </w:p>
        </w:tc>
        <w:tc>
          <w:tcPr>
            <w:tcW w:w="100" w:type="dxa"/>
            <w:vAlign w:val="bottom"/>
          </w:tcPr>
          <w:p>
            <w:pPr>
              <w:spacing w:after="0"/>
              <w:rPr>
                <w:sz w:val="14"/>
                <w:szCs w:val="14"/>
                <w:color w:val="auto"/>
              </w:rPr>
            </w:pPr>
          </w:p>
        </w:tc>
      </w:tr>
      <w:tr>
        <w:trPr>
          <w:trHeight w:val="169"/>
        </w:trPr>
        <w:tc>
          <w:tcPr>
            <w:tcW w:w="7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(82,227</w:t>
            </w:r>
          </w:p>
        </w:tc>
        <w:tc>
          <w:tcPr>
            <w:tcW w:w="300" w:type="dxa"/>
            <w:vAlign w:val="bottom"/>
            <w:tcBorders>
              <w:bottom w:val="single" w:sz="8" w:color="CCECFF"/>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9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(71,894 )</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25,510</w:t>
            </w:r>
          </w:p>
        </w:tc>
        <w:tc>
          <w:tcPr>
            <w:tcW w:w="100" w:type="dxa"/>
            <w:vAlign w:val="bottom"/>
          </w:tcPr>
          <w:p>
            <w:pPr>
              <w:spacing w:after="0"/>
              <w:rPr>
                <w:sz w:val="14"/>
                <w:szCs w:val="14"/>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0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 per common share</w:t>
            </w:r>
          </w:p>
        </w:tc>
        <w:tc>
          <w:tcPr>
            <w:tcW w:w="980" w:type="dxa"/>
            <w:vAlign w:val="bottom"/>
            <w:tcBorders>
              <w:bottom w:val="single" w:sz="8" w:color="auto"/>
            </w:tcBorders>
            <w:shd w:val="clear" w:color="auto" w:fill="CCECFF"/>
          </w:tcPr>
          <w:p>
            <w:pPr>
              <w:jc w:val="right"/>
              <w:ind w:right="8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(1.10</w:t>
            </w:r>
          </w:p>
        </w:tc>
        <w:tc>
          <w:tcPr>
            <w:tcW w:w="300" w:type="dxa"/>
            <w:vAlign w:val="bottom"/>
            <w:tcBorders>
              <w:bottom w:val="single" w:sz="8" w:color="CCECFF"/>
            </w:tcBorders>
            <w:shd w:val="clear" w:color="auto" w:fill="CCECFF"/>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CFF"/>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0.38</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78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980" w:type="dxa"/>
            <w:vAlign w:val="bottom"/>
            <w:tcBorders>
              <w:bottom w:val="single" w:sz="8" w:color="auto"/>
            </w:tcBorders>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3"/>
                <w:szCs w:val="13"/>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-3188335</wp:posOffset>
            </wp:positionV>
            <wp:extent cx="68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-2270760</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-2031365</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-1345565</wp:posOffset>
            </wp:positionV>
            <wp:extent cx="685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-659765</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-419735</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122555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5550" cy="1631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CORPORATION</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PennantPark Investment Advisers, LLC is a leading middle market credit platform, managing $6.1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forward-looking statement made herein. You should not place undue influence on such forward-looking statements as such statements speak only as of the date on which they are made.</w:t>
      </w:r>
    </w:p>
    <w:p>
      <w:pPr>
        <w:spacing w:after="0" w:line="13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76"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7"/>
          <w:szCs w:val="17"/>
          <w:color w:val="auto"/>
        </w:rPr>
        <w:t>Richard T. Allorto, Jr.</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3" w:lineRule="exact"/>
        <w:rPr>
          <w:sz w:val="20"/>
          <w:szCs w:val="20"/>
          <w:color w:val="auto"/>
        </w:rPr>
      </w:pPr>
    </w:p>
    <w:p>
      <w:pPr>
        <w:ind w:left="820" w:right="8760" w:hanging="2"/>
        <w:spacing w:after="0" w:line="323" w:lineRule="auto"/>
        <w:tabs>
          <w:tab w:leader="none" w:pos="1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905-1000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2023-02-08T15:16:19Z</dcterms:created>
  <dcterms:modified xsi:type="dcterms:W3CDTF">2023-02-08T15:16:19Z</dcterms:modified>
</cp:coreProperties>
</file>