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10,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November 10, 2015, PennantPark Investment Corporation issued a press release announcing financial results for the fourth quarter and fiscal year ended September 30, 2015.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2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10,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10, 2015</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November 10,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680"/>
        <w:spacing w:after="0" w:line="256"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2015</w:t>
      </w:r>
    </w:p>
    <w:p>
      <w:pPr>
        <w:spacing w:after="0" w:line="168"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NEW YORK, NY -- (Marketwired - November 10, 2015) - PennantPark Investment Corporation (NASDAQ: PNNT) announced today financial results for the fourth quarter and fiscal year ended September 30, 2015.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September 30, 2015</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1,299.0</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716.6</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9.82</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132.4</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Yield on debt investments at quarter-end</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Quarter</w:t>
            </w:r>
          </w:p>
        </w:tc>
      </w:tr>
      <w:tr>
        <w:trPr>
          <w:trHeight w:val="203"/>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22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390.5</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100.9</w:t>
            </w:r>
          </w:p>
        </w:tc>
      </w:tr>
      <w:tr>
        <w:trPr>
          <w:trHeight w:val="405"/>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Number of existing portfolio companies invested</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ending portfolio companies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11, 2015</w:t>
      </w: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PennantPark Investment Corporation ("we," "our," "us" or "Company") will host a conference call at 10:00 a.m. (Eastern Time) on Wednesday, November 11, 2015 to discuss its financial results. All interested parties are welcome to participate. You can access the conference call by dialing (877) 604-9673 approximately 5-10 minutes prior to the call. International callers should dial (719) 325-4878. All callers should reference PennantPark Investment Corporation. An archived replay of the call will be available through November 25, 2015 by calling (888) 203-1112. International callers please dial (719) 457-0820. For all phone replays, please reference conference ID #801561.</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London Interbank Offered Rate, or LIBOR, or prime floor) and 29% fixed-rate investments. As of September 30, 2015, we had four companies on non-accrual, representing 9.4% and 5.5% of our overall portfolio on a cost and fair value basis, respectively. Our overall portfolio consisted of 61 companies with an average investment size of $21.3 million, had a weighted average yield on debt investments of 12.1% and was invested 31% in senior secured debt, 47% in second lien secured debt, 14% in subordinated debt and 8% in preferred and common equity.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As of September 30, 2014, our portfolio totaled $1,318.1 million and consisted of $465.6 million of senior secured debt, $493.4 million of second lien secured debt, $247.1 million of subordinated debt and $112.0 million of preferred and common equity. Our debt portfolio consisted of 67% variable-rate investments (including 61% with a LIBOR or prime floor) and 33% fixed-rate investments. As of September 30, 2014, we had one company on non-accrual, representing 0.3% and 0.9% of our overall portfolio on a cost and fair value basis, respectively. Our overall portfolio consisted of 67 companies with an average investment size of $19.7 million, had a weighted average yield on debt investments of 12.5% and was invested 35% in senior secured debt, 37% in second lien secured debt, 19% in subordinated debt and 9% in preferred and common equity.</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For the three months ended September 30, 2015, we invested $116.5 million of investments in three new and eight existing portfolio companies with a weighted average yield on debt investments of 12.2%. Sales and repayments of investments for the same period totaled $100.9 million. This compares to the three months ended September 30, 2014, in which we invested $233.3 million in five new and eight existing portfolio companies with a weighted average yield on debt investments of 13.0%. Sales and repayments of investments for the same period totaled $91.2 million.</w:t>
      </w:r>
    </w:p>
    <w:p>
      <w:pPr>
        <w:sectPr>
          <w:pgSz w:w="11900" w:h="16838" w:orient="portrait"/>
          <w:cols w:equalWidth="0" w:num="1">
            <w:col w:w="11240"/>
          </w:cols>
          <w:pgMar w:left="320" w:top="111" w:right="339" w:bottom="0" w:gutter="0" w:footer="0" w:header="0"/>
        </w:sectPr>
      </w:pPr>
    </w:p>
    <w:bookmarkStart w:id="3" w:name="page4"/>
    <w:bookmarkEnd w:id="3"/>
    <w:p>
      <w:pPr>
        <w:spacing w:after="0" w:line="249" w:lineRule="auto"/>
        <w:rPr>
          <w:sz w:val="20"/>
          <w:szCs w:val="20"/>
          <w:color w:val="auto"/>
        </w:rPr>
      </w:pPr>
      <w:r>
        <w:rPr>
          <w:rFonts w:ascii="Arial" w:cs="Arial" w:eastAsia="Arial" w:hAnsi="Arial"/>
          <w:sz w:val="21"/>
          <w:szCs w:val="21"/>
          <w:color w:val="auto"/>
        </w:rPr>
        <w:t>For the fiscal year ended September 30, 2015, we invested $461.3 million of investments in 11 new and 30 existing portfolio companies with a weighted average yield on debt investments of 12.1%. Sales and repayments of investments for the same period totaled $390.5 million. This compares to the fiscal year ended September 30, 2014, in which we invested $795.1 million in 21 new and 30 existing portfolio companies with a weighted average yield on debt investments of 12.4%. Sales and repayments of investments for the same period totaled $625.6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2015 and 2014.</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Investment income for the three months ended September 30, 2015 and 2014 was $39.1 million and $40.1 million, respectively, and was primarily attributable to $11.8 million and $13.1 million from senior secured debt, $17.0 million and $15.2 million from second lien secured debt, and $6.3 million and $10.7 million from subordinated debt and $4.0 million and $1.1 million from preferred and common equity, respectively.</w:t>
      </w:r>
    </w:p>
    <w:p>
      <w:pPr>
        <w:spacing w:after="0" w:line="185"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Investment income for the fiscal years ended September 30, 2015 and 2014 was $161.6 million and $147.9 million, respectively, and was attributable to $54.3 million and $43.0 million from senior secured debt, $71.1 million and $55.2 million from second lien secured debt, and $29.8 million and $46.4 million from subordinated debt and $6.4 million and $3.3 million from preferred and common equity, respectively. The increase in investment income over the prior year was primarily due to the growth of our portfolio at cost.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80"/>
        <w:spacing w:after="0" w:line="235" w:lineRule="auto"/>
        <w:rPr>
          <w:sz w:val="20"/>
          <w:szCs w:val="20"/>
          <w:color w:val="auto"/>
        </w:rPr>
      </w:pPr>
      <w:r>
        <w:rPr>
          <w:rFonts w:ascii="Arial" w:cs="Arial" w:eastAsia="Arial" w:hAnsi="Arial"/>
          <w:sz w:val="22"/>
          <w:szCs w:val="22"/>
          <w:color w:val="auto"/>
        </w:rPr>
        <w:t>Expenses for the three months ended September 30, 2015 and 2014 totaled $19.1 million and $20.0 million, respectively. Base management fee totaled $6.6 million and $6.4 million, incentive fee totaled $5.0 million and $3.0 million (after the reversal of $1.7 million on net unrealized gains accrued but not payable), debt related interest and expenses totaled $6.7 million and $10.0 million (including $4.5 million associated with the 4.50% senior notes due 2019, or 2019 Notes), general and administrative expenses totaled $0.8 million and $0.6 million and taxes totaled zero and less than $0.1 million, respectively, for the same periods.</w:t>
      </w:r>
    </w:p>
    <w:p>
      <w:pPr>
        <w:spacing w:after="0" w:line="188"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Expenses for the fiscal years ended September 30, 2015 and 2014 totaled $79.4 million and $76.6 million, respectively. Base management fee totaled $26.7 million and $24.3 million, incentive fee totaled $20.6 million and $17.8 million, debt related interest and expenses totaled $26.4 million and $28.6 million (including $8.3 million associated with the 2019 Notes and expansion of our multi-currency, senior secured revolving credit facility, as amended and restated, or the Credit Facility), general and administrative expenses totaled $5.7 million and $5.8 million and taxes totaled zero and $0.1 million, respectively, for the same periods. The increase in expenses over the prior year was primarily due to increased borrowing costs, base management fee and incentive fee as a result from the growth of our portfolio at cost.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Net investment income totaled $20.0 million and $20.1 million, or $0.27 and $0.29 per share, for the three months ended September 30, 2015 and 2014, respectively.</w:t>
      </w:r>
    </w:p>
    <w:p>
      <w:pPr>
        <w:spacing w:after="0" w:line="175"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Net investment income totaled $82.3 million and $71.3 million, or $1.10 and $1.06 per share, for the fiscal years ended September 30, 2015 and 2014, respectively. The increase in net investment income over the prior year was due to the growth of our portfolio offset by higher asset based related expenses.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2015 and 2014 totaled $100.9 million and $91.2 million, respectively, and net realized (losses) gains totaled $(1.8) million and $1.3 million, respectively, for the same periods.</w:t>
      </w:r>
    </w:p>
    <w:p>
      <w:pPr>
        <w:spacing w:after="0" w:line="105" w:lineRule="exact"/>
        <w:rPr>
          <w:sz w:val="20"/>
          <w:szCs w:val="20"/>
          <w:color w:val="auto"/>
        </w:rPr>
      </w:pPr>
    </w:p>
    <w:p>
      <w:pPr>
        <w:ind w:right="200"/>
        <w:spacing w:after="0" w:line="257" w:lineRule="auto"/>
        <w:rPr>
          <w:sz w:val="20"/>
          <w:szCs w:val="20"/>
          <w:color w:val="auto"/>
        </w:rPr>
      </w:pPr>
      <w:r>
        <w:rPr>
          <w:rFonts w:ascii="Arial" w:cs="Arial" w:eastAsia="Arial" w:hAnsi="Arial"/>
          <w:sz w:val="21"/>
          <w:szCs w:val="21"/>
          <w:color w:val="auto"/>
        </w:rPr>
        <w:t>Sales and repayments of investments for the fiscal years ended September 30, 2015 and 2014 totaled $390.5 million and $625.6 million, respectively, and net realized gains totaled $30.1 million and $30.2 million, respectively, for the same periods. Net realized gains remained fairly consistent when comparing the current year to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color w:val="auto"/>
        </w:rPr>
        <w:t>For the three months ended September 30, 2015 and 2014, net unrealized depreciation on investment totaled $16.2 million and $24.9 million, respectively. Net unrealized depreciation (appreciation) on our Credit Facility, 2019 Notes and our 6.25% senior notes due 2025, or 2025 Notes, totaled $0.6 million and $(2.4) million, respectively, for the same periods.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For the fiscal years ended September 30, 2015 and 2014, net unrealized (depreciation) appreciation on investments totaled</w:t>
      </w:r>
    </w:p>
    <w:p>
      <w:pPr>
        <w:spacing w:after="0" w:line="43" w:lineRule="exact"/>
        <w:rPr>
          <w:sz w:val="20"/>
          <w:szCs w:val="20"/>
          <w:color w:val="auto"/>
        </w:rPr>
      </w:pPr>
    </w:p>
    <w:p>
      <w:pPr>
        <w:ind w:right="240"/>
        <w:spacing w:after="0" w:line="280" w:lineRule="auto"/>
        <w:rPr>
          <w:sz w:val="20"/>
          <w:szCs w:val="20"/>
          <w:color w:val="auto"/>
        </w:rPr>
      </w:pPr>
      <w:r>
        <w:rPr>
          <w:rFonts w:ascii="Arial" w:cs="Arial" w:eastAsia="Arial" w:hAnsi="Arial"/>
          <w:sz w:val="19"/>
          <w:szCs w:val="19"/>
          <w:color w:val="auto"/>
        </w:rPr>
        <w:t>$(124.3) million and $12.5 million, respectively. Net unrealized depreciation (appreciation) on our Credit Facility, 2019 Notes and 2025 Notes totaled $1.7 million and $(3.0) million, respectively, for the same periods. The net change in unrealized appreciation on our investments was driven primarily by changes in the capital market conditions, financial performance of certain portfolio companies, and the reversal of unrealized depreciation (appreciation) of investments liquidated. The change in</w:t>
      </w:r>
    </w:p>
    <w:p>
      <w:pPr>
        <w:sectPr>
          <w:pgSz w:w="11900" w:h="16838" w:orient="portrait"/>
          <w:cols w:equalWidth="0" w:num="1">
            <w:col w:w="11240"/>
          </w:cols>
          <w:pgMar w:left="320" w:top="118" w:right="339" w:bottom="0" w:gutter="0" w:footer="0" w:header="0"/>
        </w:sectPr>
      </w:pPr>
    </w:p>
    <w:bookmarkStart w:id="4" w:name="page5"/>
    <w:bookmarkEnd w:id="4"/>
    <w:p>
      <w:pPr>
        <w:ind w:right="1020"/>
        <w:spacing w:after="0" w:line="251" w:lineRule="auto"/>
        <w:rPr>
          <w:sz w:val="20"/>
          <w:szCs w:val="20"/>
          <w:color w:val="auto"/>
        </w:rPr>
      </w:pPr>
      <w:r>
        <w:rPr>
          <w:rFonts w:ascii="Arial" w:cs="Arial" w:eastAsia="Arial" w:hAnsi="Arial"/>
          <w:sz w:val="22"/>
          <w:szCs w:val="22"/>
          <w:color w:val="auto"/>
        </w:rPr>
        <w:t>unrealized appreciation on the Credit Facility and our Notes over the prior year was due to the fluctuating interest rate environment.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Net change in net assets resulting from operations totaled $1.4 million and $(1.1) million, or $0.02 and $(0.02) per share, for the three months ended September 30, 2015 and 2014, respectively.</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Net change in net assets resulting from operations totaled $(10.2) million and $111.0 million, or $(0.14) and $1.66 per share, for the fiscal years ended September 30, 2015 and 2014, respectively. The decrease compared to the prior year was due to the change in portfolio investment values offset by higher net investment income.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As of September 30, 2015 and 2014, there was $136.9 million (including a temporary draw of $30.0 million) and $55.2 million, respectively, in outstanding borrowings under the Credit Facility. The Credit Facility had a weighted average interest rate at the time of 3.07% and 2.80%, respectively, exclusive of the fee on undrawn commitments, as of September 30, 2015 and 2014. The annualized weighted average cost of debt for the years ended September 30, 2015 and 2014, inclusive of the fee on the undrawn commitment on the Credit Facility and upfront fees on SBA debentures, was 4.54% and 3.85%, respectively. As of September 30, 2015 and 2014, we had $408.1 million and $489.8 million of unused borrowing capacity under our Credit Facility, respectively, subject to the regulatory restrictions that the 1940 Act imposes on us as a business development company.</w:t>
      </w:r>
    </w:p>
    <w:p>
      <w:pPr>
        <w:spacing w:after="0" w:line="152"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As of September 30, 2015 and 2014, we had $250.0 million and $71.3 million in aggregate principal amount of 2019 Notes and 2025 Notes, respectively, with a fixed interest rate of 4.50% and 6.25% per year, respectively. As of September 30, 2015 and 2014, we had $225.0 million in SBA debt commitments through certain of our consolidated subsidiaries and $150.0 million was drawn for each period.</w:t>
      </w:r>
    </w:p>
    <w:p>
      <w:pPr>
        <w:spacing w:after="0" w:line="185"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On September 30, 2015 and 2014, we had cash and cash equivalents of $49.6 million and $66.5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Our operating activities provided cash of $3.0 million for the fiscal year ended September 30, 2015, and our financing activities used cash proceeds of $20.1 million for the same period. Our operating activities provided cash primarily from sales and repayments on our investments and our financing activities used cash primarily for our stock repurchase program and to repay certain amounts under our Credit Facility.</w:t>
      </w:r>
    </w:p>
    <w:p>
      <w:pPr>
        <w:spacing w:after="0" w:line="185" w:lineRule="exact"/>
        <w:rPr>
          <w:sz w:val="20"/>
          <w:szCs w:val="20"/>
          <w:color w:val="auto"/>
        </w:rPr>
      </w:pPr>
    </w:p>
    <w:p>
      <w:pPr>
        <w:jc w:val="both"/>
        <w:ind w:right="320"/>
        <w:spacing w:after="0" w:line="238" w:lineRule="auto"/>
        <w:rPr>
          <w:sz w:val="20"/>
          <w:szCs w:val="20"/>
          <w:color w:val="auto"/>
        </w:rPr>
      </w:pPr>
      <w:r>
        <w:rPr>
          <w:rFonts w:ascii="Arial" w:cs="Arial" w:eastAsia="Arial" w:hAnsi="Arial"/>
          <w:sz w:val="22"/>
          <w:szCs w:val="22"/>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equity offering and net draws under the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fiscal year ended September 30, 2015, we repurchased 2,126,868 shares of common stock in open market transactions for an aggregate cost (including transaction costs) of $17.9 million. During the fiscal year ended September 30, 2014, we did not make any repurchases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During the three months ended September 30, 2015 and 2014, we declared distributions of $0.28 per share for each period for total distributions of $20.4 million and $21.0 million, respectively. During the fiscal years ended September 30, 2015 and 2014, we declared distributions of $1.12 per share each year for total distributions of $83.3 million and $76.9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ectPr>
          <w:pgSz w:w="11900" w:h="16838" w:orient="portrait"/>
          <w:cols w:equalWidth="0" w:num="1">
            <w:col w:w="11220"/>
          </w:cols>
          <w:pgMar w:left="320" w:top="118" w:right="359" w:bottom="0" w:gutter="0" w:footer="0" w:header="0"/>
        </w:sectPr>
      </w:pPr>
    </w:p>
    <w:bookmarkStart w:id="5" w:name="page6"/>
    <w:bookmarkEnd w:id="5"/>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our website at www.pennantpark.com.</w:t>
      </w:r>
    </w:p>
    <w:p>
      <w:pPr>
        <w:spacing w:after="0" w:line="396"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0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September 30,</w:t>
            </w:r>
          </w:p>
        </w:tc>
        <w:tc>
          <w:tcPr>
            <w:tcW w:w="16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2015</w:t>
            </w:r>
          </w:p>
        </w:tc>
        <w:tc>
          <w:tcPr>
            <w:tcW w:w="1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$1,138,155,969 and</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$1,171,573,359, respectively)</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$1,096,719,079</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$1,212,515,400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$133,693,295 and $108,572,406,</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95,503,104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67,847,521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Controlled, affiliated investments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$152,387,898 and $38,708,555,</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106,825,650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37,691,845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$1,424,237,162 and $1,318,854,320,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1,299,047,833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1,318,054,766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$49,637,415 and $66,600,195,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49,619,256</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66,518,682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7,590,197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13,703,525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12,520,987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13,550,224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1,368,778,273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20,430,492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21,026,015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3,591,177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4,432,500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15,607,059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Credit Facility payable (cost - $136,864,300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$55,226,300,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132,356,860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53,497,620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(cost - $250,000,000)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253,102,500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251,350,250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SBA debentures payable (cost - $150,000,000)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 - $71,250,000)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71,136,000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71,820,000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6,602,029</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6,385,103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5,007,792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4,622,754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7,638,514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1,962,264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2,322,367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3,113,683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652,187,731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583,817,248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72,966,043 and 75,092,911</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72,966</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75,093</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834,711,229</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852,465,375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(13,424,886)</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(11,802,580)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(loss) 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18,919,305</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(11,655,302)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(125,207,012)</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(881,067)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1,518,940</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(191,570)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716,590,542</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828,009,949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$1,368,778,273</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9.82</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8020" w:type="dxa"/>
            <w:vAlign w:val="bottom"/>
            <w:gridSpan w:val="5"/>
          </w:tcPr>
          <w:p>
            <w:pPr>
              <w:ind w:left="1280"/>
              <w:spacing w:after="0"/>
              <w:rPr>
                <w:sz w:val="20"/>
                <w:szCs w:val="20"/>
                <w:color w:val="auto"/>
              </w:rPr>
            </w:pPr>
            <w:r>
              <w:rPr>
                <w:rFonts w:ascii="Courier New" w:cs="Courier New" w:eastAsia="Courier New" w:hAnsi="Courier New"/>
                <w:sz w:val="18"/>
                <w:szCs w:val="18"/>
                <w:color w:val="auto"/>
              </w:rPr>
              <w:t>PENNANTPARK INVESTMENT CORPORATION AND SUBSIDIARIES</w:t>
            </w:r>
          </w:p>
        </w:tc>
      </w:tr>
      <w:tr>
        <w:trPr>
          <w:trHeight w:val="203"/>
        </w:trPr>
        <w:tc>
          <w:tcPr>
            <w:tcW w:w="638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Years Ended September 30,</w:t>
            </w:r>
          </w:p>
        </w:tc>
      </w:tr>
      <w:tr>
        <w:trPr>
          <w:trHeight w:val="202"/>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2015</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2"/>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ectPr>
          <w:pgSz w:w="11900" w:h="16889" w:orient="portrait"/>
          <w:cols w:equalWidth="0" w:num="1">
            <w:col w:w="11200"/>
          </w:cols>
          <w:pgMar w:left="320" w:top="111" w:right="3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From non-controlled, non-affiliated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$ 130,647,588</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$ 124,850,558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9,644,816</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9,692,254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 investments: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11,694,525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5,656,300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175,937</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5,366,425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7,278,060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4,100,000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459,166</w:t>
            </w:r>
          </w:p>
        </w:tc>
      </w:tr>
      <w:tr>
        <w:trPr>
          <w:trHeight w:val="202"/>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161,629,291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147,936,338</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26,695,653</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24,291,420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20,564,559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17,832,129</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26,355,081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20,260,652</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2,686,765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2,953,423</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3,069,144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2,860,094</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taxes and debt issuance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79,371,202</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68,197,718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 (benefit)</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72,603</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 costs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8,337,500</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79,371,202</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76,607,821</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82,258,089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71,328,517</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cash and debt:</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investments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30,111,694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30,235,265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(113,376,060)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468,076</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and controlled, affiliated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(10,949,885)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11,993,189</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 (appreciation)</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1,710,510</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(3,041,570)</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 investments and debt</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(122,615,435)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9,419,695</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gain from</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(92,503,741)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39,654,960</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net assets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(10,245,652)</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$ 110,983,477</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net assets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 per common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w:t>
            </w:r>
          </w:p>
        </w:tc>
      </w:tr>
      <w:tr>
        <w:trPr>
          <w:trHeight w:val="202"/>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We may use words such as "anticipates, " "believes," "expects," "intends," "seeks," "plans," "estimates" and similar expressions to identify forward-looking statements. Such statements are based on currently available operating, financial and competitive</w:t>
      </w:r>
    </w:p>
    <w:p>
      <w:pPr>
        <w:sectPr>
          <w:pgSz w:w="11900" w:h="16838" w:orient="portrait"/>
          <w:cols w:equalWidth="0" w:num="1">
            <w:col w:w="11220"/>
          </w:cols>
          <w:pgMar w:left="320" w:top="136" w:right="359" w:bottom="0" w:gutter="0" w:footer="0" w:header="0"/>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information and are subject to various risks and uncertainties that could cause actual results to differ materially from our historical experience and our present expectations.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0400"/>
      </w:cols>
      <w:pgMar w:left="320" w:top="118"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2020-05-05T15:07:13Z</dcterms:created>
  <dcterms:modified xsi:type="dcterms:W3CDTF">2020-05-05T15:07:13Z</dcterms:modified>
</cp:coreProperties>
</file>