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333-192782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$250,000,000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4.50% Notes due 2019</w:t>
      </w:r>
    </w:p>
    <w:p>
      <w:pPr>
        <w:spacing w:after="0" w:line="181"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16, 2014</w:t>
      </w:r>
    </w:p>
    <w:p>
      <w:pPr>
        <w:spacing w:after="0" w:line="211" w:lineRule="exact"/>
        <w:rPr>
          <w:sz w:val="24"/>
          <w:szCs w:val="24"/>
          <w:color w:val="auto"/>
        </w:rPr>
      </w:pPr>
    </w:p>
    <w:p>
      <w:pPr>
        <w:ind w:firstLine="456"/>
        <w:spacing w:after="0" w:line="297" w:lineRule="auto"/>
        <w:rPr>
          <w:sz w:val="20"/>
          <w:szCs w:val="20"/>
          <w:color w:val="auto"/>
        </w:rPr>
      </w:pPr>
      <w:r>
        <w:rPr>
          <w:rFonts w:ascii="Arial" w:cs="Arial" w:eastAsia="Arial" w:hAnsi="Arial"/>
          <w:sz w:val="16"/>
          <w:szCs w:val="16"/>
          <w:color w:val="auto"/>
        </w:rPr>
        <w:t>The following sets forth the final terms of the 4.500% Notes due 2019 and should only be read together with the preliminary prospectus supplement dated September 16, 2014, together with the accompanying prospectus dated January 30, 2014,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420"/>
          </w:cols>
          <w:pgMar w:left="240" w:top="229" w:right="239" w:bottom="1440" w:gutter="0" w:footer="0" w:header="0"/>
        </w:sectPr>
      </w:pP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color w:val="auto"/>
        </w:rPr>
        <w:t>Issuer</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PennantPark Investment Corporation</w:t>
      </w:r>
    </w:p>
    <w:p>
      <w:pPr>
        <w:spacing w:after="0" w:line="200"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4.50% Notes due 2019</w:t>
      </w:r>
    </w:p>
    <w:p>
      <w:pPr>
        <w:spacing w:after="0" w:line="200"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Ratings*</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7"/>
          <w:szCs w:val="17"/>
          <w:color w:val="auto"/>
        </w:rPr>
        <w:t>BBB-/BBB- (S&amp;P/Fitch)</w:t>
      </w:r>
    </w:p>
    <w:p>
      <w:pPr>
        <w:spacing w:after="0" w:line="200"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color w:val="auto"/>
        </w:rPr>
        <w:t>Aggregate Principal Amount Offered</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6"/>
          <w:szCs w:val="16"/>
          <w:color w:val="auto"/>
        </w:rPr>
        <w:t>$250,000,000</w:t>
      </w:r>
    </w:p>
    <w:p>
      <w:pPr>
        <w:spacing w:after="0" w:line="200"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89" w:lineRule="exact"/>
        <w:rPr>
          <w:sz w:val="24"/>
          <w:szCs w:val="24"/>
          <w:color w:val="auto"/>
        </w:r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5"/>
          <w:szCs w:val="15"/>
          <w:color w:val="auto"/>
        </w:rPr>
        <w:t>September 16, 2014</w:t>
      </w:r>
    </w:p>
    <w:p>
      <w:pPr>
        <w:spacing w:after="0" w:line="200"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September 23, 2014 (T+5)</w:t>
      </w:r>
    </w:p>
    <w:p>
      <w:pPr>
        <w:spacing w:after="0" w:line="200"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89" w:lineRule="exact"/>
        <w:rPr>
          <w:sz w:val="24"/>
          <w:szCs w:val="24"/>
          <w:color w:val="auto"/>
        </w:r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October 1, 2019</w:t>
      </w:r>
    </w:p>
    <w:p>
      <w:pPr>
        <w:spacing w:after="0" w:line="211"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6"/>
          <w:szCs w:val="16"/>
          <w:color w:val="auto"/>
        </w:rPr>
        <w:t>Each April and October 1st, commencing April 1, 2015</w:t>
      </w:r>
    </w:p>
    <w:p>
      <w:pPr>
        <w:spacing w:after="0" w:line="200"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Benchmark Treasury</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1.625% due August 31, 2019</w:t>
      </w:r>
    </w:p>
    <w:p>
      <w:pPr>
        <w:spacing w:after="0" w:line="200"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Benchmark Treasury Yield</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1.771%</w:t>
      </w:r>
    </w:p>
    <w:p>
      <w:pPr>
        <w:spacing w:after="0" w:line="200"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+275 basis points</w:t>
      </w:r>
    </w:p>
    <w:p>
      <w:pPr>
        <w:spacing w:after="0" w:line="200"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89" w:lineRule="exact"/>
        <w:rPr>
          <w:sz w:val="24"/>
          <w:szCs w:val="24"/>
          <w:color w:val="auto"/>
        </w:rPr>
      </w:pPr>
    </w:p>
    <w:p>
      <w:pPr>
        <w:spacing w:after="0"/>
        <w:rPr>
          <w:sz w:val="20"/>
          <w:szCs w:val="20"/>
          <w:color w:val="auto"/>
        </w:rPr>
      </w:pPr>
      <w:r>
        <w:rPr>
          <w:rFonts w:ascii="Arial" w:cs="Arial" w:eastAsia="Arial" w:hAnsi="Arial"/>
          <w:sz w:val="17"/>
          <w:szCs w:val="17"/>
          <w:color w:val="auto"/>
        </w:rPr>
        <w:t>Yield to Maturity</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4.521%</w:t>
      </w:r>
    </w:p>
    <w:p>
      <w:pPr>
        <w:spacing w:after="0" w:line="211"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color w:val="auto"/>
        </w:rPr>
        <w:t>Coupon (Interest Rate)</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6"/>
          <w:szCs w:val="16"/>
          <w:color w:val="auto"/>
        </w:rPr>
        <w:t>4.500%</w:t>
      </w:r>
    </w:p>
    <w:p>
      <w:pPr>
        <w:spacing w:after="0" w:line="200"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Price to Public (Issue Price)</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99.905%</w:t>
      </w:r>
    </w:p>
    <w:p>
      <w:pPr>
        <w:spacing w:after="0" w:line="200"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Make-Whole Redemption</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Equal to the greater of the following amounts, plus, in each case, accrued and unpaid interest to</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the redemption date:</w:t>
      </w:r>
    </w:p>
    <w:p>
      <w:pPr>
        <w:spacing w:after="0" w:line="9" w:lineRule="exact"/>
        <w:rPr>
          <w:sz w:val="24"/>
          <w:szCs w:val="24"/>
          <w:color w:val="auto"/>
        </w:rPr>
      </w:pPr>
    </w:p>
    <w:p>
      <w:pPr>
        <w:ind w:left="60"/>
        <w:spacing w:after="0"/>
        <w:rPr>
          <w:sz w:val="20"/>
          <w:szCs w:val="20"/>
          <w:color w:val="auto"/>
        </w:rPr>
      </w:pPr>
      <w:r>
        <w:rPr>
          <w:rFonts w:ascii="Arial" w:cs="Arial" w:eastAsia="Arial" w:hAnsi="Arial"/>
          <w:sz w:val="18"/>
          <w:szCs w:val="18"/>
          <w:color w:val="auto"/>
        </w:rPr>
        <w:t>- 100% of the principal amount of the Notes to be redeemed, or</w:t>
      </w:r>
    </w:p>
    <w:p>
      <w:pPr>
        <w:spacing w:after="0" w:line="9" w:lineRule="exact"/>
        <w:rPr>
          <w:sz w:val="24"/>
          <w:szCs w:val="24"/>
          <w:color w:val="auto"/>
        </w:rPr>
      </w:pPr>
    </w:p>
    <w:p>
      <w:pPr>
        <w:ind w:left="60"/>
        <w:spacing w:after="0"/>
        <w:rPr>
          <w:sz w:val="20"/>
          <w:szCs w:val="20"/>
          <w:color w:val="auto"/>
        </w:rPr>
      </w:pPr>
      <w:r>
        <w:rPr>
          <w:rFonts w:ascii="Arial" w:cs="Arial" w:eastAsia="Arial" w:hAnsi="Arial"/>
          <w:sz w:val="16"/>
          <w:szCs w:val="16"/>
          <w:color w:val="auto"/>
        </w:rPr>
        <w:t>- the sum of the present values of the remaining scheduled payments of principal and interest</w:t>
      </w:r>
    </w:p>
    <w:p>
      <w:pPr>
        <w:spacing w:after="0" w:line="32" w:lineRule="exact"/>
        <w:rPr>
          <w:sz w:val="24"/>
          <w:szCs w:val="24"/>
          <w:color w:val="auto"/>
        </w:rPr>
      </w:pPr>
    </w:p>
    <w:p>
      <w:pPr>
        <w:ind w:left="220"/>
        <w:spacing w:after="0"/>
        <w:rPr>
          <w:sz w:val="20"/>
          <w:szCs w:val="20"/>
          <w:color w:val="auto"/>
        </w:rPr>
      </w:pPr>
      <w:r>
        <w:rPr>
          <w:rFonts w:ascii="Arial" w:cs="Arial" w:eastAsia="Arial" w:hAnsi="Arial"/>
          <w:sz w:val="17"/>
          <w:szCs w:val="17"/>
          <w:color w:val="auto"/>
        </w:rPr>
        <w:t>(exclusive of accrued and unpaid interest to the date of redemption) on the Notes to be</w:t>
      </w:r>
    </w:p>
    <w:p>
      <w:pPr>
        <w:spacing w:after="0" w:line="21" w:lineRule="exact"/>
        <w:rPr>
          <w:sz w:val="24"/>
          <w:szCs w:val="24"/>
          <w:color w:val="auto"/>
        </w:rPr>
      </w:pPr>
    </w:p>
    <w:p>
      <w:pPr>
        <w:ind w:left="220"/>
        <w:spacing w:after="0"/>
        <w:rPr>
          <w:sz w:val="20"/>
          <w:szCs w:val="20"/>
          <w:color w:val="auto"/>
        </w:rPr>
      </w:pPr>
      <w:r>
        <w:rPr>
          <w:rFonts w:ascii="Arial" w:cs="Arial" w:eastAsia="Arial" w:hAnsi="Arial"/>
          <w:sz w:val="15"/>
          <w:szCs w:val="15"/>
          <w:color w:val="auto"/>
        </w:rPr>
        <w:t>redeemed, discounted to the redemption date on a semi-annual basis (assuming a 360-day year</w:t>
      </w:r>
    </w:p>
    <w:p>
      <w:pPr>
        <w:spacing w:after="0" w:line="44" w:lineRule="exact"/>
        <w:rPr>
          <w:sz w:val="24"/>
          <w:szCs w:val="24"/>
          <w:color w:val="auto"/>
        </w:rPr>
      </w:pPr>
    </w:p>
    <w:p>
      <w:pPr>
        <w:ind w:left="220"/>
        <w:spacing w:after="0"/>
        <w:rPr>
          <w:sz w:val="20"/>
          <w:szCs w:val="20"/>
          <w:color w:val="auto"/>
        </w:rPr>
      </w:pPr>
      <w:r>
        <w:rPr>
          <w:rFonts w:ascii="Arial" w:cs="Arial" w:eastAsia="Arial" w:hAnsi="Arial"/>
          <w:sz w:val="16"/>
          <w:szCs w:val="16"/>
          <w:color w:val="auto"/>
        </w:rPr>
        <w:t>consisting of twelve 30-day months) using the applicable Treasury Rate plus 45 basis points</w:t>
      </w:r>
    </w:p>
    <w:p>
      <w:pPr>
        <w:sectPr>
          <w:pgSz w:w="11900" w:h="16838" w:orient="portrait"/>
          <w:cols w:equalWidth="0" w:num="2">
            <w:col w:w="3620" w:space="720"/>
            <w:col w:w="708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integral multiples of $1,000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-201295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7080"/>
          </w:cols>
          <w:pgMar w:left="240" w:top="274" w:right="23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CUSIP / ISIN</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708062AA2 / US708062AA27</w:t>
      </w:r>
    </w:p>
    <w:p>
      <w:pPr>
        <w:spacing w:after="0" w:line="211"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200"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Joint Lead Managers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Keefe Bruyette &amp; Woods,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00"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Co-managers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Comerica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ING Financial Markets LLC</w:t>
      </w:r>
    </w:p>
    <w:p>
      <w:pPr>
        <w:spacing w:after="0" w:line="200" w:lineRule="exact"/>
        <w:rPr>
          <w:sz w:val="20"/>
          <w:szCs w:val="20"/>
          <w:color w:val="auto"/>
        </w:rPr>
      </w:pPr>
    </w:p>
    <w:p>
      <w:pPr>
        <w:sectPr>
          <w:pgSz w:w="11900" w:h="16838" w:orient="portrait"/>
          <w:cols w:equalWidth="0" w:num="2">
            <w:col w:w="3620" w:space="720"/>
            <w:col w:w="7080"/>
          </w:cols>
          <w:pgMar w:left="240" w:top="274" w:right="23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revision or withdrawal at any time.</w:t>
      </w:r>
    </w:p>
    <w:p>
      <w:pPr>
        <w:spacing w:after="0" w:line="221"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b w:val="1"/>
          <w:bCs w:val="1"/>
          <w:color w:val="auto"/>
        </w:rPr>
        <w:t>Investors are advised to carefully consider the investment objective, risks, charges and expenses of PennantPark Investment Corporation before investing. The Preliminary Prospectus, which has been filed with the Securities and Exchange Commission, contains this and other information about PennantPark Investment Corporation and should be read carefully before investing.</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the Preliminary Prospectus and in this pricing term sheet is not complete and may be changed. The Preliminary Prospectus and this pricing term sheet are not offers to sell any securities of PennantPark Investment Corporation and are not soliciting an offer to buy such securities in any state where such offer and sale is not permitted.</w:t>
      </w:r>
    </w:p>
    <w:p>
      <w:pPr>
        <w:spacing w:after="0" w:line="17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A shelf registration statement relating to these securities is on file with and has been declared effective by the Securities and Exchange Commission. The offering may be made only by means of a preliminary prospectus supplement and an accompanying prospectus. Copies of the Preliminary Prospectus may be obtained from .P. Morgan Securities LLC, c/o Broadridge Financial Solutions, 1155 Long Island Avenue, Edgewood, NY 11717 or by calling toll-free (866) 803-9204, Goldman, Sachs &amp; Co., Prospectus Department, 200 West Street, New York, NY 10282, telephone: 1-866-471-2526, facsimile: 212-902-9316 or by emailing prospectus-ny@ny.email.gs.com, Morgan Stanley &amp; Co. LLC, Attention: Prospectus Department, 180 Varick Street, 2nd Floor, New York, NY 10014, telephone: (866) 718-1649, or SunTrust Robinson Humphrey, Inc., Attention: Prospectus Department, 3333 Peachtree Road, NE, Atlanta, GA 30326, telephone: (404) 926-5744 or by emailing prospectus@rhco.com.</w:t>
      </w:r>
    </w:p>
    <w:sectPr>
      <w:pgSz w:w="11900" w:h="16838" w:orient="portrait"/>
      <w:cols w:equalWidth="0" w:num="1">
        <w:col w:w="1142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2019-12-07T14:39:32Z</dcterms:created>
  <dcterms:modified xsi:type="dcterms:W3CDTF">2019-12-07T14:39:32Z</dcterms:modified>
</cp:coreProperties>
</file>