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11,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May 11, 2020, PennantPark Investment Corporation, or the Company, issued a press release announcing its financial results for the second fiscal quarter ended March 31, 2020. A copy of the press release is furnished as Exhibit 99.1 to this report pursuant to Item 2.02 on Form 8-K and Regulation FD.</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March 31, 2020, including “Item 2. Management's Discussion and Analysis of Financial Condition and Results of Operations – COVID-19 Developments” and “Part II - Other Information – Item 1A. Risk Factors” therein.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4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May 11,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940" w:type="dxa"/>
            <w:vAlign w:val="bottom"/>
            <w:gridSpan w:val="3"/>
          </w:tcPr>
          <w:p>
            <w:pPr>
              <w:ind w:left="20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60" w:type="dxa"/>
            <w:vAlign w:val="bottom"/>
          </w:tcPr>
          <w:p>
            <w:pPr>
              <w:spacing w:after="0"/>
              <w:rPr>
                <w:sz w:val="20"/>
                <w:szCs w:val="20"/>
                <w:color w:val="auto"/>
              </w:rPr>
            </w:pPr>
            <w:r>
              <w:rPr>
                <w:rFonts w:ascii="Arial" w:cs="Arial" w:eastAsia="Arial" w:hAnsi="Arial"/>
                <w:sz w:val="18"/>
                <w:szCs w:val="18"/>
                <w:color w:val="auto"/>
              </w:rPr>
              <w:t>Date: May 11, 2020</w:t>
            </w:r>
          </w:p>
        </w:tc>
        <w:tc>
          <w:tcPr>
            <w:tcW w:w="4940" w:type="dxa"/>
            <w:vAlign w:val="bottom"/>
            <w:gridSpan w:val="3"/>
          </w:tcPr>
          <w:p>
            <w:pPr>
              <w:ind w:left="2000"/>
              <w:spacing w:after="0"/>
              <w:rPr>
                <w:sz w:val="20"/>
                <w:szCs w:val="20"/>
                <w:color w:val="auto"/>
              </w:rPr>
            </w:pPr>
            <w:r>
              <w:rPr>
                <w:rFonts w:ascii="Arial" w:cs="Arial" w:eastAsia="Arial" w:hAnsi="Arial"/>
                <w:sz w:val="18"/>
                <w:szCs w:val="18"/>
                <w:color w:val="auto"/>
              </w:rPr>
              <w:t>By: /s/ Aviv Efrat</w:t>
            </w:r>
          </w:p>
        </w:tc>
      </w:tr>
      <w:tr>
        <w:trPr>
          <w:trHeight w:val="222"/>
        </w:trPr>
        <w:tc>
          <w:tcPr>
            <w:tcW w:w="3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March 31, 2020</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May 11, 2020 (GLOBE NEWSWIRE) -- PennantPark Investment Corporation (NASDAQ: PNNT) announced today financial results for the second fiscal quarter ended March 31, 2020, an adjustment to its quarterly distribution and an incentive fee waiver.</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668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22"/>
                <w:szCs w:val="22"/>
                <w:color w:val="auto"/>
              </w:rPr>
              <w:t>Quarter ended March 31, 2020</w:t>
            </w:r>
          </w:p>
        </w:tc>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22"/>
                <w:szCs w:val="22"/>
                <w:color w:val="auto"/>
              </w:rPr>
              <w:t>($ in millions, except per share amounts)</w:t>
            </w:r>
          </w:p>
        </w:tc>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22"/>
                <w:szCs w:val="22"/>
                <w:color w:val="auto"/>
              </w:rPr>
              <w:t>Assets and Liabilities:</w:t>
            </w:r>
          </w:p>
        </w:tc>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6680" w:type="dxa"/>
            <w:vAlign w:val="bottom"/>
          </w:tcPr>
          <w:p>
            <w:pPr>
              <w:ind w:left="120"/>
              <w:spacing w:after="0"/>
              <w:rPr>
                <w:sz w:val="20"/>
                <w:szCs w:val="20"/>
                <w:color w:val="auto"/>
              </w:rPr>
            </w:pPr>
            <w:r>
              <w:rPr>
                <w:rFonts w:ascii="Arial" w:cs="Arial" w:eastAsia="Arial" w:hAnsi="Arial"/>
                <w:sz w:val="22"/>
                <w:szCs w:val="22"/>
                <w:color w:val="auto"/>
              </w:rPr>
              <w:t>Investment portfolio</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1,354.0</w:t>
            </w:r>
          </w:p>
        </w:tc>
      </w:tr>
      <w:tr>
        <w:trPr>
          <w:trHeight w:val="270"/>
        </w:trPr>
        <w:tc>
          <w:tcPr>
            <w:tcW w:w="668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516.7</w:t>
            </w:r>
          </w:p>
        </w:tc>
      </w:tr>
      <w:tr>
        <w:trPr>
          <w:trHeight w:val="270"/>
        </w:trPr>
        <w:tc>
          <w:tcPr>
            <w:tcW w:w="6680" w:type="dxa"/>
            <w:vAlign w:val="bottom"/>
          </w:tcPr>
          <w:p>
            <w:pPr>
              <w:ind w:left="120"/>
              <w:spacing w:after="0"/>
              <w:rPr>
                <w:sz w:val="20"/>
                <w:szCs w:val="20"/>
                <w:color w:val="auto"/>
              </w:rPr>
            </w:pPr>
            <w:r>
              <w:rPr>
                <w:rFonts w:ascii="Arial" w:cs="Arial" w:eastAsia="Arial" w:hAnsi="Arial"/>
                <w:sz w:val="22"/>
                <w:szCs w:val="22"/>
                <w:color w:val="auto"/>
              </w:rPr>
              <w:t>GAAP Net asset value per share</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7.71</w:t>
            </w:r>
          </w:p>
        </w:tc>
      </w:tr>
      <w:tr>
        <w:trPr>
          <w:trHeight w:val="478"/>
        </w:trPr>
        <w:tc>
          <w:tcPr>
            <w:tcW w:w="6680" w:type="dxa"/>
            <w:vAlign w:val="bottom"/>
          </w:tcPr>
          <w:p>
            <w:pPr>
              <w:ind w:left="120"/>
              <w:spacing w:after="0"/>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(1)</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6.97</w:t>
            </w:r>
          </w:p>
        </w:tc>
      </w:tr>
      <w:tr>
        <w:trPr>
          <w:trHeight w:val="386"/>
        </w:trPr>
        <w:tc>
          <w:tcPr>
            <w:tcW w:w="6680" w:type="dxa"/>
            <w:vAlign w:val="bottom"/>
          </w:tcPr>
          <w:p>
            <w:pPr>
              <w:ind w:left="260"/>
              <w:spacing w:after="0"/>
              <w:rPr>
                <w:sz w:val="20"/>
                <w:szCs w:val="20"/>
                <w:color w:val="auto"/>
              </w:rPr>
            </w:pPr>
            <w:r>
              <w:rPr>
                <w:rFonts w:ascii="Arial" w:cs="Arial" w:eastAsia="Arial" w:hAnsi="Arial"/>
                <w:sz w:val="22"/>
                <w:szCs w:val="22"/>
                <w:color w:val="auto"/>
              </w:rPr>
              <w:t>BNP Credit Facility</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228.6</w:t>
            </w:r>
          </w:p>
        </w:tc>
      </w:tr>
      <w:tr>
        <w:trPr>
          <w:trHeight w:val="270"/>
        </w:trPr>
        <w:tc>
          <w:tcPr>
            <w:tcW w:w="6680" w:type="dxa"/>
            <w:vAlign w:val="bottom"/>
          </w:tcPr>
          <w:p>
            <w:pPr>
              <w:ind w:left="260"/>
              <w:spacing w:after="0"/>
              <w:rPr>
                <w:sz w:val="20"/>
                <w:szCs w:val="20"/>
                <w:color w:val="auto"/>
              </w:rPr>
            </w:pPr>
            <w:r>
              <w:rPr>
                <w:rFonts w:ascii="Arial" w:cs="Arial" w:eastAsia="Arial" w:hAnsi="Arial"/>
                <w:sz w:val="22"/>
                <w:szCs w:val="22"/>
                <w:color w:val="auto"/>
              </w:rPr>
              <w:t>Truist Credit Facility</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404.4</w:t>
            </w:r>
          </w:p>
        </w:tc>
      </w:tr>
      <w:tr>
        <w:trPr>
          <w:trHeight w:val="270"/>
        </w:trPr>
        <w:tc>
          <w:tcPr>
            <w:tcW w:w="6680" w:type="dxa"/>
            <w:vAlign w:val="bottom"/>
          </w:tcPr>
          <w:p>
            <w:pPr>
              <w:ind w:left="260"/>
              <w:spacing w:after="0"/>
              <w:rPr>
                <w:sz w:val="20"/>
                <w:szCs w:val="20"/>
                <w:color w:val="auto"/>
              </w:rPr>
            </w:pPr>
            <w:r>
              <w:rPr>
                <w:rFonts w:ascii="Arial" w:cs="Arial" w:eastAsia="Arial" w:hAnsi="Arial"/>
                <w:sz w:val="22"/>
                <w:szCs w:val="22"/>
                <w:color w:val="auto"/>
              </w:rPr>
              <w:t>2024 Notes</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83.5</w:t>
            </w:r>
          </w:p>
        </w:tc>
      </w:tr>
      <w:tr>
        <w:trPr>
          <w:trHeight w:val="274"/>
        </w:trPr>
        <w:tc>
          <w:tcPr>
            <w:tcW w:w="6680" w:type="dxa"/>
            <w:vAlign w:val="bottom"/>
          </w:tcPr>
          <w:p>
            <w:pPr>
              <w:ind w:left="260"/>
              <w:spacing w:after="0"/>
              <w:rPr>
                <w:sz w:val="20"/>
                <w:szCs w:val="20"/>
                <w:color w:val="auto"/>
              </w:rPr>
            </w:pPr>
            <w:r>
              <w:rPr>
                <w:rFonts w:ascii="Arial" w:cs="Arial" w:eastAsia="Arial" w:hAnsi="Arial"/>
                <w:sz w:val="22"/>
                <w:szCs w:val="22"/>
                <w:color w:val="auto"/>
              </w:rPr>
              <w:t>SBA Debentures</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130.3</w:t>
            </w:r>
          </w:p>
        </w:tc>
      </w:tr>
      <w:tr>
        <w:trPr>
          <w:trHeight w:val="320"/>
        </w:trPr>
        <w:tc>
          <w:tcPr>
            <w:tcW w:w="668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(2)</w:t>
            </w:r>
          </w:p>
        </w:tc>
        <w:tc>
          <w:tcPr>
            <w:tcW w:w="3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1.59x</w:t>
            </w:r>
          </w:p>
        </w:tc>
      </w:tr>
      <w:tr>
        <w:trPr>
          <w:trHeight w:val="274"/>
        </w:trPr>
        <w:tc>
          <w:tcPr>
            <w:tcW w:w="6680" w:type="dxa"/>
            <w:vAlign w:val="bottom"/>
          </w:tcPr>
          <w:p>
            <w:pPr>
              <w:ind w:left="120"/>
              <w:spacing w:after="0"/>
              <w:rPr>
                <w:sz w:val="20"/>
                <w:szCs w:val="20"/>
                <w:color w:val="auto"/>
              </w:rPr>
            </w:pPr>
            <w:r>
              <w:rPr>
                <w:rFonts w:ascii="Arial" w:cs="Arial" w:eastAsia="Arial" w:hAnsi="Arial"/>
                <w:sz w:val="22"/>
                <w:szCs w:val="22"/>
                <w:color w:val="auto"/>
              </w:rPr>
              <w:t>Regulatory Debt to Equity</w:t>
            </w:r>
          </w:p>
        </w:tc>
        <w:tc>
          <w:tcPr>
            <w:tcW w:w="30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1.65x</w:t>
            </w:r>
          </w:p>
        </w:tc>
      </w:tr>
      <w:tr>
        <w:trPr>
          <w:trHeight w:val="474"/>
        </w:trPr>
        <w:tc>
          <w:tcPr>
            <w:tcW w:w="6680" w:type="dxa"/>
            <w:vAlign w:val="bottom"/>
          </w:tcPr>
          <w:p>
            <w:pPr>
              <w:ind w:left="120"/>
              <w:spacing w:after="0"/>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3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1.59x</w:t>
            </w:r>
          </w:p>
        </w:tc>
      </w:tr>
      <w:tr>
        <w:trPr>
          <w:trHeight w:val="390"/>
        </w:trPr>
        <w:tc>
          <w:tcPr>
            <w:tcW w:w="6680" w:type="dxa"/>
            <w:vAlign w:val="bottom"/>
          </w:tcPr>
          <w:p>
            <w:pPr>
              <w:ind w:left="120"/>
              <w:spacing w:after="0"/>
              <w:rPr>
                <w:sz w:val="20"/>
                <w:szCs w:val="20"/>
                <w:color w:val="auto"/>
              </w:rPr>
            </w:pPr>
            <w:r>
              <w:rPr>
                <w:rFonts w:ascii="Arial" w:cs="Arial" w:eastAsia="Arial" w:hAnsi="Arial"/>
                <w:sz w:val="22"/>
                <w:szCs w:val="22"/>
                <w:color w:val="auto"/>
              </w:rPr>
              <w:t>Yield on debt investments at quarter-end</w:t>
            </w:r>
          </w:p>
        </w:tc>
        <w:tc>
          <w:tcPr>
            <w:tcW w:w="3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941"/>
        </w:trPr>
        <w:tc>
          <w:tcPr>
            <w:tcW w:w="6680" w:type="dxa"/>
            <w:vAlign w:val="bottom"/>
          </w:tcPr>
          <w:p>
            <w:pPr>
              <w:spacing w:after="0"/>
              <w:rPr>
                <w:sz w:val="20"/>
                <w:szCs w:val="20"/>
                <w:color w:val="auto"/>
              </w:rPr>
            </w:pPr>
            <w:r>
              <w:rPr>
                <w:rFonts w:ascii="Arial" w:cs="Arial" w:eastAsia="Arial" w:hAnsi="Arial"/>
                <w:sz w:val="22"/>
                <w:szCs w:val="22"/>
                <w:color w:val="auto"/>
              </w:rPr>
              <w:t>Operating Results:</w:t>
            </w:r>
          </w:p>
        </w:tc>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668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70"/>
        </w:trPr>
        <w:tc>
          <w:tcPr>
            <w:tcW w:w="6680" w:type="dxa"/>
            <w:vAlign w:val="bottom"/>
          </w:tcPr>
          <w:p>
            <w:pPr>
              <w:ind w:left="120"/>
              <w:spacing w:after="0"/>
              <w:rPr>
                <w:sz w:val="20"/>
                <w:szCs w:val="20"/>
                <w:color w:val="auto"/>
              </w:rPr>
            </w:pPr>
            <w:r>
              <w:rPr>
                <w:rFonts w:ascii="Arial" w:cs="Arial" w:eastAsia="Arial" w:hAnsi="Arial"/>
                <w:sz w:val="22"/>
                <w:szCs w:val="22"/>
                <w:color w:val="auto"/>
              </w:rPr>
              <w:t>Net investment income per share</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0.15</w:t>
            </w:r>
          </w:p>
        </w:tc>
      </w:tr>
      <w:tr>
        <w:trPr>
          <w:trHeight w:val="274"/>
        </w:trPr>
        <w:tc>
          <w:tcPr>
            <w:tcW w:w="668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0.18</w:t>
            </w:r>
          </w:p>
        </w:tc>
      </w:tr>
      <w:tr>
        <w:trPr>
          <w:trHeight w:val="536"/>
        </w:trPr>
        <w:tc>
          <w:tcPr>
            <w:tcW w:w="6680" w:type="dxa"/>
            <w:vAlign w:val="bottom"/>
          </w:tcPr>
          <w:p>
            <w:pPr>
              <w:spacing w:after="0"/>
              <w:rPr>
                <w:sz w:val="20"/>
                <w:szCs w:val="20"/>
                <w:color w:val="auto"/>
              </w:rPr>
            </w:pPr>
            <w:r>
              <w:rPr>
                <w:rFonts w:ascii="Arial" w:cs="Arial" w:eastAsia="Arial" w:hAnsi="Arial"/>
                <w:sz w:val="22"/>
                <w:szCs w:val="22"/>
                <w:color w:val="auto"/>
              </w:rPr>
              <w:t>Portfolio Activity:</w:t>
            </w:r>
          </w:p>
        </w:tc>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668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106.8</w:t>
            </w:r>
          </w:p>
        </w:tc>
      </w:tr>
      <w:tr>
        <w:trPr>
          <w:trHeight w:val="274"/>
        </w:trPr>
        <w:tc>
          <w:tcPr>
            <w:tcW w:w="668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3040" w:type="dxa"/>
            <w:vAlign w:val="bottom"/>
          </w:tcPr>
          <w:p>
            <w:pPr>
              <w:jc w:val="right"/>
              <w:ind w:right="5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16.4</w:t>
            </w:r>
          </w:p>
        </w:tc>
      </w:tr>
      <w:tr>
        <w:trPr>
          <w:trHeight w:val="536"/>
        </w:trPr>
        <w:tc>
          <w:tcPr>
            <w:tcW w:w="6680" w:type="dxa"/>
            <w:vAlign w:val="bottom"/>
          </w:tcPr>
          <w:p>
            <w:pPr>
              <w:ind w:left="120"/>
              <w:spacing w:after="0"/>
              <w:rPr>
                <w:sz w:val="20"/>
                <w:szCs w:val="20"/>
                <w:color w:val="auto"/>
              </w:rPr>
            </w:pPr>
            <w:r>
              <w:rPr>
                <w:rFonts w:ascii="Arial" w:cs="Arial" w:eastAsia="Arial" w:hAnsi="Arial"/>
                <w:sz w:val="22"/>
                <w:szCs w:val="22"/>
                <w:color w:val="auto"/>
              </w:rPr>
              <w:t>Number of new portfolio companies invested</w:t>
            </w:r>
          </w:p>
        </w:tc>
        <w:tc>
          <w:tcPr>
            <w:tcW w:w="30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70"/>
        </w:trPr>
        <w:tc>
          <w:tcPr>
            <w:tcW w:w="6680" w:type="dxa"/>
            <w:vAlign w:val="bottom"/>
          </w:tcPr>
          <w:p>
            <w:pPr>
              <w:ind w:left="120"/>
              <w:spacing w:after="0"/>
              <w:rPr>
                <w:sz w:val="20"/>
                <w:szCs w:val="20"/>
                <w:color w:val="auto"/>
              </w:rPr>
            </w:pPr>
            <w:r>
              <w:rPr>
                <w:rFonts w:ascii="Arial" w:cs="Arial" w:eastAsia="Arial" w:hAnsi="Arial"/>
                <w:sz w:val="22"/>
                <w:szCs w:val="22"/>
                <w:color w:val="auto"/>
              </w:rPr>
              <w:t>Number of existing portfolio companies invested</w:t>
            </w:r>
          </w:p>
        </w:tc>
        <w:tc>
          <w:tcPr>
            <w:tcW w:w="30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74"/>
        </w:trPr>
        <w:tc>
          <w:tcPr>
            <w:tcW w:w="668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30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20" w:right="160" w:hanging="642"/>
        <w:spacing w:after="0" w:line="275"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excluding the impact of the $49.4 million unrealized loss on the Credit Facilities. The presentation of this additional information is not meant to be considered in isolation or as a substitute for financial results prepared in accordance with GAAP.</w:t>
      </w:r>
    </w:p>
    <w:p>
      <w:pPr>
        <w:spacing w:after="0" w:line="2" w:lineRule="exact"/>
        <w:rPr>
          <w:rFonts w:ascii="Arial" w:cs="Arial" w:eastAsia="Arial" w:hAnsi="Arial"/>
          <w:sz w:val="16"/>
          <w:szCs w:val="16"/>
          <w:color w:val="auto"/>
        </w:rPr>
      </w:pPr>
    </w:p>
    <w:p>
      <w:pPr>
        <w:ind w:left="920" w:right="100" w:hanging="642"/>
        <w:spacing w:after="0" w:line="236"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net of $25.1 million of cash and equivalents. The presentation of this additional information is not meant to be considered in isolation or as a substitute for financial results prepared in accordance with GAAP.</w:t>
      </w:r>
    </w:p>
    <w:p>
      <w:pPr>
        <w:spacing w:after="0" w:line="4" w:lineRule="exact"/>
        <w:rPr>
          <w:rFonts w:ascii="Arial" w:cs="Arial" w:eastAsia="Arial" w:hAnsi="Arial"/>
          <w:sz w:val="18"/>
          <w:szCs w:val="18"/>
          <w:color w:val="auto"/>
        </w:rPr>
      </w:pPr>
    </w:p>
    <w:p>
      <w:pPr>
        <w:ind w:left="920" w:right="160" w:hanging="642"/>
        <w:spacing w:after="0" w:line="235"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excluding the impact of the $49.4 million unrealized loss on the Credit Facilities and net of $25.1 million of cash and equivalents. The presentation of this additional information is not meant to be considered in isolation or as a substitute for financial results prepared in accordance with GAAP.</w:t>
      </w:r>
    </w:p>
    <w:p>
      <w:pPr>
        <w:sectPr>
          <w:pgSz w:w="11900" w:h="16838" w:orient="portrait"/>
          <w:cols w:equalWidth="0" w:num="1">
            <w:col w:w="11240"/>
          </w:cols>
          <w:pgMar w:left="320" w:top="112" w:right="339" w:bottom="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CONFERENCE CALL AT 12:00 P.M. ET ON MAY 12, 2020</w:t>
      </w:r>
    </w:p>
    <w:p>
      <w:pPr>
        <w:sectPr>
          <w:pgSz w:w="11900" w:h="16838" w:orient="portrait"/>
          <w:cols w:equalWidth="0" w:num="1">
            <w:col w:w="11240"/>
          </w:cols>
          <w:pgMar w:left="320" w:top="112" w:right="339" w:bottom="0" w:gutter="0" w:footer="0" w:header="0"/>
          <w:type w:val="continuous"/>
        </w:sectPr>
      </w:pPr>
    </w:p>
    <w:bookmarkStart w:id="4" w:name="page5"/>
    <w:bookmarkEnd w:id="4"/>
    <w:p>
      <w:pPr>
        <w:jc w:val="both"/>
        <w:spacing w:after="0" w:line="279" w:lineRule="auto"/>
        <w:rPr>
          <w:sz w:val="20"/>
          <w:szCs w:val="20"/>
          <w:color w:val="auto"/>
        </w:rPr>
      </w:pPr>
      <w:r>
        <w:rPr>
          <w:rFonts w:ascii="Arial" w:cs="Arial" w:eastAsia="Arial" w:hAnsi="Arial"/>
          <w:sz w:val="19"/>
          <w:szCs w:val="19"/>
          <w:color w:val="auto"/>
        </w:rPr>
        <w:t>PennantPark Investment Corporation (“we,” “our,” “us” or the “Company”) will host a conference call at 12:00 p.m. (Eastern Time) on Tuesday, May 12, 2020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#9070267 PennantPark Investment Corporation. An archived replay of the call will be available through May 26, 2020 by calling toll-free (888) 203-1112. International callers please dial (719) 457-0820. For all phone replays, please reference conference ID #9070267.</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 ADJUSTMENT AND INCENTIVE FEE WAIVER</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are pleased that PennantPark continues to operate smoothly and effectively and remains committed to working diligently on behalf of our investors,” said Art Penn, Chairman and CEO. “Given the uncertain economic environment due to the pandemic, we have concluded, in consultation with our board, that it is prudent to adjust our dividend to 12 cents per share starting with the June 2020 quarter. In addition, we have concluded, in consultation with our board, to extend a full incentive fee waiver for the next two quarters through September 2020.”</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March 31, 2020, our portfolio totaled $1,354.0 million and consisted of $815.2 million of first lien secured debt, $261.6 million of second lien secured debt, $64.4 million of subordinated debt and $212.8 million of preferred and common equity. Our debt portfolio consisted of 94% variable-rate investments. As of March 31, 2020, we had no portfolio companies on non-accrual. Overall, the portfolio had net unrealized depreciation of $135.0 million as of March 31, 2020. Our overall portfolio consisted of 87 companies with an average investment size of $15.6 million, had a weighted average yield on interest bearing debt investments of 9.1% and was invested 60% in first lien secured debt, 19% in second lien secured debt, 5% in subordinated debt and 16% in preferred and common equity. For more information on how the COVID-19 pandemic has affected our business and results of operations, see the “Effects of COVID-19” section below.</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September 30, 2019, our portfolio totaled $1,219.4 million and consisted of $695.3 million of first lien secured debt, $269.3 million of second lien secured debt, $61.2 million of subordinated debt and $193.7 million of preferred and common equity. Our debt portfolio consisted of 87% variable-rate investments. As of September 30, 2019, we had no portfolio companies on non-accrual. Overall, the portfolio had net unrealized depreciation of $37.6 million as of September 30, 2019. Our overall portfolio consisted of 67 companies with an average investment size of $18.2 million, had a weighted average yield on interest bearing debt investments of 9.8% and was invested 57% in first lien secured debt, 22% in second lien secured debt, 5% in subordinated debt and 16% in preferred and common equity.</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2020, we invested $106.8 million in eight new and 24 existing portfolio companies with a weighted average yield on debt investments of 8.2%. Sales and repayments of investments for the three months ended March 31, 2020 totaled $16.4 million. For the six months ended March 31, 2020, we invested $280.5 million in 21 new and 39 existing portfolio companies with a weighted average yield on debt investments of 8.6%. Sales and repayments of investments for the six months ended March 31, 2020 totaled $47.5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2019, we invested $183.9 million in nine new and 13 existing portfolio companies with a weighted average yield on debt investments of 9.1%. Sales and repayments of investments for the three months ended March 31, 2019 totaled $115.1 million. For the six months ended March 31, 2019, we invested $378.4 million in 15 new and 26 existing portfolio companies with a weighted average yield on debt investments of 9.3%. Sales and repayments of investments for the six months ended March 31, 2019 totaled $240.9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2020 and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Investment Income</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Investment income for the three and six months ended March 31, 2020 was $27.5 million and $53.5 million, respectively, and was attributable to $17.5 million and $33.5 million from first lien secured debt, $7.7 million and $15.4 million from second lien secured debt and $2.3 million and $4.6 million from subordinated debt, respectively. This compares to investment income for the three and six months ended March 31, 2019 of $28.7 million and $56.1 million, respectively, and was attributable to $15.7 million and $29.0 million from first lien secured debt, $11.2 million and $23.5 million from second lien secured debt and $1.8 million and $3.6 million from subordinated debt, preferred and common equity, respectively. The decrease in investment income compared to the same periods in the prior year was primarily due to decreases in LIBOR.</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Expenses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Expenses for the three and six months ended March 31, 2020 totaled $17.2 million and $33.0 million, respectively. Base management fee for the same periods totaled $4.9 million and $9.6 million, incentive fee totaled $1.9 million and $2.7 million, debt related interest and expenses totaled $9.0 million and $17.8 million, general and administrative expenses totaled $1.2 million and $2.3 million and provision for taxes totaled $0.3 million and $0.6 million, respectively. This compares to net expenses for the three and six months ended March 31, 2019, which totaled $17.9 million and $32.7 million, respectively. Base management fee for the same periods totaled $4.5 million and $8.9 million, incentive fee totaled less than $0.1 million and $2.7 million, debt related interest and expenses totaled $11.9 million (including $2.2 million of make-whole premium on the repayment of the 2019</w:t>
      </w:r>
    </w:p>
    <w:p>
      <w:pPr>
        <w:sectPr>
          <w:pgSz w:w="11900" w:h="16838" w:orient="portrait"/>
          <w:cols w:equalWidth="0" w:num="1">
            <w:col w:w="11240"/>
          </w:cols>
          <w:pgMar w:left="320" w:top="118" w:right="339" w:bottom="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9"/>
          <w:szCs w:val="19"/>
          <w:color w:val="auto"/>
        </w:rPr>
        <w:t>Notes and $2.7 million in debt issuance costs on the BNP Credit Facility) and $18.2 million (including $2.2 million of make-whole premium on the repayment of the 2019 Notes and $2.7 million in debt issuance costs on the BNP Credit Facility), general and administrative expenses totaled $1.2 million and $2.3 million and provision for taxes totaled $0.3 million and $0.6 million, respectively. The decrease in expenses for the three months ended March 31, 2020 compared to the same period in the prior year was primarily due to financing costs incurred in the prior year in connection with the redemption of the 2019 Notes, partially offset by the higher leverage costs. The increase in expenses for the six months ended March 31, 2020 compared to the same period in the prior year was primarily due to higher leverage costs as well as higher base management and incentive fees.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Investment Income</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investment income totaled $10.3 million and $20.5 million, or $0.15 and $0.31 per share, for the three and six months ended March 31, 2020, respectively. Net investment income totaled $10.8 million and $23.3 million, or $0.16 and $0.34 per share, for the three and six months ended March 31, 2019, respectively. The decrease in net investment income compared to the same periods in the prior year was primarily due to lower investment income as well as higher leverage costs.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Realized Gains or Losses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six months ended March 31, 2020 totaled $16.4 million and $47.5 million, respectively, and net realized gains (losses) totaled $1.4 million and $(10.6) million, respectively. Sales and repayments of investments for the three and six months ended March 31, 2019 totaled $115.9 million and $240.9 million, respectively, and net realized gains totaled $1.0 million and $9.5 million, respectively. The change in realized gains/losses was primarily due to changes in the market conditions of our investments and the values at which they were realized.</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Unrealized Appreciation or Depreciation on Investments, the Credit Facilities and the 2019 Notes</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For the three and six months ended March 31, 2020, we reported net change in unrealized depreciation on investments of $121.0 million and $97.3 million, respectively. For the three and six months ended March 31, 2019, we reported net change in unrealized depreciation on investments of $20.1 million and $40.5 million, respectively. As of March 31, 2020 and September 30, 2019, our net unrealized depreciation on investments totaled $135.0 million and $37.6 million, respectively. The net change in unrealized depreciation on our investments compared to the same periods in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the “Effects of COVID-19” section below.</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and six months ended March 31, 2020 our Credit Facilities had a net change in unrealized depreciation of $48.9 million and $46.4 million, respectively. For the three and six months ended March 31, 2019, our Credit Facilities and the 2019 Notes had a net change in unrealized depreciation of $3.7 million and $9.7 million, respectively. As of March 31, 2020 and September 30, 2019, the net unrealized depreciation on the Credit Facilities totaled $53.6 million and $7.2 million, respectively. The net change in unrealized depreciation compared to the same periods in the prior year was primarily due to changes in the capital markets.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Change in Net Assets Resulting from Operations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Net change in net assets resulting from operations totaled $(60.3) million and $(41.1) million, or $(0.90) and $(0.61) per share, for the three and six months ended March 31, 2020, respectively. Net change in net assets resulting from operations totaled $(4.7) million and $2.0 million, or $(0.08) and $0.26 per share, for the three and six months ended March 31, 2019, respectively. The decrease in the net change in net assets from operations compared to the same periods in the prior year was primarily due to depreciation of the portfolio primarily driven by the market disruption caused by the COVID-19 pandemic and the uncertainty surrounding its continued adverse economic impact. For more information on how the COVID-19 pandemic has affected our business and results of operations, see the “Effects of COVID-19” section below.</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Facilities, see the “Effects of COVID-19” section below.</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annualized weighted average cost of debt for the six months ended March 31, 2020 and 2019, inclusive of the fee on the undrawn commitment under the Credit Facilities, debt issuance costs on the BNP Credit Facility, prepayment penalties on the 2019 Notes and amortized upfront fees on the 2024 Notes and SBA debentures, was 5.1% and 7.0%, respectively (excluding debt issuance costs and prepayment penalties, amounts were 5.1% and 5.9%, respectively).</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March 31, 2020 and September 30, 2019, PennantPark Investment Funding I, LLC, or Funding I, had $245.0 million and $171.0 million in outstanding borrowings under the BNP Credit Facility, respectively. The BNP Credit Facility had a weighted average interest rate of 3.6% and 4.6%, respectively, exclusive of the fee on undrawn commitments, as of March 31, 2020 and</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line="329" w:lineRule="auto"/>
        <w:rPr>
          <w:sz w:val="20"/>
          <w:szCs w:val="20"/>
          <w:color w:val="auto"/>
        </w:rPr>
      </w:pPr>
      <w:r>
        <w:rPr>
          <w:rFonts w:ascii="Arial" w:cs="Arial" w:eastAsia="Arial" w:hAnsi="Arial"/>
          <w:sz w:val="19"/>
          <w:szCs w:val="19"/>
          <w:color w:val="auto"/>
        </w:rPr>
        <w:t>September 30, 2019. As of March 31, 2020 and September 30, 2019, Funding I had $5.0 million and $79.0 million of unused borrowing capacity under the BNP Credit Facility, respectively, subject to leverage and borrowing base restrictions.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of March 31, 2020 and September 30, 2019, we had $441.6 million and $301.6 million, respectively, in outstanding borrowings under the Truist Credit Facility. The Truist Credit Facility had a weighted average interest rate of 3.2% and 4.2%, respectively, exclusive of the fee on undrawn commitments, as of March 31, 2020 and September 30, 2019. As of March 31, 2020 and September 30, 2019, we had $33.4 million and $173.4 million of unused borrowing capacity under the Truist Credit Facility, respectively, subject to leverage and borrowing base restrictions.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2020 and September 30, 2019, we had cash and cash equivalents of $25.1 million and $59.5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Our operating activities used cash of $218.6 million for the six months ended March 31, 2020, and our financing activities provided cash of $184.3 million for the same period. Our operating activities used cash primarily for our investment activities and our financing activities provided cash primarily from net borrowings under the Credit Facilities.</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$121.3 million for the six months ended March 31, 2019 and our financing activities provided cash of $132.0 million for the same period. Our operating activities provided cash from sales and repayments on our investments and our financing activities used cash primarily to pay distributions to stockholders and for net repayments under the Truist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During the three and six months ended March 31, 2020, we declared distributions of $0.18 and $0.36 per share, for total distributions of $12.1 million and $24.1 million, respectively. For the same periods in the prior year, we declared distributions of $0.18 and $0.36 per share, for total distributions of $12.1 million and $24.3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EFFECTS OF COVID-19</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spread of COVID-19 has had a significant impact on the U.S. economy and has resulted in governmental orders imposing travel restrictions and prolonged closures of many corporate offices, retail stores, manufacturing facilities, factories and other common places of public congregation around the world. These restrictions and “stay-at-home” orders have essentially resulted in the shutdown of all non-essential businesses, as defined by each governmental authority imposing the respective orders. Any future impact to our business and results of operations will depend to a large extent on future developments and new information that may emerge regarding the duration and severity of COVID-19 and the actions taken by authorities and other entities to reduce the spread of the virus, all of which are beyond our control. The COVID-19 pandemic has had, and continues to have, an adverse impact on our operating results and the operating results of our portfolio companies.</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had a significant reduction of our net asset value as of March 31, 2020 as compared to our net asset value in the prior quarter. This reduction resulted from an increase in the overall net unrealized depreciation of the Company’s portfolio, including unrealized depreciations in the Company's investments and the Credit Facilities as of March 31, 2020, which was primarily due to the immediate adverse economic impact of the COVID-19 pandemic, the continuing uncertainty surrounding its long-term effects as well as the re-pricing of credit risk in the broadly syndicated credit market. As of March 31, 2020, we are in compliance with asset coverage requirements under the Investment Company Act of 1940, as amended. In addition, we are not in default of any asset coverage requirements under the Credit Facilities as of March 31, 2020. However, any continued increase in unrealized depreciation of our investment portfolio or further significant reductions in our net asset value, as a result of the effects of the COVID-19 pandemic or otherwise, increases the risk of breaching the relevant covenants. As such, we may run into liquidity issues in the future if we are unable to draw on the unused borrowing capacity under our Credit Facilities due the breach of financial covenants.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will continue to monitor the rapidly evolving situation surrounding the COVID-19 pandemic and guidance from U.S. and international authorities, including federal, state and local public health authorities, and may take further actions based on their recommendations. There may be developments outside our control requiring us to adjust our plans accordingly. While we are closely monitoring this situation, we cannot predict the impact of COVID-19 on our future financial condition, results of operations or cash flows with any level of certainty. However, we expect that the COVID-19 pandemic will have a material adverse impact on our future net investment income, the fair value of our portfolio investments, and the results of operations and financial condition of our portfolio companies. For information concerning the COVID-19 pandemic and its potential impact on our business and our operating results, see our Quarterly Report on Form 10-Q for the quarter ended March 31, 2020, including “Item 2. Management's Discussion and Analysis of Financial Condition and Results of Operations – COVID-19 Developments” and “Part II - Other Information – Item 1A. Risk Factors” therein.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ectPr>
          <w:pgSz w:w="11900" w:h="16838" w:orient="portrait"/>
          <w:cols w:equalWidth="0" w:num="1">
            <w:col w:w="11240"/>
          </w:cols>
          <w:pgMar w:left="320" w:top="118" w:right="339" w:bottom="0" w:gutter="0" w:footer="0" w:header="0"/>
        </w:sectPr>
      </w:pPr>
    </w:p>
    <w:bookmarkStart w:id="7" w:name="page8"/>
    <w:bookmarkEnd w:id="7"/>
    <w:p>
      <w:pPr>
        <w:spacing w:after="0" w:line="251" w:lineRule="auto"/>
        <w:rPr>
          <w:sz w:val="20"/>
          <w:szCs w:val="20"/>
          <w:color w:val="auto"/>
        </w:rPr>
      </w:pPr>
      <w:r>
        <w:rPr>
          <w:rFonts w:ascii="Arial" w:cs="Arial" w:eastAsia="Arial" w:hAnsi="Arial"/>
          <w:sz w:val="22"/>
          <w:szCs w:val="22"/>
          <w:color w:val="auto"/>
        </w:rPr>
        <w:t xml:space="preserve">The Company makes available on its website its report on Form 10-Q filed with the SEC and stockholders may find the report on our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92"/>
              </w:rPr>
              <w:t>March 31,</w:t>
            </w:r>
          </w:p>
        </w:tc>
        <w:tc>
          <w:tcPr>
            <w:tcW w:w="1500" w:type="dxa"/>
            <w:vAlign w:val="bottom"/>
            <w:gridSpan w:val="3"/>
          </w:tcPr>
          <w:p>
            <w:pPr>
              <w:jc w:val="right"/>
              <w:ind w:right="120"/>
              <w:spacing w:after="0"/>
              <w:rPr>
                <w:sz w:val="20"/>
                <w:szCs w:val="20"/>
                <w:color w:val="auto"/>
              </w:rPr>
            </w:pPr>
            <w:r>
              <w:rPr>
                <w:rFonts w:ascii="Arial" w:cs="Arial" w:eastAsia="Arial" w:hAnsi="Arial"/>
                <w:sz w:val="22"/>
                <w:szCs w:val="22"/>
                <w:b w:val="1"/>
                <w:bCs w:val="1"/>
                <w:color w:val="auto"/>
                <w:w w:val="90"/>
              </w:rPr>
              <w:t>September 30,</w:t>
            </w:r>
          </w:p>
        </w:tc>
      </w:tr>
      <w:tr>
        <w:trPr>
          <w:trHeight w:val="270"/>
        </w:trPr>
        <w:tc>
          <w:tcPr>
            <w:tcW w:w="8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center"/>
              <w:ind w:right="32"/>
              <w:spacing w:after="0"/>
              <w:rPr>
                <w:sz w:val="20"/>
                <w:szCs w:val="20"/>
                <w:color w:val="auto"/>
              </w:rPr>
            </w:pPr>
            <w:r>
              <w:rPr>
                <w:rFonts w:ascii="Arial" w:cs="Arial" w:eastAsia="Arial" w:hAnsi="Arial"/>
                <w:sz w:val="22"/>
                <w:szCs w:val="22"/>
                <w:b w:val="1"/>
                <w:bCs w:val="1"/>
                <w:color w:val="auto"/>
                <w:w w:val="85"/>
              </w:rPr>
              <w:t>2020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ind w:right="392"/>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r>
      <w:tr>
        <w:trPr>
          <w:trHeight w:val="280"/>
        </w:trPr>
        <w:tc>
          <w:tcPr>
            <w:tcW w:w="8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91"/>
              </w:rPr>
              <w:t>(unaudited)</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808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8080" w:type="dxa"/>
            <w:vAlign w:val="bottom"/>
          </w:tcPr>
          <w:p>
            <w:pPr>
              <w:ind w:left="120"/>
              <w:spacing w:after="0" w:line="243" w:lineRule="exact"/>
              <w:rPr>
                <w:sz w:val="20"/>
                <w:szCs w:val="20"/>
                <w:color w:val="auto"/>
              </w:rPr>
            </w:pPr>
            <w:r>
              <w:rPr>
                <w:rFonts w:ascii="Arial" w:cs="Arial" w:eastAsia="Arial" w:hAnsi="Arial"/>
                <w:sz w:val="22"/>
                <w:szCs w:val="22"/>
                <w:color w:val="auto"/>
                <w:w w:val="96"/>
              </w:rPr>
              <w:t>Non-controlled, non-affiliated investments (cost—$1,136,891,439 and $922,304,099,</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080" w:type="dxa"/>
            <w:vAlign w:val="bottom"/>
          </w:tcPr>
          <w:p>
            <w:pPr>
              <w:ind w:left="12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Pr>
          <w:p>
            <w:pPr>
              <w:jc w:val="right"/>
              <w:spacing w:after="0"/>
              <w:rPr>
                <w:sz w:val="20"/>
                <w:szCs w:val="20"/>
                <w:color w:val="auto"/>
              </w:rPr>
            </w:pPr>
            <w:r>
              <w:rPr>
                <w:rFonts w:ascii="Arial" w:cs="Arial" w:eastAsia="Arial" w:hAnsi="Arial"/>
                <w:sz w:val="22"/>
                <w:szCs w:val="22"/>
                <w:color w:val="auto"/>
                <w:w w:val="88"/>
              </w:rPr>
              <w:t>1,127,578,177</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936,632,099</w:t>
            </w:r>
          </w:p>
        </w:tc>
        <w:tc>
          <w:tcPr>
            <w:tcW w:w="80" w:type="dxa"/>
            <w:vAlign w:val="bottom"/>
          </w:tcPr>
          <w:p>
            <w:pPr>
              <w:spacing w:after="0"/>
              <w:rPr>
                <w:sz w:val="23"/>
                <w:szCs w:val="23"/>
                <w:color w:val="auto"/>
              </w:rPr>
            </w:pPr>
          </w:p>
        </w:tc>
      </w:tr>
      <w:tr>
        <w:trPr>
          <w:trHeight w:val="270"/>
        </w:trPr>
        <w:tc>
          <w:tcPr>
            <w:tcW w:w="8080" w:type="dxa"/>
            <w:vAlign w:val="bottom"/>
          </w:tcPr>
          <w:p>
            <w:pPr>
              <w:ind w:left="120"/>
              <w:spacing w:after="0"/>
              <w:rPr>
                <w:sz w:val="20"/>
                <w:szCs w:val="20"/>
                <w:color w:val="auto"/>
              </w:rPr>
            </w:pPr>
            <w:r>
              <w:rPr>
                <w:rFonts w:ascii="Arial" w:cs="Arial" w:eastAsia="Arial" w:hAnsi="Arial"/>
                <w:sz w:val="22"/>
                <w:szCs w:val="22"/>
                <w:color w:val="auto"/>
                <w:w w:val="91"/>
              </w:rPr>
              <w:t>Non-controlled, affiliated investments (cost—$77,628,920 and $77,600,816,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26,648,548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49,349,338</w:t>
            </w:r>
          </w:p>
        </w:tc>
        <w:tc>
          <w:tcPr>
            <w:tcW w:w="80" w:type="dxa"/>
            <w:vAlign w:val="bottom"/>
          </w:tcPr>
          <w:p>
            <w:pPr>
              <w:spacing w:after="0"/>
              <w:rPr>
                <w:sz w:val="23"/>
                <w:szCs w:val="23"/>
                <w:color w:val="auto"/>
              </w:rPr>
            </w:pPr>
          </w:p>
        </w:tc>
      </w:tr>
      <w:tr>
        <w:trPr>
          <w:trHeight w:val="274"/>
        </w:trPr>
        <w:tc>
          <w:tcPr>
            <w:tcW w:w="8080" w:type="dxa"/>
            <w:vAlign w:val="bottom"/>
          </w:tcPr>
          <w:p>
            <w:pPr>
              <w:ind w:left="120"/>
              <w:spacing w:after="0"/>
              <w:rPr>
                <w:sz w:val="20"/>
                <w:szCs w:val="20"/>
                <w:color w:val="auto"/>
              </w:rPr>
            </w:pPr>
            <w:r>
              <w:rPr>
                <w:rFonts w:ascii="Arial" w:cs="Arial" w:eastAsia="Arial" w:hAnsi="Arial"/>
                <w:sz w:val="22"/>
                <w:szCs w:val="22"/>
                <w:color w:val="auto"/>
                <w:w w:val="93"/>
              </w:rPr>
              <w:t>Controlled, affiliated investments (cost—$274,448,367 and $257,117,800, respectively)</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199,820,217</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233,451,359</w:t>
            </w:r>
          </w:p>
        </w:tc>
        <w:tc>
          <w:tcPr>
            <w:tcW w:w="80" w:type="dxa"/>
            <w:vAlign w:val="bottom"/>
          </w:tcPr>
          <w:p>
            <w:pPr>
              <w:spacing w:after="0"/>
              <w:rPr>
                <w:sz w:val="23"/>
                <w:szCs w:val="23"/>
                <w:color w:val="auto"/>
              </w:rPr>
            </w:pPr>
          </w:p>
        </w:tc>
      </w:tr>
      <w:tr>
        <w:trPr>
          <w:trHeight w:val="259"/>
        </w:trPr>
        <w:tc>
          <w:tcPr>
            <w:tcW w:w="8080" w:type="dxa"/>
            <w:vAlign w:val="bottom"/>
          </w:tcPr>
          <w:p>
            <w:pPr>
              <w:ind w:left="120"/>
              <w:spacing w:after="0"/>
              <w:rPr>
                <w:sz w:val="20"/>
                <w:szCs w:val="20"/>
                <w:color w:val="auto"/>
              </w:rPr>
            </w:pPr>
            <w:r>
              <w:rPr>
                <w:rFonts w:ascii="Arial" w:cs="Arial" w:eastAsia="Arial" w:hAnsi="Arial"/>
                <w:sz w:val="22"/>
                <w:szCs w:val="22"/>
                <w:color w:val="auto"/>
              </w:rPr>
              <w:t>Total of investments (cost—$1,488,968,726 and $1,257,022,715, respectively)</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w w:val="88"/>
              </w:rPr>
              <w:t>1,354,046,942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w w:val="88"/>
              </w:rPr>
              <w:t>1,219,432,796</w:t>
            </w:r>
          </w:p>
        </w:tc>
        <w:tc>
          <w:tcPr>
            <w:tcW w:w="80" w:type="dxa"/>
            <w:vAlign w:val="bottom"/>
          </w:tcPr>
          <w:p>
            <w:pPr>
              <w:spacing w:after="0"/>
              <w:rPr>
                <w:sz w:val="22"/>
                <w:szCs w:val="22"/>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Cash and cash equivalents (cost—$25,174,710 and $59,546,438,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25,127,515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59,516,236</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6,872,137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6,226,539</w:t>
            </w:r>
          </w:p>
        </w:tc>
        <w:tc>
          <w:tcPr>
            <w:tcW w:w="80" w:type="dxa"/>
            <w:vAlign w:val="bottom"/>
          </w:tcPr>
          <w:p>
            <w:pPr>
              <w:spacing w:after="0"/>
              <w:rPr>
                <w:sz w:val="23"/>
                <w:szCs w:val="23"/>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1,071,214</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662,442</w:t>
            </w:r>
          </w:p>
        </w:tc>
        <w:tc>
          <w:tcPr>
            <w:tcW w:w="80" w:type="dxa"/>
            <w:vAlign w:val="bottom"/>
          </w:tcPr>
          <w:p>
            <w:pPr>
              <w:spacing w:after="0"/>
              <w:rPr>
                <w:sz w:val="23"/>
                <w:szCs w:val="23"/>
                <w:color w:val="auto"/>
              </w:rPr>
            </w:pP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1,387,117,808</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1,285,838,013</w:t>
            </w:r>
          </w:p>
        </w:tc>
        <w:tc>
          <w:tcPr>
            <w:tcW w:w="80" w:type="dxa"/>
            <w:vAlign w:val="bottom"/>
          </w:tcPr>
          <w:p>
            <w:pPr>
              <w:spacing w:after="0"/>
              <w:rPr>
                <w:sz w:val="23"/>
                <w:szCs w:val="23"/>
                <w:color w:val="auto"/>
              </w:rPr>
            </w:pPr>
          </w:p>
        </w:tc>
      </w:tr>
      <w:tr>
        <w:trPr>
          <w:trHeight w:val="256"/>
        </w:trPr>
        <w:tc>
          <w:tcPr>
            <w:tcW w:w="80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12,068,119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12,068,119</w:t>
            </w:r>
          </w:p>
        </w:tc>
        <w:tc>
          <w:tcPr>
            <w:tcW w:w="80" w:type="dxa"/>
            <w:vAlign w:val="bottom"/>
          </w:tcPr>
          <w:p>
            <w:pPr>
              <w:spacing w:after="0"/>
              <w:rPr>
                <w:sz w:val="23"/>
                <w:szCs w:val="23"/>
                <w:color w:val="auto"/>
              </w:rPr>
            </w:pPr>
          </w:p>
        </w:tc>
      </w:tr>
      <w:tr>
        <w:trPr>
          <w:trHeight w:val="243"/>
        </w:trPr>
        <w:tc>
          <w:tcPr>
            <w:tcW w:w="8080" w:type="dxa"/>
            <w:vAlign w:val="bottom"/>
          </w:tcPr>
          <w:p>
            <w:pPr>
              <w:spacing w:after="0" w:line="243" w:lineRule="exact"/>
              <w:rPr>
                <w:sz w:val="20"/>
                <w:szCs w:val="20"/>
                <w:color w:val="auto"/>
              </w:rPr>
            </w:pPr>
            <w:r>
              <w:rPr>
                <w:rFonts w:ascii="Arial" w:cs="Arial" w:eastAsia="Arial" w:hAnsi="Arial"/>
                <w:sz w:val="22"/>
                <w:szCs w:val="22"/>
                <w:color w:val="auto"/>
              </w:rPr>
              <w:t>BNP Credit Facility payable, at fair value (cost—$245,000,000 and $171,000,000,</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228,585,000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170,145,000</w:t>
            </w:r>
          </w:p>
        </w:tc>
        <w:tc>
          <w:tcPr>
            <w:tcW w:w="80" w:type="dxa"/>
            <w:vAlign w:val="bottom"/>
          </w:tcPr>
          <w:p>
            <w:pPr>
              <w:spacing w:after="0"/>
              <w:rPr>
                <w:sz w:val="23"/>
                <w:szCs w:val="23"/>
                <w:color w:val="auto"/>
              </w:rPr>
            </w:pPr>
          </w:p>
        </w:tc>
      </w:tr>
      <w:tr>
        <w:trPr>
          <w:trHeight w:val="243"/>
        </w:trPr>
        <w:tc>
          <w:tcPr>
            <w:tcW w:w="8080" w:type="dxa"/>
            <w:vAlign w:val="bottom"/>
          </w:tcPr>
          <w:p>
            <w:pPr>
              <w:spacing w:after="0" w:line="243" w:lineRule="exact"/>
              <w:rPr>
                <w:sz w:val="20"/>
                <w:szCs w:val="20"/>
                <w:color w:val="auto"/>
              </w:rPr>
            </w:pPr>
            <w:r>
              <w:rPr>
                <w:rFonts w:ascii="Arial" w:cs="Arial" w:eastAsia="Arial" w:hAnsi="Arial"/>
                <w:sz w:val="22"/>
                <w:szCs w:val="22"/>
                <w:color w:val="auto"/>
              </w:rPr>
              <w:t>Truist Credit Facility payable, at fair value (cost—$441,636,000 and $301,636,000,</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404,430,430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295,245,214</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2024 Notes payable, net (par—$86,250,000 and $75,000,000,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83,504,809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72,256,607</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w w:val="99"/>
              </w:rPr>
              <w:t>SBA debentures payable, net (par—$133,500,000 and $150,000,000,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130,285,249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146,111,055</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4,880,699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4,641,480</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1,913,047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4,612,690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2,895,695</w:t>
            </w:r>
          </w:p>
        </w:tc>
        <w:tc>
          <w:tcPr>
            <w:tcW w:w="80" w:type="dxa"/>
            <w:vAlign w:val="bottom"/>
          </w:tcPr>
          <w:p>
            <w:pPr>
              <w:spacing w:after="0"/>
              <w:rPr>
                <w:sz w:val="23"/>
                <w:szCs w:val="23"/>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158,528</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569,175</w:t>
            </w:r>
          </w:p>
        </w:tc>
        <w:tc>
          <w:tcPr>
            <w:tcW w:w="80" w:type="dxa"/>
            <w:vAlign w:val="bottom"/>
          </w:tcPr>
          <w:p>
            <w:pPr>
              <w:spacing w:after="0"/>
              <w:rPr>
                <w:sz w:val="23"/>
                <w:szCs w:val="23"/>
                <w:color w:val="auto"/>
              </w:rPr>
            </w:pP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870,438,571</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703,932,345</w:t>
            </w:r>
          </w:p>
        </w:tc>
        <w:tc>
          <w:tcPr>
            <w:tcW w:w="80" w:type="dxa"/>
            <w:vAlign w:val="bottom"/>
          </w:tcPr>
          <w:p>
            <w:pPr>
              <w:spacing w:after="0"/>
              <w:rPr>
                <w:sz w:val="23"/>
                <w:szCs w:val="23"/>
                <w:color w:val="auto"/>
              </w:rPr>
            </w:pPr>
          </w:p>
        </w:tc>
      </w:tr>
      <w:tr>
        <w:trPr>
          <w:trHeight w:val="250"/>
        </w:trPr>
        <w:tc>
          <w:tcPr>
            <w:tcW w:w="808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808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8080" w:type="dxa"/>
            <w:vAlign w:val="bottom"/>
          </w:tcPr>
          <w:p>
            <w:pPr>
              <w:spacing w:after="0" w:line="243" w:lineRule="exact"/>
              <w:rPr>
                <w:sz w:val="20"/>
                <w:szCs w:val="20"/>
                <w:color w:val="auto"/>
              </w:rPr>
            </w:pPr>
            <w:r>
              <w:rPr>
                <w:rFonts w:ascii="Arial" w:cs="Arial" w:eastAsia="Arial" w:hAnsi="Arial"/>
                <w:sz w:val="22"/>
                <w:szCs w:val="22"/>
                <w:color w:val="auto"/>
                <w:w w:val="93"/>
              </w:rPr>
              <w:t>Common stock, 67,045,105 and 67,045,105 shares issued and outstanding, respectively</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808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67,045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67,045</w:t>
            </w:r>
          </w:p>
        </w:tc>
        <w:tc>
          <w:tcPr>
            <w:tcW w:w="80" w:type="dxa"/>
            <w:vAlign w:val="bottom"/>
          </w:tcPr>
          <w:p>
            <w:pPr>
              <w:spacing w:after="0"/>
              <w:rPr>
                <w:sz w:val="23"/>
                <w:szCs w:val="23"/>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788,192,159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2"/>
                <w:szCs w:val="22"/>
                <w:color w:val="auto"/>
              </w:rPr>
              <w:t>788,192,159</w:t>
            </w:r>
          </w:p>
        </w:tc>
        <w:tc>
          <w:tcPr>
            <w:tcW w:w="80" w:type="dxa"/>
            <w:vAlign w:val="bottom"/>
          </w:tcPr>
          <w:p>
            <w:pPr>
              <w:spacing w:after="0"/>
              <w:rPr>
                <w:sz w:val="23"/>
                <w:szCs w:val="23"/>
                <w:color w:val="auto"/>
              </w:rPr>
            </w:pP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Accumulated distributable net loss</w:t>
            </w:r>
          </w:p>
        </w:tc>
        <w:tc>
          <w:tcPr>
            <w:tcW w:w="140" w:type="dxa"/>
            <w:vAlign w:val="bottom"/>
          </w:tcPr>
          <w:p>
            <w:pPr>
              <w:spacing w:after="0"/>
              <w:rPr>
                <w:sz w:val="23"/>
                <w:szCs w:val="23"/>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(271,579,967)</w:t>
            </w:r>
          </w:p>
        </w:tc>
        <w:tc>
          <w:tcPr>
            <w:tcW w:w="14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w w:val="97"/>
              </w:rPr>
              <w:t>(206,353,536)</w:t>
            </w: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516,679,237</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581,905,668</w:t>
            </w:r>
          </w:p>
        </w:tc>
        <w:tc>
          <w:tcPr>
            <w:tcW w:w="80" w:type="dxa"/>
            <w:vAlign w:val="bottom"/>
          </w:tcPr>
          <w:p>
            <w:pPr>
              <w:spacing w:after="0"/>
              <w:rPr>
                <w:sz w:val="23"/>
                <w:szCs w:val="23"/>
                <w:color w:val="auto"/>
              </w:rPr>
            </w:pPr>
          </w:p>
        </w:tc>
      </w:tr>
      <w:tr>
        <w:trPr>
          <w:trHeight w:val="263"/>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1,387,117,808</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1,285,838,013</w:t>
            </w:r>
          </w:p>
        </w:tc>
        <w:tc>
          <w:tcPr>
            <w:tcW w:w="80" w:type="dxa"/>
            <w:vAlign w:val="bottom"/>
          </w:tcPr>
          <w:p>
            <w:pPr>
              <w:spacing w:after="0"/>
              <w:rPr>
                <w:sz w:val="22"/>
                <w:szCs w:val="22"/>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808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7.71</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8.68</w:t>
            </w:r>
          </w:p>
        </w:tc>
        <w:tc>
          <w:tcPr>
            <w:tcW w:w="80" w:type="dxa"/>
            <w:vAlign w:val="bottom"/>
          </w:tcPr>
          <w:p>
            <w:pPr>
              <w:spacing w:after="0"/>
              <w:rPr>
                <w:sz w:val="22"/>
                <w:szCs w:val="22"/>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PENNANTPARK INVESTMENT CORPORATION AND SUBSIDIARIES CONSOLIDATED STATEMENTS OF OPERATIONS (Unaudited)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000" w:type="dxa"/>
            <w:vAlign w:val="bottom"/>
          </w:tcPr>
          <w:p>
            <w:pPr>
              <w:spacing w:after="0"/>
              <w:rPr>
                <w:sz w:val="21"/>
                <w:szCs w:val="21"/>
                <w:color w:val="auto"/>
              </w:rPr>
            </w:pPr>
          </w:p>
        </w:tc>
        <w:tc>
          <w:tcPr>
            <w:tcW w:w="3160" w:type="dxa"/>
            <w:vAlign w:val="bottom"/>
            <w:gridSpan w:val="5"/>
          </w:tcPr>
          <w:p>
            <w:pPr>
              <w:jc w:val="center"/>
              <w:ind w:right="200"/>
              <w:spacing w:after="0"/>
              <w:rPr>
                <w:sz w:val="20"/>
                <w:szCs w:val="20"/>
                <w:color w:val="auto"/>
              </w:rPr>
            </w:pPr>
            <w:r>
              <w:rPr>
                <w:rFonts w:ascii="Arial" w:cs="Arial" w:eastAsia="Arial" w:hAnsi="Arial"/>
                <w:sz w:val="22"/>
                <w:szCs w:val="22"/>
                <w:b w:val="1"/>
                <w:bCs w:val="1"/>
                <w:color w:val="auto"/>
                <w:w w:val="90"/>
              </w:rPr>
              <w:t>Three Months Ended</w:t>
            </w: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2"/>
        </w:trPr>
        <w:tc>
          <w:tcPr>
            <w:tcW w:w="5000" w:type="dxa"/>
            <w:vAlign w:val="bottom"/>
          </w:tcPr>
          <w:p>
            <w:pPr>
              <w:spacing w:after="0"/>
              <w:rPr>
                <w:sz w:val="24"/>
                <w:szCs w:val="24"/>
                <w:color w:val="auto"/>
              </w:rPr>
            </w:pPr>
          </w:p>
        </w:tc>
        <w:tc>
          <w:tcPr>
            <w:tcW w:w="1960" w:type="dxa"/>
            <w:vAlign w:val="bottom"/>
            <w:tcBorders>
              <w:bottom w:val="single" w:sz="8" w:color="auto"/>
            </w:tcBorders>
            <w:gridSpan w:val="3"/>
          </w:tcPr>
          <w:p>
            <w:pPr>
              <w:jc w:val="center"/>
              <w:ind w:left="892"/>
              <w:spacing w:after="0"/>
              <w:rPr>
                <w:sz w:val="20"/>
                <w:szCs w:val="20"/>
                <w:color w:val="auto"/>
              </w:rPr>
            </w:pPr>
            <w:r>
              <w:rPr>
                <w:rFonts w:ascii="Arial" w:cs="Arial" w:eastAsia="Arial" w:hAnsi="Arial"/>
                <w:sz w:val="22"/>
                <w:szCs w:val="22"/>
                <w:b w:val="1"/>
                <w:bCs w:val="1"/>
                <w:color w:val="auto"/>
                <w:w w:val="94"/>
              </w:rPr>
              <w:t>March 31,</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22"/>
                <w:szCs w:val="22"/>
                <w:b w:val="1"/>
                <w:bCs w:val="1"/>
                <w:color w:val="auto"/>
                <w:w w:val="94"/>
              </w:rPr>
              <w:t>Six Months Ended March 31,</w:t>
            </w:r>
          </w:p>
        </w:tc>
      </w:tr>
      <w:tr>
        <w:trPr>
          <w:trHeight w:val="265"/>
        </w:trPr>
        <w:tc>
          <w:tcPr>
            <w:tcW w:w="5000" w:type="dxa"/>
            <w:vAlign w:val="bottom"/>
          </w:tcPr>
          <w:p>
            <w:pPr>
              <w:spacing w:after="0"/>
              <w:rPr>
                <w:sz w:val="23"/>
                <w:szCs w:val="23"/>
                <w:color w:val="auto"/>
              </w:rPr>
            </w:pPr>
          </w:p>
        </w:tc>
        <w:tc>
          <w:tcPr>
            <w:tcW w:w="13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2020</w:t>
            </w:r>
          </w:p>
        </w:tc>
        <w:tc>
          <w:tcPr>
            <w:tcW w:w="2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2019</w:t>
            </w:r>
          </w:p>
        </w:tc>
        <w:tc>
          <w:tcPr>
            <w:tcW w:w="200" w:type="dxa"/>
            <w:vAlign w:val="bottom"/>
          </w:tcPr>
          <w:p>
            <w:pPr>
              <w:spacing w:after="0"/>
              <w:rPr>
                <w:sz w:val="23"/>
                <w:szCs w:val="23"/>
                <w:color w:val="auto"/>
              </w:rPr>
            </w:pPr>
          </w:p>
        </w:tc>
        <w:tc>
          <w:tcPr>
            <w:tcW w:w="13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2020</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2019</w:t>
            </w:r>
          </w:p>
        </w:tc>
      </w:tr>
      <w:tr>
        <w:trPr>
          <w:trHeight w:val="256"/>
        </w:trPr>
        <w:tc>
          <w:tcPr>
            <w:tcW w:w="500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Interest</w:t>
            </w:r>
          </w:p>
        </w:tc>
        <w:tc>
          <w:tcPr>
            <w:tcW w:w="1380" w:type="dxa"/>
            <w:vAlign w:val="bottom"/>
          </w:tcPr>
          <w:p>
            <w:pPr>
              <w:jc w:val="right"/>
              <w:spacing w:after="0"/>
              <w:rPr>
                <w:sz w:val="20"/>
                <w:szCs w:val="20"/>
                <w:color w:val="auto"/>
              </w:rPr>
            </w:pPr>
            <w:r>
              <w:rPr>
                <w:rFonts w:ascii="Arial" w:cs="Arial" w:eastAsia="Arial" w:hAnsi="Arial"/>
                <w:sz w:val="22"/>
                <w:szCs w:val="22"/>
                <w:color w:val="auto"/>
                <w:w w:val="95"/>
              </w:rPr>
              <w:t>$   22,748,529</w:t>
            </w:r>
          </w:p>
        </w:tc>
        <w:tc>
          <w:tcPr>
            <w:tcW w:w="200" w:type="dxa"/>
            <w:vAlign w:val="bottom"/>
          </w:tcPr>
          <w:p>
            <w:pPr>
              <w:spacing w:after="0"/>
              <w:rPr>
                <w:sz w:val="23"/>
                <w:szCs w:val="23"/>
                <w:color w:val="auto"/>
              </w:rPr>
            </w:pPr>
          </w:p>
        </w:tc>
        <w:tc>
          <w:tcPr>
            <w:tcW w:w="380" w:type="dxa"/>
            <w:vAlign w:val="bottom"/>
          </w:tcPr>
          <w:p>
            <w:pPr>
              <w:jc w:val="right"/>
              <w:ind w:right="13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22,938,612</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w w:val="95"/>
              </w:rPr>
              <w:t>$   43,133,443</w:t>
            </w:r>
          </w:p>
        </w:tc>
        <w:tc>
          <w:tcPr>
            <w:tcW w:w="20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Arial" w:cs="Arial" w:eastAsia="Arial" w:hAnsi="Arial"/>
                <w:sz w:val="22"/>
                <w:szCs w:val="22"/>
                <w:color w:val="auto"/>
                <w:w w:val="97"/>
              </w:rPr>
              <w:t>$</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46,447,193</w:t>
            </w: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Payment-in-kind</w:t>
            </w:r>
          </w:p>
        </w:tc>
        <w:tc>
          <w:tcPr>
            <w:tcW w:w="1380" w:type="dxa"/>
            <w:vAlign w:val="bottom"/>
          </w:tcPr>
          <w:p>
            <w:pPr>
              <w:jc w:val="right"/>
              <w:spacing w:after="0"/>
              <w:rPr>
                <w:sz w:val="20"/>
                <w:szCs w:val="20"/>
                <w:color w:val="auto"/>
              </w:rPr>
            </w:pPr>
            <w:r>
              <w:rPr>
                <w:rFonts w:ascii="Arial" w:cs="Arial" w:eastAsia="Arial" w:hAnsi="Arial"/>
                <w:sz w:val="22"/>
                <w:szCs w:val="22"/>
                <w:color w:val="auto"/>
              </w:rPr>
              <w:t>1,978,894</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2,626,193</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3,863,400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3,872,209</w:t>
            </w: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Other income</w:t>
            </w:r>
          </w:p>
        </w:tc>
        <w:tc>
          <w:tcPr>
            <w:tcW w:w="1380" w:type="dxa"/>
            <w:vAlign w:val="bottom"/>
          </w:tcPr>
          <w:p>
            <w:pPr>
              <w:jc w:val="right"/>
              <w:spacing w:after="0"/>
              <w:rPr>
                <w:sz w:val="20"/>
                <w:szCs w:val="20"/>
                <w:color w:val="auto"/>
              </w:rPr>
            </w:pPr>
            <w:r>
              <w:rPr>
                <w:rFonts w:ascii="Arial" w:cs="Arial" w:eastAsia="Arial" w:hAnsi="Arial"/>
                <w:sz w:val="22"/>
                <w:szCs w:val="22"/>
                <w:color w:val="auto"/>
              </w:rPr>
              <w:t>751,284</w:t>
            </w: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1,016,381</w:t>
            </w: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941,202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1,634,452</w:t>
            </w:r>
          </w:p>
        </w:tc>
      </w:tr>
      <w:tr>
        <w:trPr>
          <w:trHeight w:val="270"/>
        </w:trPr>
        <w:tc>
          <w:tcPr>
            <w:tcW w:w="500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Interest</w:t>
            </w:r>
          </w:p>
        </w:tc>
        <w:tc>
          <w:tcPr>
            <w:tcW w:w="15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3,798</w:t>
            </w:r>
          </w:p>
        </w:tc>
        <w:tc>
          <w:tcPr>
            <w:tcW w:w="2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108,903</w:t>
            </w:r>
          </w:p>
        </w:tc>
      </w:tr>
    </w:tbl>
    <w:p>
      <w:pPr>
        <w:sectPr>
          <w:pgSz w:w="11900" w:h="16838" w:orient="portrait"/>
          <w:cols w:equalWidth="0" w:num="1">
            <w:col w:w="11240"/>
          </w:cols>
          <w:pgMar w:left="320" w:top="118" w:right="3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5000" w:type="dxa"/>
            <w:vAlign w:val="bottom"/>
          </w:tcPr>
          <w:p>
            <w:pPr>
              <w:ind w:left="120"/>
              <w:spacing w:after="0"/>
              <w:rPr>
                <w:sz w:val="20"/>
                <w:szCs w:val="20"/>
                <w:color w:val="auto"/>
              </w:rPr>
            </w:pPr>
            <w:r>
              <w:rPr>
                <w:rFonts w:ascii="Arial" w:cs="Arial" w:eastAsia="Arial" w:hAnsi="Arial"/>
                <w:sz w:val="22"/>
                <w:szCs w:val="22"/>
                <w:color w:val="auto"/>
              </w:rPr>
              <w:t>Payment-in-kind</w:t>
            </w:r>
          </w:p>
        </w:tc>
        <w:tc>
          <w:tcPr>
            <w:tcW w:w="2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108,625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Interest</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559,934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2,048,653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1,204,624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3,837,256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Payment-in-kind</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1,496,251</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54,116</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4,395,988</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59,116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000" w:type="dxa"/>
            <w:vAlign w:val="bottom"/>
          </w:tcPr>
          <w:p>
            <w:pPr>
              <w:ind w:left="120"/>
              <w:spacing w:after="0"/>
              <w:rPr>
                <w:sz w:val="20"/>
                <w:szCs w:val="20"/>
                <w:color w:val="auto"/>
              </w:rPr>
            </w:pPr>
            <w:r>
              <w:rPr>
                <w:rFonts w:ascii="Arial" w:cs="Arial" w:eastAsia="Arial" w:hAnsi="Arial"/>
                <w:sz w:val="22"/>
                <w:szCs w:val="22"/>
                <w:b w:val="1"/>
                <w:bCs w:val="1"/>
                <w:color w:val="auto"/>
              </w:rPr>
              <w:t>Total investment income</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27,534,892</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28,687,753</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53,538,657</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56,067,754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Base management fee</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4,880,699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4,510,830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9,623,129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8,930,092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Performance-based incentive fee</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1,913,047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8,340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2,657,673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2,675,610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Interest and expenses on debt</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8,962,513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7,032,019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17,828,583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13,310,866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Administrative services expenses</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521,520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532,625</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1,043,040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1,054,250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Other general and administrative expenses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648,881</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692,177</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1,292,841</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1,310,544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120"/>
              <w:spacing w:after="0" w:line="212" w:lineRule="exact"/>
              <w:rPr>
                <w:sz w:val="20"/>
                <w:szCs w:val="20"/>
                <w:color w:val="auto"/>
              </w:rPr>
            </w:pPr>
            <w:r>
              <w:rPr>
                <w:rFonts w:ascii="Arial" w:cs="Arial" w:eastAsia="Arial" w:hAnsi="Arial"/>
                <w:sz w:val="22"/>
                <w:szCs w:val="22"/>
                <w:b w:val="1"/>
                <w:bCs w:val="1"/>
                <w:color w:val="auto"/>
                <w:w w:val="91"/>
              </w:rPr>
              <w:t>Expenses before financing costs and provision for</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000" w:type="dxa"/>
            <w:vAlign w:val="bottom"/>
          </w:tcPr>
          <w:p>
            <w:pPr>
              <w:ind w:left="120"/>
              <w:spacing w:after="0"/>
              <w:rPr>
                <w:sz w:val="20"/>
                <w:szCs w:val="20"/>
                <w:color w:val="auto"/>
              </w:rPr>
            </w:pPr>
            <w:r>
              <w:rPr>
                <w:rFonts w:ascii="Arial" w:cs="Arial" w:eastAsia="Arial" w:hAnsi="Arial"/>
                <w:sz w:val="22"/>
                <w:szCs w:val="22"/>
                <w:b w:val="1"/>
                <w:bCs w:val="1"/>
                <w:color w:val="auto"/>
              </w:rPr>
              <w:t>taxes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16,926,660</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12,775,991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32,445,266</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27,281,362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000" w:type="dxa"/>
            <w:vAlign w:val="bottom"/>
          </w:tcPr>
          <w:p>
            <w:pPr>
              <w:ind w:left="120"/>
              <w:spacing w:after="0"/>
              <w:rPr>
                <w:sz w:val="20"/>
                <w:szCs w:val="20"/>
                <w:color w:val="auto"/>
              </w:rPr>
            </w:pPr>
            <w:r>
              <w:rPr>
                <w:rFonts w:ascii="Arial" w:cs="Arial" w:eastAsia="Arial" w:hAnsi="Arial"/>
                <w:sz w:val="22"/>
                <w:szCs w:val="22"/>
                <w:color w:val="auto"/>
              </w:rPr>
              <w:t>Debt issuance costs</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2,696,498</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2,696,498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Make-whole premium</w:t>
            </w:r>
          </w:p>
        </w:tc>
        <w:tc>
          <w:tcPr>
            <w:tcW w:w="2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2,162,526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2,162,526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Provision for taxes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300,000</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300,000</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600,000</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000" w:type="dxa"/>
            <w:vAlign w:val="bottom"/>
          </w:tcPr>
          <w:p>
            <w:pPr>
              <w:ind w:left="120"/>
              <w:spacing w:after="0"/>
              <w:rPr>
                <w:sz w:val="20"/>
                <w:szCs w:val="20"/>
                <w:color w:val="auto"/>
              </w:rPr>
            </w:pPr>
            <w:r>
              <w:rPr>
                <w:rFonts w:ascii="Arial" w:cs="Arial" w:eastAsia="Arial" w:hAnsi="Arial"/>
                <w:sz w:val="22"/>
                <w:szCs w:val="22"/>
                <w:b w:val="1"/>
                <w:bCs w:val="1"/>
                <w:color w:val="auto"/>
              </w:rPr>
              <w:t>Net expenses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17,226,660</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17,935,015</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33,045,266</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32,740,386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000" w:type="dxa"/>
            <w:vAlign w:val="bottom"/>
          </w:tcPr>
          <w:p>
            <w:pPr>
              <w:ind w:left="120"/>
              <w:spacing w:after="0"/>
              <w:rPr>
                <w:sz w:val="20"/>
                <w:szCs w:val="20"/>
                <w:color w:val="auto"/>
              </w:rPr>
            </w:pPr>
            <w:r>
              <w:rPr>
                <w:rFonts w:ascii="Arial" w:cs="Arial" w:eastAsia="Arial" w:hAnsi="Arial"/>
                <w:sz w:val="22"/>
                <w:szCs w:val="22"/>
                <w:b w:val="1"/>
                <w:bCs w:val="1"/>
                <w:color w:val="auto"/>
              </w:rPr>
              <w:t>Net investment income</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10,308,232</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10,752,738</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20,493,391</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23,327,368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line="209" w:lineRule="exact"/>
              <w:rPr>
                <w:sz w:val="20"/>
                <w:szCs w:val="20"/>
                <w:color w:val="auto"/>
              </w:rPr>
            </w:pPr>
            <w:r>
              <w:rPr>
                <w:rFonts w:ascii="Arial" w:cs="Arial" w:eastAsia="Arial" w:hAnsi="Arial"/>
                <w:sz w:val="22"/>
                <w:szCs w:val="22"/>
                <w:b w:val="1"/>
                <w:bCs w:val="1"/>
                <w:color w:val="auto"/>
                <w:w w:val="93"/>
              </w:rPr>
              <w:t>Realized and unrealized (loss) gain on investments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00" w:type="dxa"/>
            <w:vAlign w:val="bottom"/>
          </w:tcPr>
          <w:p>
            <w:pPr>
              <w:spacing w:after="0"/>
              <w:rPr>
                <w:sz w:val="20"/>
                <w:szCs w:val="20"/>
                <w:color w:val="auto"/>
              </w:rPr>
            </w:pPr>
            <w:r>
              <w:rPr>
                <w:rFonts w:ascii="Arial" w:cs="Arial" w:eastAsia="Arial" w:hAnsi="Arial"/>
                <w:sz w:val="22"/>
                <w:szCs w:val="22"/>
                <w:b w:val="1"/>
                <w:bCs w:val="1"/>
                <w:color w:val="auto"/>
              </w:rPr>
              <w:t>and debt:</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2"/>
                <w:szCs w:val="22"/>
                <w:color w:val="auto"/>
              </w:rPr>
              <w:t>Net realized gain (loss) on investments on:</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Non-controlled, non-affiliated investments</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1,424,778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972,448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(10,609,375)</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4,710,367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w w:val="96"/>
              </w:rPr>
              <w:t>Non-controlled and controlled, affiliated investments</w:t>
            </w:r>
          </w:p>
        </w:tc>
        <w:tc>
          <w:tcPr>
            <w:tcW w:w="2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4,792,067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000" w:type="dxa"/>
            <w:vAlign w:val="bottom"/>
          </w:tcPr>
          <w:p>
            <w:pPr>
              <w:ind w:left="120"/>
              <w:spacing w:after="0"/>
              <w:rPr>
                <w:sz w:val="20"/>
                <w:szCs w:val="20"/>
                <w:color w:val="auto"/>
              </w:rPr>
            </w:pPr>
            <w:r>
              <w:rPr>
                <w:rFonts w:ascii="Arial" w:cs="Arial" w:eastAsia="Arial" w:hAnsi="Arial"/>
                <w:sz w:val="22"/>
                <w:szCs w:val="22"/>
                <w:b w:val="1"/>
                <w:bCs w:val="1"/>
                <w:color w:val="auto"/>
              </w:rPr>
              <w:t>Net realized gain (loss) on investments</w:t>
            </w:r>
          </w:p>
        </w:tc>
        <w:tc>
          <w:tcPr>
            <w:tcW w:w="2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1,424,778</w:t>
            </w:r>
          </w:p>
        </w:tc>
        <w:tc>
          <w:tcPr>
            <w:tcW w:w="20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972,448</w:t>
            </w:r>
          </w:p>
        </w:tc>
        <w:tc>
          <w:tcPr>
            <w:tcW w:w="20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1"/>
              </w:rPr>
              <w:t>(10,609,375)</w:t>
            </w:r>
          </w:p>
        </w:tc>
        <w:tc>
          <w:tcPr>
            <w:tcW w:w="20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9,502,434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0"/>
                <w:szCs w:val="20"/>
                <w:color w:val="auto"/>
              </w:rPr>
            </w:pPr>
            <w:r>
              <w:rPr>
                <w:rFonts w:ascii="Arial" w:cs="Arial" w:eastAsia="Arial" w:hAnsi="Arial"/>
                <w:sz w:val="22"/>
                <w:szCs w:val="22"/>
                <w:color w:val="auto"/>
                <w:w w:val="91"/>
              </w:rPr>
              <w:t>Net change in unrealized (depreciation) appreciation on:</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rPr>
              <w:t>Non-controlled, non-affiliated investments</w:t>
            </w:r>
          </w:p>
        </w:tc>
        <w:tc>
          <w:tcPr>
            <w:tcW w:w="2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(40,710,987)</w:t>
            </w:r>
          </w:p>
        </w:tc>
        <w:tc>
          <w:tcPr>
            <w:tcW w:w="2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rPr>
              <w:t>(6,753,803)</w:t>
            </w:r>
          </w:p>
        </w:tc>
        <w:tc>
          <w:tcPr>
            <w:tcW w:w="2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(23,658,391)</w:t>
            </w:r>
          </w:p>
        </w:tc>
        <w:tc>
          <w:tcPr>
            <w:tcW w:w="2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w w:val="97"/>
              </w:rPr>
              <w:t>(13,683,685)</w:t>
            </w:r>
          </w:p>
        </w:tc>
        <w:tc>
          <w:tcPr>
            <w:tcW w:w="0" w:type="dxa"/>
            <w:vAlign w:val="bottom"/>
          </w:tcPr>
          <w:p>
            <w:pPr>
              <w:spacing w:after="0"/>
              <w:rPr>
                <w:sz w:val="1"/>
                <w:szCs w:val="1"/>
                <w:color w:val="auto"/>
              </w:rPr>
            </w:pPr>
          </w:p>
        </w:tc>
      </w:tr>
      <w:tr>
        <w:trPr>
          <w:trHeight w:val="270"/>
        </w:trPr>
        <w:tc>
          <w:tcPr>
            <w:tcW w:w="5000" w:type="dxa"/>
            <w:vAlign w:val="bottom"/>
          </w:tcPr>
          <w:p>
            <w:pPr>
              <w:ind w:left="120"/>
              <w:spacing w:after="0"/>
              <w:rPr>
                <w:sz w:val="20"/>
                <w:szCs w:val="20"/>
                <w:color w:val="auto"/>
              </w:rPr>
            </w:pPr>
            <w:r>
              <w:rPr>
                <w:rFonts w:ascii="Arial" w:cs="Arial" w:eastAsia="Arial" w:hAnsi="Arial"/>
                <w:sz w:val="22"/>
                <w:szCs w:val="22"/>
                <w:color w:val="auto"/>
                <w:w w:val="96"/>
              </w:rPr>
              <w:t>Non-controlled and controlled, affiliated investments</w:t>
            </w:r>
          </w:p>
        </w:tc>
        <w:tc>
          <w:tcPr>
            <w:tcW w:w="2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(80,260,831)</w:t>
            </w:r>
          </w:p>
        </w:tc>
        <w:tc>
          <w:tcPr>
            <w:tcW w:w="2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(13,379,363)</w:t>
            </w:r>
          </w:p>
        </w:tc>
        <w:tc>
          <w:tcPr>
            <w:tcW w:w="22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(73,690,603)</w:t>
            </w:r>
          </w:p>
        </w:tc>
        <w:tc>
          <w:tcPr>
            <w:tcW w:w="22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w w:val="97"/>
              </w:rPr>
              <w:t>(26,842,060)</w:t>
            </w:r>
          </w:p>
        </w:tc>
        <w:tc>
          <w:tcPr>
            <w:tcW w:w="0" w:type="dxa"/>
            <w:vAlign w:val="bottom"/>
          </w:tcPr>
          <w:p>
            <w:pPr>
              <w:spacing w:after="0"/>
              <w:rPr>
                <w:sz w:val="1"/>
                <w:szCs w:val="1"/>
                <w:color w:val="auto"/>
              </w:rPr>
            </w:pPr>
          </w:p>
        </w:tc>
      </w:tr>
      <w:tr>
        <w:trPr>
          <w:trHeight w:val="274"/>
        </w:trPr>
        <w:tc>
          <w:tcPr>
            <w:tcW w:w="5000" w:type="dxa"/>
            <w:vAlign w:val="bottom"/>
          </w:tcPr>
          <w:p>
            <w:pPr>
              <w:ind w:left="120"/>
              <w:spacing w:after="0"/>
              <w:rPr>
                <w:sz w:val="20"/>
                <w:szCs w:val="20"/>
                <w:color w:val="auto"/>
              </w:rPr>
            </w:pPr>
            <w:r>
              <w:rPr>
                <w:rFonts w:ascii="Arial" w:cs="Arial" w:eastAsia="Arial" w:hAnsi="Arial"/>
                <w:sz w:val="22"/>
                <w:szCs w:val="22"/>
                <w:color w:val="auto"/>
              </w:rPr>
              <w:t>Debt depreciation</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48,946,105</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3,661,483</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46,374,785</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9,727,635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120"/>
              <w:spacing w:after="0" w:line="212" w:lineRule="exact"/>
              <w:rPr>
                <w:sz w:val="20"/>
                <w:szCs w:val="20"/>
                <w:color w:val="auto"/>
              </w:rPr>
            </w:pPr>
            <w:r>
              <w:rPr>
                <w:rFonts w:ascii="Arial" w:cs="Arial" w:eastAsia="Arial" w:hAnsi="Arial"/>
                <w:sz w:val="22"/>
                <w:szCs w:val="22"/>
                <w:b w:val="1"/>
                <w:bCs w:val="1"/>
                <w:color w:val="auto"/>
              </w:rPr>
              <w:t>Net change in unrealized (depreciation)</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000" w:type="dxa"/>
            <w:vAlign w:val="bottom"/>
          </w:tcPr>
          <w:p>
            <w:pPr>
              <w:ind w:left="120"/>
              <w:spacing w:after="0"/>
              <w:rPr>
                <w:sz w:val="20"/>
                <w:szCs w:val="20"/>
                <w:color w:val="auto"/>
              </w:rPr>
            </w:pPr>
            <w:r>
              <w:rPr>
                <w:rFonts w:ascii="Arial" w:cs="Arial" w:eastAsia="Arial" w:hAnsi="Arial"/>
                <w:sz w:val="22"/>
                <w:szCs w:val="22"/>
                <w:b w:val="1"/>
                <w:bCs w:val="1"/>
                <w:color w:val="auto"/>
              </w:rPr>
              <w:t>appreciation on investments and debt</w:t>
            </w:r>
          </w:p>
        </w:tc>
        <w:tc>
          <w:tcPr>
            <w:tcW w:w="2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(72,025,713)</w:t>
            </w:r>
          </w:p>
        </w:tc>
        <w:tc>
          <w:tcPr>
            <w:tcW w:w="2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(16,471,683)</w:t>
            </w:r>
          </w:p>
        </w:tc>
        <w:tc>
          <w:tcPr>
            <w:tcW w:w="2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(50,974,209)</w:t>
            </w: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w w:val="97"/>
              </w:rPr>
              <w:t>(30,798,110)</w:t>
            </w:r>
          </w:p>
        </w:tc>
        <w:tc>
          <w:tcPr>
            <w:tcW w:w="0" w:type="dxa"/>
            <w:vAlign w:val="bottom"/>
          </w:tcPr>
          <w:p>
            <w:pPr>
              <w:spacing w:after="0"/>
              <w:rPr>
                <w:sz w:val="1"/>
                <w:szCs w:val="1"/>
                <w:color w:val="auto"/>
              </w:rPr>
            </w:pPr>
          </w:p>
        </w:tc>
      </w:tr>
      <w:tr>
        <w:trPr>
          <w:trHeight w:val="213"/>
        </w:trPr>
        <w:tc>
          <w:tcPr>
            <w:tcW w:w="5000" w:type="dxa"/>
            <w:vAlign w:val="bottom"/>
          </w:tcPr>
          <w:p>
            <w:pPr>
              <w:spacing w:after="0" w:line="212" w:lineRule="exact"/>
              <w:rPr>
                <w:sz w:val="20"/>
                <w:szCs w:val="20"/>
                <w:color w:val="auto"/>
              </w:rPr>
            </w:pPr>
            <w:r>
              <w:rPr>
                <w:rFonts w:ascii="Arial" w:cs="Arial" w:eastAsia="Arial" w:hAnsi="Arial"/>
                <w:sz w:val="22"/>
                <w:szCs w:val="22"/>
                <w:b w:val="1"/>
                <w:bCs w:val="1"/>
                <w:color w:val="auto"/>
              </w:rPr>
              <w:t>Net realized and unrealized (loss) gain from</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000" w:type="dxa"/>
            <w:vAlign w:val="bottom"/>
          </w:tcPr>
          <w:p>
            <w:pPr>
              <w:spacing w:after="0"/>
              <w:rPr>
                <w:sz w:val="20"/>
                <w:szCs w:val="20"/>
                <w:color w:val="auto"/>
              </w:rPr>
            </w:pPr>
            <w:r>
              <w:rPr>
                <w:rFonts w:ascii="Arial" w:cs="Arial" w:eastAsia="Arial" w:hAnsi="Arial"/>
                <w:sz w:val="22"/>
                <w:szCs w:val="22"/>
                <w:b w:val="1"/>
                <w:bCs w:val="1"/>
                <w:color w:val="auto"/>
              </w:rPr>
              <w:t>investments and debt</w:t>
            </w:r>
          </w:p>
        </w:tc>
        <w:tc>
          <w:tcPr>
            <w:tcW w:w="2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(70,600,935)</w:t>
            </w:r>
          </w:p>
        </w:tc>
        <w:tc>
          <w:tcPr>
            <w:tcW w:w="2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(15,499,235)</w:t>
            </w:r>
          </w:p>
        </w:tc>
        <w:tc>
          <w:tcPr>
            <w:tcW w:w="22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(61,583,584)</w:t>
            </w: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w w:val="97"/>
              </w:rPr>
              <w:t>(21,295,676)</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line="232" w:lineRule="exact"/>
              <w:rPr>
                <w:sz w:val="20"/>
                <w:szCs w:val="20"/>
                <w:color w:val="auto"/>
              </w:rPr>
            </w:pPr>
            <w:r>
              <w:rPr>
                <w:rFonts w:ascii="Arial" w:cs="Arial" w:eastAsia="Arial" w:hAnsi="Arial"/>
                <w:sz w:val="22"/>
                <w:szCs w:val="22"/>
                <w:b w:val="1"/>
                <w:bCs w:val="1"/>
                <w:color w:val="auto"/>
                <w:w w:val="92"/>
              </w:rPr>
              <w:t>Net (decrease) increase in net assets resulting from</w:t>
            </w: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00" w:type="dxa"/>
            <w:vAlign w:val="bottom"/>
            <w:vMerge w:val="continue"/>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22"/>
                <w:szCs w:val="22"/>
                <w:color w:val="auto"/>
                <w:w w:val="93"/>
              </w:rPr>
              <w:t>(60,292,703 )</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22"/>
                <w:szCs w:val="22"/>
                <w:color w:val="auto"/>
              </w:rPr>
              <w:t>(4,746,497 )</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22"/>
                <w:szCs w:val="22"/>
                <w:color w:val="auto"/>
                <w:w w:val="93"/>
              </w:rPr>
              <w:t>(41,090,193 )</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2,031,692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Arial" w:cs="Arial" w:eastAsia="Arial" w:hAnsi="Arial"/>
                <w:sz w:val="22"/>
                <w:szCs w:val="22"/>
                <w:b w:val="1"/>
                <w:bCs w:val="1"/>
                <w:color w:val="auto"/>
              </w:rPr>
              <w:t>operations</w:t>
            </w:r>
          </w:p>
        </w:tc>
        <w:tc>
          <w:tcPr>
            <w:tcW w:w="220" w:type="dxa"/>
            <w:vAlign w:val="bottom"/>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line="242" w:lineRule="exact"/>
              <w:rPr>
                <w:sz w:val="20"/>
                <w:szCs w:val="20"/>
                <w:color w:val="auto"/>
              </w:rPr>
            </w:pPr>
            <w:r>
              <w:rPr>
                <w:rFonts w:ascii="Arial" w:cs="Arial" w:eastAsia="Arial" w:hAnsi="Arial"/>
                <w:sz w:val="22"/>
                <w:szCs w:val="22"/>
                <w:color w:val="auto"/>
                <w:w w:val="98"/>
              </w:rPr>
              <w:t>Net (decrease) increase in net assets resulting from</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000" w:type="dxa"/>
            <w:vAlign w:val="bottom"/>
            <w:vMerge w:val="continue"/>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22"/>
                <w:szCs w:val="22"/>
                <w:color w:val="auto"/>
              </w:rPr>
              <w:t>(0.90 )</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22"/>
                <w:szCs w:val="22"/>
                <w:color w:val="auto"/>
              </w:rPr>
              <w:t>(0.07 )</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22"/>
                <w:szCs w:val="22"/>
                <w:color w:val="auto"/>
              </w:rPr>
              <w:t>(0.61 )</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0.03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000" w:type="dxa"/>
            <w:vAlign w:val="bottom"/>
          </w:tcPr>
          <w:p>
            <w:pPr>
              <w:spacing w:after="0" w:line="251" w:lineRule="exact"/>
              <w:rPr>
                <w:sz w:val="20"/>
                <w:szCs w:val="20"/>
                <w:color w:val="auto"/>
              </w:rPr>
            </w:pPr>
            <w:r>
              <w:rPr>
                <w:rFonts w:ascii="Arial" w:cs="Arial" w:eastAsia="Arial" w:hAnsi="Arial"/>
                <w:sz w:val="22"/>
                <w:szCs w:val="22"/>
                <w:color w:val="auto"/>
              </w:rPr>
              <w:t>operations per common share</w:t>
            </w:r>
          </w:p>
        </w:tc>
        <w:tc>
          <w:tcPr>
            <w:tcW w:w="220" w:type="dxa"/>
            <w:vAlign w:val="bottom"/>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00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0.15</w:t>
            </w:r>
          </w:p>
        </w:tc>
        <w:tc>
          <w:tcPr>
            <w:tcW w:w="2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0.16</w:t>
            </w:r>
          </w:p>
        </w:tc>
        <w:tc>
          <w:tcPr>
            <w:tcW w:w="2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0.31</w:t>
            </w:r>
          </w:p>
        </w:tc>
        <w:tc>
          <w:tcPr>
            <w:tcW w:w="2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PennantPark Investment Advisers, LLC is a leading middle market credit platform, which today has $3.7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w:t>
      </w:r>
    </w:p>
    <w:p>
      <w:pPr>
        <w:sectPr>
          <w:pgSz w:w="11900" w:h="16838" w:orient="portrait"/>
          <w:cols w:equalWidth="0" w:num="1">
            <w:col w:w="11240"/>
          </w:cols>
          <w:pgMar w:left="320" w:top="118" w:right="339" w:bottom="0" w:gutter="0" w:footer="0" w:header="0"/>
        </w:sectPr>
      </w:pPr>
    </w:p>
    <w:bookmarkStart w:id="9" w:name="page10"/>
    <w:bookmarkEnd w:id="9"/>
    <w:p>
      <w:pPr>
        <w:jc w:val="both"/>
        <w:spacing w:after="0"/>
        <w:rPr>
          <w:sz w:val="20"/>
          <w:szCs w:val="20"/>
          <w:color w:val="auto"/>
        </w:rPr>
      </w:pPr>
      <w:r>
        <w:rPr>
          <w:rFonts w:ascii="Arial" w:cs="Arial" w:eastAsia="Arial" w:hAnsi="Arial"/>
          <w:sz w:val="22"/>
          <w:szCs w:val="22"/>
          <w:color w:val="auto"/>
        </w:rPr>
        <w:t>such as COVID-19.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Aviv Efrat</w:t>
      </w:r>
    </w:p>
    <w:p>
      <w:pPr>
        <w:spacing w:after="0" w:line="238" w:lineRule="auto"/>
        <w:rPr>
          <w:sz w:val="20"/>
          <w:szCs w:val="20"/>
          <w:color w:val="auto"/>
        </w:rPr>
      </w:pPr>
      <w:r>
        <w:rPr>
          <w:rFonts w:ascii="Arial" w:cs="Arial" w:eastAsia="Arial" w:hAnsi="Arial"/>
          <w:sz w:val="22"/>
          <w:szCs w:val="22"/>
          <w:color w:val="auto"/>
        </w:rPr>
        <w:t>PennantPark Investment Corporation</w:t>
      </w: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2020-05-11T15:24:36Z</dcterms:created>
  <dcterms:modified xsi:type="dcterms:W3CDTF">2020-05-11T15:24:36Z</dcterms:modified>
</cp:coreProperties>
</file>