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4)</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708062104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5000"/>
        <w:spacing w:after="0"/>
        <w:rPr>
          <w:sz w:val="20"/>
          <w:szCs w:val="20"/>
          <w:color w:val="auto"/>
        </w:rPr>
      </w:pPr>
      <w:r>
        <w:rPr>
          <w:rFonts w:ascii="Arial" w:cs="Arial" w:eastAsia="Arial" w:hAnsi="Arial"/>
          <w:sz w:val="22"/>
          <w:szCs w:val="22"/>
          <w:color w:val="auto"/>
        </w:rPr>
        <w:t>March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708062104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459,094</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1,142,209</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1,142,209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3.71%</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PennantPark Investment Corporation</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590 Madison Avenue</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15th Floor</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NY 10022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708062104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1,142,209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3.71%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459,094</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1,142,209</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April 12, 2010</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2019-12-11T03:39:05Z</dcterms:created>
  <dcterms:modified xsi:type="dcterms:W3CDTF">2019-12-11T03:39:05Z</dcterms:modified>
</cp:coreProperties>
</file>