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PennantPark Investment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-130810</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708062104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797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-130810</wp:posOffset>
            </wp:positionV>
            <wp:extent cx="2615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340" w:right="6860" w:hanging="10"/>
        <w:spacing w:after="0" w:line="312" w:lineRule="auto"/>
        <w:tabs>
          <w:tab w:leader="none" w:pos="354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38" w:lineRule="exact"/>
        <w:rPr>
          <w:rFonts w:ascii="MS PGothic" w:cs="MS PGothic" w:eastAsia="MS PGothic" w:hAnsi="MS PGothic"/>
          <w:sz w:val="16"/>
          <w:szCs w:val="16"/>
          <w:color w:val="auto"/>
        </w:rPr>
      </w:pPr>
    </w:p>
    <w:p>
      <w:pPr>
        <w:ind w:left="360" w:hanging="332"/>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2"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46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w w:val="98"/>
              </w:rPr>
              <w:t>NAME OF REPORTING PERSONS/I.R.S. IDENTIFICATION</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L.P.</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6.29%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IA – Investment Adviser</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46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w w:val="98"/>
              </w:rPr>
              <w:t>NAME OF REPORTING PERSONS/I.R.S. IDENTIFICATION</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CLOUGH CAPITAL PARTNERS LLC</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6.29%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46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w w:val="98"/>
              </w:rPr>
              <w:t>NAME OF REPORTING PERSONS/I.R.S. IDENTIFICATION</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CHARLES I. CLOUGH, JR.</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6.29%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46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w w:val="98"/>
              </w:rPr>
              <w:t>NAME OF REPORTING PERSONS/I.R.S. IDENTIFICATION</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JAMES E. CANTY</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6.29%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46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13G</w:t>
            </w:r>
          </w:p>
        </w:tc>
        <w:tc>
          <w:tcPr>
            <w:tcW w:w="8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w w:val="98"/>
              </w:rPr>
              <w:t>NAME OF REPORTING PERSONS/I.R.S. IDENTIFICATION</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NO. OF ABOVE PERSONS (ENTITIES ONLY)</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ERIC A. BROCK</w:t>
            </w: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1,622,891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6.29% (see Item 4)</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8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 – Parent Holding Company/Control Person</w:t>
            </w:r>
          </w:p>
        </w:tc>
        <w:tc>
          <w:tcPr>
            <w:tcW w:w="2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4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r>
        <w:trPr>
          <w:trHeight w:val="321"/>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2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94" w:lineRule="exact"/>
        <w:rPr>
          <w:sz w:val="20"/>
          <w:szCs w:val="20"/>
          <w:color w:val="auto"/>
        </w:rPr>
      </w:pPr>
    </w:p>
    <w:p>
      <w:pPr>
        <w:ind w:left="480" w:hanging="247"/>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PennantPark Investment Corporation</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(c) Name and Domicile/Citizenship of Persons Filing:</w:t>
      </w:r>
    </w:p>
    <w:p>
      <w:pPr>
        <w:spacing w:after="0" w:line="238" w:lineRule="exact"/>
        <w:rPr>
          <w:rFonts w:ascii="Arial" w:cs="Arial" w:eastAsia="Arial" w:hAnsi="Arial"/>
          <w:sz w:val="18"/>
          <w:szCs w:val="18"/>
          <w:color w:val="auto"/>
        </w:rPr>
      </w:pPr>
    </w:p>
    <w:p>
      <w:pPr>
        <w:ind w:left="1060" w:hanging="37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238" w:lineRule="exact"/>
        <w:rPr>
          <w:rFonts w:ascii="Arial" w:cs="Arial" w:eastAsia="Arial" w:hAnsi="Arial"/>
          <w:sz w:val="18"/>
          <w:szCs w:val="18"/>
          <w:color w:val="auto"/>
        </w:rPr>
      </w:pPr>
    </w:p>
    <w:p>
      <w:pPr>
        <w:jc w:val="both"/>
        <w:ind w:left="660" w:right="6660" w:hanging="314"/>
        <w:spacing w:after="0" w:line="469"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Each of the Reporting Persons has a business address of: One Post Office Square, 40th Floor, Boston, MA 02109.</w:t>
      </w:r>
    </w:p>
    <w:p>
      <w:pPr>
        <w:spacing w:after="0" w:line="1"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708062104</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ITEM 3. IF THIS STATEMENT IS FILED PURSUANT TO RULE 13D-1(B), OR 13D-2(B) OR (C), CHECK WHETHER THE PERSON FILING IS A:</w:t>
      </w:r>
    </w:p>
    <w:p>
      <w:pPr>
        <w:spacing w:after="0" w:line="129"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84" w:lineRule="exact"/>
        <w:rPr>
          <w:rFonts w:ascii="Arial" w:cs="Arial" w:eastAsia="Arial" w:hAnsi="Arial"/>
          <w:sz w:val="18"/>
          <w:szCs w:val="18"/>
          <w:color w:val="auto"/>
        </w:rPr>
      </w:pPr>
    </w:p>
    <w:p>
      <w:pPr>
        <w:ind w:left="480" w:hanging="247"/>
        <w:spacing w:after="0" w:line="207" w:lineRule="exact"/>
        <w:tabs>
          <w:tab w:leader="none" w:pos="4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or under the laws of any State</w:t>
      </w:r>
    </w:p>
    <w:p>
      <w:pPr>
        <w:spacing w:after="0" w:line="150" w:lineRule="exact"/>
        <w:rPr>
          <w:sz w:val="20"/>
          <w:szCs w:val="20"/>
          <w:color w:val="auto"/>
        </w:rPr>
      </w:pPr>
    </w:p>
    <w:p>
      <w:pPr>
        <w:ind w:left="700" w:right="260" w:hanging="426"/>
        <w:spacing w:after="0" w:line="277" w:lineRule="auto"/>
        <w:tabs>
          <w:tab w:leader="none" w:pos="551" w:val="left"/>
        </w:tabs>
        <w:numPr>
          <w:ilvl w:val="2"/>
          <w:numId w:val="6"/>
        </w:numPr>
        <w:rPr>
          <w:rFonts w:ascii="Arial" w:cs="Arial" w:eastAsia="Arial" w:hAnsi="Arial"/>
          <w:sz w:val="18"/>
          <w:szCs w:val="18"/>
          <w:color w:val="auto"/>
        </w:rPr>
      </w:pPr>
      <w:r>
        <w:rPr>
          <w:rFonts w:ascii="Arial" w:cs="Arial" w:eastAsia="Arial" w:hAnsi="Arial"/>
          <w:sz w:val="18"/>
          <w:szCs w:val="18"/>
          <w:color w:val="auto"/>
        </w:rPr>
        <w:t>o Employee Benefit Plan, Pension fund which is subject to the provisions of the Employee Retirement Income Security Act of 1974 or Endowment Fund; see Section 240.13d-1(b)(1)(ii)(F)</w:t>
      </w:r>
    </w:p>
    <w:p>
      <w:pPr>
        <w:spacing w:after="0" w:line="29" w:lineRule="exact"/>
        <w:rPr>
          <w:rFonts w:ascii="Arial" w:cs="Arial" w:eastAsia="Arial" w:hAnsi="Arial"/>
          <w:sz w:val="18"/>
          <w:szCs w:val="18"/>
          <w:color w:val="auto"/>
        </w:rPr>
      </w:pPr>
    </w:p>
    <w:p>
      <w:pPr>
        <w:ind w:left="480" w:hanging="247"/>
        <w:spacing w:after="0" w:line="207" w:lineRule="exact"/>
        <w:tabs>
          <w:tab w:leader="none" w:pos="4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240.13d-1(b)(ii)(G) (Note: See Item 7)</w:t>
      </w:r>
    </w:p>
    <w:p>
      <w:pPr>
        <w:spacing w:after="0" w:line="149" w:lineRule="exact"/>
        <w:rPr>
          <w:rFonts w:ascii="Arial" w:cs="Arial" w:eastAsia="Arial" w:hAnsi="Arial"/>
          <w:sz w:val="18"/>
          <w:szCs w:val="18"/>
          <w:color w:val="auto"/>
        </w:rPr>
      </w:pPr>
    </w:p>
    <w:p>
      <w:pPr>
        <w:ind w:left="480" w:hanging="247"/>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17" w:lineRule="exact"/>
        <w:rPr>
          <w:rFonts w:ascii="Arial" w:cs="Arial" w:eastAsia="Arial" w:hAnsi="Arial"/>
          <w:sz w:val="18"/>
          <w:szCs w:val="18"/>
          <w:color w:val="auto"/>
        </w:rPr>
      </w:pPr>
    </w:p>
    <w:p>
      <w:pPr>
        <w:ind w:left="540" w:hanging="26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 of 1940</w:t>
      </w:r>
    </w:p>
    <w:p>
      <w:pPr>
        <w:spacing w:after="0" w:line="128" w:lineRule="exact"/>
        <w:rPr>
          <w:rFonts w:ascii="Arial" w:cs="Arial" w:eastAsia="Arial" w:hAnsi="Arial"/>
          <w:sz w:val="17"/>
          <w:szCs w:val="17"/>
          <w:color w:val="auto"/>
        </w:rPr>
      </w:pPr>
    </w:p>
    <w:p>
      <w:pPr>
        <w:ind w:left="440" w:hanging="207"/>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708062104</w:t>
            </w:r>
          </w:p>
        </w:tc>
        <w:tc>
          <w:tcPr>
            <w:tcW w:w="4300" w:type="dxa"/>
            <w:vAlign w:val="bottom"/>
          </w:tcPr>
          <w:p>
            <w:pPr>
              <w:ind w:left="266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4.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1,622,891*</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6.29%*</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420" w:hanging="386"/>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420" w:hanging="386"/>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1,622,891*</w:t>
      </w:r>
    </w:p>
    <w:p>
      <w:pPr>
        <w:spacing w:after="0" w:line="130" w:lineRule="exact"/>
        <w:rPr>
          <w:rFonts w:ascii="Arial" w:cs="Arial" w:eastAsia="Arial" w:hAnsi="Arial"/>
          <w:sz w:val="18"/>
          <w:szCs w:val="18"/>
          <w:color w:val="auto"/>
        </w:rPr>
      </w:pPr>
    </w:p>
    <w:p>
      <w:pPr>
        <w:ind w:left="1420" w:hanging="386"/>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420" w:hanging="386"/>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1,622,891*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180" w:right="180" w:hanging="172"/>
        <w:spacing w:after="0" w:line="319"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shares reported above include shares beneficially owned by investment companies, pooled investment vehicles and other accounts for which Clough Capital Partners L.P. serves as investment adviser. Such shares may be deemed beneficially owner by (a) Clough Capital Partners L.P., (b) 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 The share holding and percent of class data set forth above is reported as of the date of the filing of this statement on Schedule 13G.</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00" w:right="80" w:hanging="643"/>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708062104</w:t>
            </w:r>
          </w:p>
        </w:tc>
        <w:tc>
          <w:tcPr>
            <w:tcW w:w="4300" w:type="dxa"/>
            <w:vAlign w:val="bottom"/>
          </w:tcPr>
          <w:p>
            <w:pPr>
              <w:ind w:left="266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17" w:lineRule="exact"/>
        <w:rPr>
          <w:sz w:val="20"/>
          <w:szCs w:val="20"/>
          <w:color w:val="auto"/>
        </w:rPr>
      </w:pPr>
    </w:p>
    <w:p>
      <w:pPr>
        <w:jc w:val="both"/>
        <w:ind w:right="140" w:firstLine="22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708062104</w:t>
            </w:r>
          </w:p>
        </w:tc>
        <w:tc>
          <w:tcPr>
            <w:tcW w:w="4280" w:type="dxa"/>
            <w:vAlign w:val="bottom"/>
          </w:tcPr>
          <w:p>
            <w:pPr>
              <w:ind w:left="2660"/>
              <w:spacing w:after="0"/>
              <w:rPr>
                <w:sz w:val="20"/>
                <w:szCs w:val="20"/>
                <w:color w:val="auto"/>
              </w:rPr>
            </w:pPr>
            <w:r>
              <w:rPr>
                <w:rFonts w:ascii="Arial" w:cs="Arial" w:eastAsia="Arial" w:hAnsi="Arial"/>
                <w:sz w:val="18"/>
                <w:szCs w:val="18"/>
                <w:color w:val="auto"/>
              </w:rPr>
              <w:t>13G</w:t>
            </w:r>
          </w:p>
        </w:tc>
        <w:tc>
          <w:tcPr>
            <w:tcW w:w="18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Clough Capital Partners LLC,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E. Canty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Charles I. Clough, Jr.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Charles I. Clough, Jr.,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James E. Canty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E. Canty,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Eric A. Brock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Eric A. Brock,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 w:name="page11"/>
    <w:bookmarkEnd w:id="10"/>
    <w:p>
      <w:pPr>
        <w:ind w:left="10760"/>
        <w:spacing w:after="0"/>
        <w:rPr>
          <w:sz w:val="20"/>
          <w:szCs w:val="20"/>
          <w:color w:val="auto"/>
        </w:rPr>
      </w:pPr>
      <w:r>
        <w:rPr>
          <w:rFonts w:ascii="Arial" w:cs="Arial" w:eastAsia="Arial" w:hAnsi="Arial"/>
          <w:sz w:val="17"/>
          <w:szCs w:val="17"/>
          <w:color w:val="auto"/>
        </w:rPr>
        <w:t>Exhibit 1</w:t>
      </w:r>
    </w:p>
    <w:p>
      <w:pPr>
        <w:spacing w:after="0" w:line="129"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This statement on Schedule 13G (and any amendments hereto) is filed by (a) Clough Capital Partners L.P., (b) Clough Capital Partners LLC, the general partner of Clough Capital Partners L.P., and (c) each of Charles I. Clough, Jr., James E. Canty and Eric A. Brock, the managing members of Clough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Joint Filing Agreement, dated as of February 9, 2010,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PennantPark Investment Corporation., a Maryland corporation, beneficially owned by them from time to time.</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6"/>
          </w:tcPr>
          <w:p>
            <w:pPr>
              <w:spacing w:after="0"/>
              <w:rPr>
                <w:sz w:val="20"/>
                <w:szCs w:val="20"/>
                <w:color w:val="auto"/>
              </w:rPr>
            </w:pPr>
            <w:r>
              <w:rPr>
                <w:rFonts w:ascii="Arial" w:cs="Arial" w:eastAsia="Arial" w:hAnsi="Arial"/>
                <w:sz w:val="18"/>
                <w:szCs w:val="18"/>
                <w:color w:val="auto"/>
              </w:rPr>
              <w:t>CLOUGH CAPITAL PARTNERS L.P.</w:t>
            </w:r>
          </w:p>
        </w:tc>
        <w:tc>
          <w:tcPr>
            <w:tcW w:w="6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5"/>
          </w:tcPr>
          <w:p>
            <w:pPr>
              <w:ind w:left="20"/>
              <w:spacing w:after="0"/>
              <w:rPr>
                <w:sz w:val="20"/>
                <w:szCs w:val="20"/>
                <w:color w:val="auto"/>
              </w:rPr>
            </w:pPr>
            <w:r>
              <w:rPr>
                <w:rFonts w:ascii="Arial" w:cs="Arial" w:eastAsia="Arial" w:hAnsi="Arial"/>
                <w:sz w:val="18"/>
                <w:szCs w:val="18"/>
                <w:color w:val="auto"/>
              </w:rPr>
              <w:t>Clough Capital Partners LLC,</w:t>
            </w:r>
          </w:p>
        </w:tc>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I. Clough, Jr.</w:t>
            </w:r>
          </w:p>
        </w:tc>
      </w:tr>
      <w:tr>
        <w:trPr>
          <w:trHeight w:val="224"/>
        </w:trPr>
        <w:tc>
          <w:tcPr>
            <w:tcW w:w="280" w:type="dxa"/>
            <w:vAlign w:val="bottom"/>
          </w:tcPr>
          <w:p>
            <w:pPr>
              <w:spacing w:after="0"/>
              <w:rPr>
                <w:sz w:val="19"/>
                <w:szCs w:val="19"/>
                <w:color w:val="auto"/>
              </w:rPr>
            </w:pPr>
          </w:p>
        </w:tc>
        <w:tc>
          <w:tcPr>
            <w:tcW w:w="5480" w:type="dxa"/>
            <w:vAlign w:val="bottom"/>
            <w:gridSpan w:val="5"/>
          </w:tcPr>
          <w:p>
            <w:pPr>
              <w:ind w:left="40"/>
              <w:spacing w:after="0"/>
              <w:rPr>
                <w:sz w:val="20"/>
                <w:szCs w:val="20"/>
                <w:color w:val="auto"/>
              </w:rPr>
            </w:pPr>
            <w:r>
              <w:rPr>
                <w:rFonts w:ascii="Arial" w:cs="Arial" w:eastAsia="Arial" w:hAnsi="Arial"/>
                <w:sz w:val="18"/>
                <w:szCs w:val="18"/>
                <w:color w:val="auto"/>
              </w:rPr>
              <w:t>its general partner</w:t>
            </w:r>
          </w:p>
        </w:tc>
        <w:tc>
          <w:tcPr>
            <w:tcW w:w="5660" w:type="dxa"/>
            <w:vAlign w:val="bottom"/>
            <w:gridSpan w:val="2"/>
          </w:tcPr>
          <w:p>
            <w:pPr>
              <w:spacing w:after="0"/>
              <w:rPr>
                <w:sz w:val="20"/>
                <w:szCs w:val="20"/>
                <w:color w:val="auto"/>
              </w:rPr>
            </w:pPr>
            <w:r>
              <w:rPr>
                <w:rFonts w:ascii="Arial" w:cs="Arial" w:eastAsia="Arial" w:hAnsi="Arial"/>
                <w:sz w:val="18"/>
                <w:szCs w:val="18"/>
                <w:color w:val="auto"/>
              </w:rPr>
              <w:t>Charles I. Clough, Jr., individually</w:t>
            </w:r>
          </w:p>
        </w:tc>
      </w:tr>
      <w:tr>
        <w:trPr>
          <w:trHeight w:val="431"/>
        </w:trPr>
        <w:tc>
          <w:tcPr>
            <w:tcW w:w="5760" w:type="dxa"/>
            <w:vAlign w:val="bottom"/>
            <w:gridSpan w:val="6"/>
          </w:tcPr>
          <w:p>
            <w:pPr>
              <w:spacing w:after="0"/>
              <w:rPr>
                <w:sz w:val="20"/>
                <w:szCs w:val="20"/>
                <w:color w:val="auto"/>
              </w:rPr>
            </w:pPr>
            <w:r>
              <w:rPr>
                <w:rFonts w:ascii="Arial" w:cs="Arial" w:eastAsia="Arial" w:hAnsi="Arial"/>
                <w:sz w:val="18"/>
                <w:szCs w:val="18"/>
                <w:color w:val="auto"/>
              </w:rPr>
              <w:t>By:  /s/ James E. Canty</w:t>
            </w:r>
          </w:p>
        </w:tc>
        <w:tc>
          <w:tcPr>
            <w:tcW w:w="6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 James E. Canty</w:t>
            </w:r>
          </w:p>
        </w:tc>
      </w:tr>
      <w:tr>
        <w:trPr>
          <w:trHeight w:val="209"/>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E. Canty,</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 individually</w:t>
            </w: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a managing member</w:t>
            </w:r>
          </w:p>
        </w:tc>
        <w:tc>
          <w:tcPr>
            <w:tcW w:w="6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5760" w:type="dxa"/>
            <w:vAlign w:val="bottom"/>
            <w:gridSpan w:val="6"/>
          </w:tcPr>
          <w:p>
            <w:pPr>
              <w:spacing w:after="0"/>
              <w:rPr>
                <w:sz w:val="20"/>
                <w:szCs w:val="20"/>
                <w:color w:val="auto"/>
              </w:rPr>
            </w:pPr>
            <w:r>
              <w:rPr>
                <w:rFonts w:ascii="Arial" w:cs="Arial" w:eastAsia="Arial" w:hAnsi="Arial"/>
                <w:sz w:val="18"/>
                <w:szCs w:val="18"/>
                <w:color w:val="auto"/>
              </w:rPr>
              <w:t>CLOUGH CAPITAL PARTNERS LLC</w:t>
            </w:r>
          </w:p>
        </w:tc>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A. Brock</w:t>
            </w:r>
          </w:p>
        </w:tc>
      </w:tr>
      <w:tr>
        <w:trPr>
          <w:trHeight w:val="224"/>
        </w:trPr>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Eric A. Brock, individually</w:t>
            </w:r>
          </w:p>
        </w:tc>
      </w:tr>
      <w:tr>
        <w:trPr>
          <w:trHeight w:val="647"/>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3"/>
          </w:tcPr>
          <w:p>
            <w:pPr>
              <w:ind w:left="660"/>
              <w:spacing w:after="0"/>
              <w:rPr>
                <w:sz w:val="20"/>
                <w:szCs w:val="20"/>
                <w:color w:val="auto"/>
              </w:rPr>
            </w:pPr>
            <w:r>
              <w:rPr>
                <w:rFonts w:ascii="Arial" w:cs="Arial" w:eastAsia="Arial" w:hAnsi="Arial"/>
                <w:sz w:val="18"/>
                <w:szCs w:val="18"/>
                <w:color w:val="auto"/>
              </w:rPr>
              <w:t>/s/ James E. Canty</w:t>
            </w:r>
          </w:p>
        </w:tc>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E. Canty,</w:t>
            </w:r>
          </w:p>
        </w:tc>
        <w:tc>
          <w:tcPr>
            <w:tcW w:w="13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0"/>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a managing member</w:t>
            </w:r>
          </w:p>
        </w:tc>
        <w:tc>
          <w:tcPr>
            <w:tcW w:w="60" w:type="dxa"/>
            <w:vAlign w:val="bottom"/>
          </w:tcPr>
          <w:p>
            <w:pPr>
              <w:spacing w:after="0"/>
              <w:rPr>
                <w:sz w:val="20"/>
                <w:szCs w:val="20"/>
                <w:color w:val="auto"/>
              </w:rPr>
            </w:pPr>
          </w:p>
        </w:tc>
        <w:tc>
          <w:tcPr>
            <w:tcW w:w="56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lvl w:ilvl="1">
      <w:lvlJc w:val="left"/>
      <w:lvlText w:val="(%2)"/>
      <w:numFmt w:val="lowerRoman"/>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6">
    <w:nsid w:val="515F007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7">
    <w:nsid w:val="5BD062C2"/>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2019-12-11T03:31:32Z</dcterms:created>
  <dcterms:modified xsi:type="dcterms:W3CDTF">2019-12-11T03:31:32Z</dcterms:modified>
</cp:coreProperties>
</file>