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107315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104140" cy="105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46"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SEPTEMBER 30, 2009</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560" w:right="140" w:hanging="552"/>
        <w:spacing w:after="0" w:line="256" w:lineRule="auto"/>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01" w:lineRule="exact"/>
        <w:rPr>
          <w:sz w:val="24"/>
          <w:szCs w:val="24"/>
          <w:color w:val="auto"/>
        </w:rPr>
      </w:pPr>
    </w:p>
    <w:p>
      <w:pPr>
        <w:ind w:left="580"/>
        <w:spacing w:after="0"/>
        <w:tabs>
          <w:tab w:leader="none" w:pos="4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2463800</wp:posOffset>
            </wp:positionH>
            <wp:positionV relativeFrom="paragraph">
              <wp:posOffset>-10160</wp:posOffset>
            </wp:positionV>
            <wp:extent cx="15519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1940" cy="8255"/>
                    </a:xfrm>
                    <a:prstGeom prst="rect">
                      <a:avLst/>
                    </a:prstGeom>
                    <a:noFill/>
                  </pic:spPr>
                </pic:pic>
              </a:graphicData>
            </a:graphic>
          </wp:anchor>
        </w:drawing>
      </w:r>
    </w:p>
    <w:p>
      <w:pPr>
        <w:spacing w:after="0" w:line="15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117475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PENNANTPARK INVESTMENT CORPORATION</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6440" w:type="dxa"/>
            <w:vAlign w:val="bottom"/>
            <w:gridSpan w:val="3"/>
          </w:tcPr>
          <w:p>
            <w:pPr>
              <w:jc w:val="center"/>
              <w:ind w:right="1720"/>
              <w:spacing w:after="0"/>
              <w:rPr>
                <w:sz w:val="20"/>
                <w:szCs w:val="20"/>
                <w:color w:val="auto"/>
              </w:rPr>
            </w:pPr>
            <w:r>
              <w:rPr>
                <w:rFonts w:ascii="Arial" w:cs="Arial" w:eastAsia="Arial" w:hAnsi="Arial"/>
                <w:sz w:val="18"/>
                <w:szCs w:val="18"/>
                <w:b w:val="1"/>
                <w:bCs w:val="1"/>
                <w:color w:val="auto"/>
              </w:rPr>
              <w:t>MARYLAND</w:t>
            </w:r>
          </w:p>
        </w:tc>
        <w:tc>
          <w:tcPr>
            <w:tcW w:w="2620" w:type="dxa"/>
            <w:vAlign w:val="bottom"/>
            <w:gridSpan w:val="2"/>
          </w:tcPr>
          <w:p>
            <w:pPr>
              <w:jc w:val="right"/>
              <w:ind w:right="452"/>
              <w:spacing w:after="0"/>
              <w:rPr>
                <w:sz w:val="20"/>
                <w:szCs w:val="20"/>
                <w:color w:val="auto"/>
              </w:rPr>
            </w:pPr>
            <w:r>
              <w:rPr>
                <w:rFonts w:ascii="Arial" w:cs="Arial" w:eastAsia="Arial" w:hAnsi="Arial"/>
                <w:sz w:val="18"/>
                <w:szCs w:val="18"/>
                <w:b w:val="1"/>
                <w:bCs w:val="1"/>
                <w:color w:val="auto"/>
              </w:rPr>
              <w:t>20-8250744</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148"/>
        </w:trPr>
        <w:tc>
          <w:tcPr>
            <w:tcW w:w="6440" w:type="dxa"/>
            <w:vAlign w:val="bottom"/>
            <w:gridSpan w:val="3"/>
          </w:tcPr>
          <w:p>
            <w:pPr>
              <w:jc w:val="center"/>
              <w:ind w:right="1720"/>
              <w:spacing w:after="0"/>
              <w:rPr>
                <w:sz w:val="20"/>
                <w:szCs w:val="20"/>
                <w:color w:val="auto"/>
              </w:rPr>
            </w:pPr>
            <w:r>
              <w:rPr>
                <w:rFonts w:ascii="Arial" w:cs="Arial" w:eastAsia="Arial" w:hAnsi="Arial"/>
                <w:sz w:val="13"/>
                <w:szCs w:val="13"/>
                <w:b w:val="1"/>
                <w:bCs w:val="1"/>
                <w:color w:val="auto"/>
                <w:w w:val="94"/>
              </w:rPr>
              <w:t>(State or other jurisdiction of</w:t>
            </w:r>
          </w:p>
        </w:tc>
        <w:tc>
          <w:tcPr>
            <w:tcW w:w="2620" w:type="dxa"/>
            <w:vAlign w:val="bottom"/>
            <w:gridSpan w:val="2"/>
          </w:tcPr>
          <w:p>
            <w:pPr>
              <w:jc w:val="center"/>
              <w:ind w:left="604"/>
              <w:spacing w:after="0"/>
              <w:rPr>
                <w:sz w:val="20"/>
                <w:szCs w:val="20"/>
                <w:color w:val="auto"/>
              </w:rPr>
            </w:pPr>
            <w:r>
              <w:rPr>
                <w:rFonts w:ascii="Arial" w:cs="Arial" w:eastAsia="Arial" w:hAnsi="Arial"/>
                <w:sz w:val="13"/>
                <w:szCs w:val="13"/>
                <w:b w:val="1"/>
                <w:bCs w:val="1"/>
                <w:color w:val="auto"/>
                <w:w w:val="98"/>
              </w:rPr>
              <w:t>(I.R.S. Employer</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74"/>
        </w:trPr>
        <w:tc>
          <w:tcPr>
            <w:tcW w:w="6440" w:type="dxa"/>
            <w:vAlign w:val="bottom"/>
            <w:gridSpan w:val="3"/>
          </w:tcPr>
          <w:p>
            <w:pPr>
              <w:jc w:val="center"/>
              <w:ind w:right="1720"/>
              <w:spacing w:after="0"/>
              <w:rPr>
                <w:sz w:val="20"/>
                <w:szCs w:val="20"/>
                <w:color w:val="auto"/>
              </w:rPr>
            </w:pPr>
            <w:r>
              <w:rPr>
                <w:rFonts w:ascii="Arial" w:cs="Arial" w:eastAsia="Arial" w:hAnsi="Arial"/>
                <w:sz w:val="13"/>
                <w:szCs w:val="13"/>
                <w:b w:val="1"/>
                <w:bCs w:val="1"/>
                <w:color w:val="auto"/>
                <w:w w:val="94"/>
              </w:rPr>
              <w:t>incorporation or organization)</w:t>
            </w:r>
          </w:p>
        </w:tc>
        <w:tc>
          <w:tcPr>
            <w:tcW w:w="2620" w:type="dxa"/>
            <w:vAlign w:val="bottom"/>
            <w:gridSpan w:val="2"/>
          </w:tcPr>
          <w:p>
            <w:pPr>
              <w:jc w:val="center"/>
              <w:ind w:left="604"/>
              <w:spacing w:after="0"/>
              <w:rPr>
                <w:sz w:val="20"/>
                <w:szCs w:val="20"/>
                <w:color w:val="auto"/>
              </w:rPr>
            </w:pPr>
            <w:r>
              <w:rPr>
                <w:rFonts w:ascii="Arial" w:cs="Arial" w:eastAsia="Arial" w:hAnsi="Arial"/>
                <w:sz w:val="13"/>
                <w:szCs w:val="13"/>
                <w:b w:val="1"/>
                <w:bCs w:val="1"/>
                <w:color w:val="auto"/>
                <w:w w:val="96"/>
              </w:rPr>
              <w:t>Identification No.)</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418"/>
        </w:trPr>
        <w:tc>
          <w:tcPr>
            <w:tcW w:w="6440" w:type="dxa"/>
            <w:vAlign w:val="bottom"/>
            <w:gridSpan w:val="3"/>
          </w:tcPr>
          <w:p>
            <w:pPr>
              <w:jc w:val="center"/>
              <w:ind w:right="1720"/>
              <w:spacing w:after="0"/>
              <w:rPr>
                <w:sz w:val="20"/>
                <w:szCs w:val="20"/>
                <w:color w:val="auto"/>
              </w:rPr>
            </w:pPr>
            <w:r>
              <w:rPr>
                <w:rFonts w:ascii="Arial" w:cs="Arial" w:eastAsia="Arial" w:hAnsi="Arial"/>
                <w:sz w:val="18"/>
                <w:szCs w:val="18"/>
                <w:b w:val="1"/>
                <w:bCs w:val="1"/>
                <w:color w:val="auto"/>
                <w:w w:val="87"/>
              </w:rPr>
              <w:t>590 Madison Avenue,</w:t>
            </w:r>
          </w:p>
        </w:tc>
        <w:tc>
          <w:tcPr>
            <w:tcW w:w="1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1"/>
        </w:trPr>
        <w:tc>
          <w:tcPr>
            <w:tcW w:w="6440" w:type="dxa"/>
            <w:vAlign w:val="bottom"/>
            <w:gridSpan w:val="3"/>
          </w:tcPr>
          <w:p>
            <w:pPr>
              <w:jc w:val="center"/>
              <w:ind w:right="1720"/>
              <w:spacing w:after="0"/>
              <w:rPr>
                <w:sz w:val="20"/>
                <w:szCs w:val="20"/>
                <w:color w:val="auto"/>
              </w:rPr>
            </w:pPr>
            <w:r>
              <w:rPr>
                <w:rFonts w:ascii="Arial" w:cs="Arial" w:eastAsia="Arial" w:hAnsi="Arial"/>
                <w:sz w:val="18"/>
                <w:szCs w:val="18"/>
                <w:b w:val="1"/>
                <w:bCs w:val="1"/>
                <w:color w:val="auto"/>
                <w:w w:val="90"/>
              </w:rPr>
              <w:t>15</w:t>
            </w:r>
            <w:r>
              <w:rPr>
                <w:rFonts w:ascii="Arial" w:cs="Arial" w:eastAsia="Arial" w:hAnsi="Arial"/>
                <w:sz w:val="11"/>
                <w:szCs w:val="11"/>
                <w:b w:val="1"/>
                <w:bCs w:val="1"/>
                <w:color w:val="auto"/>
                <w:w w:val="90"/>
              </w:rPr>
              <w:t>th</w:t>
            </w:r>
            <w:r>
              <w:rPr>
                <w:rFonts w:ascii="Arial" w:cs="Arial" w:eastAsia="Arial" w:hAnsi="Arial"/>
                <w:sz w:val="18"/>
                <w:szCs w:val="18"/>
                <w:b w:val="1"/>
                <w:bCs w:val="1"/>
                <w:color w:val="auto"/>
                <w:w w:val="90"/>
              </w:rPr>
              <w:t xml:space="preserve"> Floor New York, N.Y.</w:t>
            </w:r>
          </w:p>
        </w:tc>
        <w:tc>
          <w:tcPr>
            <w:tcW w:w="1960" w:type="dxa"/>
            <w:vAlign w:val="bottom"/>
          </w:tcPr>
          <w:p>
            <w:pPr>
              <w:jc w:val="right"/>
              <w:ind w:right="24"/>
              <w:spacing w:after="0"/>
              <w:rPr>
                <w:sz w:val="20"/>
                <w:szCs w:val="20"/>
                <w:color w:val="auto"/>
              </w:rPr>
            </w:pPr>
            <w:r>
              <w:rPr>
                <w:rFonts w:ascii="Arial" w:cs="Arial" w:eastAsia="Arial" w:hAnsi="Arial"/>
                <w:sz w:val="18"/>
                <w:szCs w:val="18"/>
                <w:b w:val="1"/>
                <w:bCs w:val="1"/>
                <w:color w:val="auto"/>
              </w:rPr>
              <w:t>10022</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174"/>
        </w:trPr>
        <w:tc>
          <w:tcPr>
            <w:tcW w:w="6440" w:type="dxa"/>
            <w:vAlign w:val="bottom"/>
            <w:gridSpan w:val="3"/>
          </w:tcPr>
          <w:p>
            <w:pPr>
              <w:jc w:val="center"/>
              <w:ind w:right="1720"/>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2620" w:type="dxa"/>
            <w:vAlign w:val="bottom"/>
            <w:gridSpan w:val="2"/>
          </w:tcPr>
          <w:p>
            <w:pPr>
              <w:jc w:val="center"/>
              <w:ind w:left="604"/>
              <w:spacing w:after="0"/>
              <w:rPr>
                <w:sz w:val="20"/>
                <w:szCs w:val="20"/>
                <w:color w:val="auto"/>
              </w:rPr>
            </w:pPr>
            <w:r>
              <w:rPr>
                <w:rFonts w:ascii="Arial" w:cs="Arial" w:eastAsia="Arial" w:hAnsi="Arial"/>
                <w:sz w:val="13"/>
                <w:szCs w:val="13"/>
                <w:b w:val="1"/>
                <w:bCs w:val="1"/>
                <w:color w:val="auto"/>
                <w:w w:val="96"/>
              </w:rPr>
              <w:t>(Zip Code)</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363"/>
        </w:trPr>
        <w:tc>
          <w:tcPr>
            <w:tcW w:w="1960" w:type="dxa"/>
            <w:vAlign w:val="bottom"/>
          </w:tcPr>
          <w:p>
            <w:pPr>
              <w:spacing w:after="0"/>
              <w:rPr>
                <w:sz w:val="24"/>
                <w:szCs w:val="24"/>
                <w:color w:val="auto"/>
              </w:rPr>
            </w:pPr>
          </w:p>
        </w:tc>
        <w:tc>
          <w:tcPr>
            <w:tcW w:w="6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Registrant’s telephone number, including area code (212)-905-1000</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78"/>
        </w:trPr>
        <w:tc>
          <w:tcPr>
            <w:tcW w:w="1960" w:type="dxa"/>
            <w:vAlign w:val="bottom"/>
          </w:tcPr>
          <w:p>
            <w:pPr>
              <w:spacing w:after="0"/>
              <w:rPr>
                <w:sz w:val="24"/>
                <w:szCs w:val="24"/>
                <w:color w:val="auto"/>
              </w:rPr>
            </w:pPr>
          </w:p>
        </w:tc>
        <w:tc>
          <w:tcPr>
            <w:tcW w:w="6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53"/>
        </w:trPr>
        <w:tc>
          <w:tcPr>
            <w:tcW w:w="1960" w:type="dxa"/>
            <w:vAlign w:val="bottom"/>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Title of Each Class</w:t>
            </w:r>
          </w:p>
        </w:tc>
        <w:tc>
          <w:tcPr>
            <w:tcW w:w="3320" w:type="dxa"/>
            <w:vAlign w:val="bottom"/>
          </w:tcPr>
          <w:p>
            <w:pPr>
              <w:spacing w:after="0"/>
              <w:rPr>
                <w:sz w:val="24"/>
                <w:szCs w:val="24"/>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3"/>
              </w:rPr>
              <w:t>Name of Each Exchange on Which Registered</w:t>
            </w:r>
          </w:p>
        </w:tc>
        <w:tc>
          <w:tcPr>
            <w:tcW w:w="480" w:type="dxa"/>
            <w:vAlign w:val="bottom"/>
          </w:tcPr>
          <w:p>
            <w:pPr>
              <w:spacing w:after="0"/>
              <w:rPr>
                <w:sz w:val="24"/>
                <w:szCs w:val="24"/>
                <w:color w:val="auto"/>
              </w:rPr>
            </w:pPr>
          </w:p>
        </w:tc>
      </w:tr>
      <w:tr>
        <w:trPr>
          <w:trHeight w:val="216"/>
        </w:trPr>
        <w:tc>
          <w:tcPr>
            <w:tcW w:w="6440" w:type="dxa"/>
            <w:vAlign w:val="bottom"/>
            <w:gridSpan w:val="3"/>
          </w:tcPr>
          <w:p>
            <w:pPr>
              <w:jc w:val="center"/>
              <w:ind w:right="1360"/>
              <w:spacing w:after="0"/>
              <w:rPr>
                <w:sz w:val="20"/>
                <w:szCs w:val="20"/>
                <w:color w:val="auto"/>
              </w:rPr>
            </w:pPr>
            <w:r>
              <w:rPr>
                <w:rFonts w:ascii="Arial" w:cs="Arial" w:eastAsia="Arial" w:hAnsi="Arial"/>
                <w:sz w:val="18"/>
                <w:szCs w:val="18"/>
                <w:color w:val="auto"/>
                <w:w w:val="87"/>
              </w:rPr>
              <w:t>Common Stock, par value $0.001 per share</w:t>
            </w:r>
          </w:p>
        </w:tc>
        <w:tc>
          <w:tcPr>
            <w:tcW w:w="3300" w:type="dxa"/>
            <w:vAlign w:val="bottom"/>
            <w:gridSpan w:val="4"/>
          </w:tcPr>
          <w:p>
            <w:pPr>
              <w:jc w:val="center"/>
              <w:ind w:right="480"/>
              <w:spacing w:after="0"/>
              <w:rPr>
                <w:sz w:val="20"/>
                <w:szCs w:val="20"/>
                <w:color w:val="auto"/>
              </w:rPr>
            </w:pPr>
            <w:r>
              <w:rPr>
                <w:rFonts w:ascii="Arial" w:cs="Arial" w:eastAsia="Arial" w:hAnsi="Arial"/>
                <w:sz w:val="18"/>
                <w:szCs w:val="18"/>
                <w:color w:val="auto"/>
                <w:w w:val="90"/>
              </w:rPr>
              <w:t>The NASDAQ Global Select Market</w:t>
            </w:r>
          </w:p>
        </w:tc>
      </w:tr>
      <w:tr>
        <w:trPr>
          <w:trHeight w:val="370"/>
        </w:trPr>
        <w:tc>
          <w:tcPr>
            <w:tcW w:w="1960" w:type="dxa"/>
            <w:vAlign w:val="bottom"/>
          </w:tcPr>
          <w:p>
            <w:pPr>
              <w:spacing w:after="0"/>
              <w:rPr>
                <w:sz w:val="24"/>
                <w:szCs w:val="24"/>
                <w:color w:val="auto"/>
              </w:rPr>
            </w:pPr>
          </w:p>
        </w:tc>
        <w:tc>
          <w:tcPr>
            <w:tcW w:w="6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98"/>
        </w:trPr>
        <w:tc>
          <w:tcPr>
            <w:tcW w:w="8400" w:type="dxa"/>
            <w:vAlign w:val="bottom"/>
            <w:gridSpan w:val="4"/>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6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8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tc>
      </w:tr>
      <w:tr>
        <w:trPr>
          <w:trHeight w:val="378"/>
        </w:trPr>
        <w:tc>
          <w:tcPr>
            <w:tcW w:w="840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8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3"/>
              </w:rPr>
              <w:t xml:space="preserve">No </w:t>
            </w:r>
            <w:r>
              <w:rPr>
                <w:rFonts w:ascii="MS PGothic" w:cs="MS PGothic" w:eastAsia="MS PGothic" w:hAnsi="MS PGothic"/>
                <w:sz w:val="18"/>
                <w:szCs w:val="18"/>
                <w:color w:val="auto"/>
                <w:w w:val="93"/>
              </w:rPr>
              <w:t>☒</w:t>
            </w:r>
            <w:r>
              <w:rPr>
                <w:rFonts w:ascii="Arial" w:cs="Arial" w:eastAsia="Arial" w:hAnsi="Arial"/>
                <w:sz w:val="18"/>
                <w:szCs w:val="18"/>
                <w:color w:val="auto"/>
                <w:w w:val="93"/>
              </w:rPr>
              <w:t>.</w:t>
            </w:r>
          </w:p>
        </w:tc>
      </w:tr>
    </w:tbl>
    <w:p>
      <w:pPr>
        <w:spacing w:after="0" w:line="136" w:lineRule="exact"/>
        <w:rPr>
          <w:sz w:val="24"/>
          <w:szCs w:val="24"/>
          <w:color w:val="auto"/>
        </w:rPr>
      </w:pPr>
    </w:p>
    <w:p>
      <w:pPr>
        <w:ind w:right="80" w:firstLine="449"/>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7" w:lineRule="exact"/>
        <w:rPr>
          <w:sz w:val="24"/>
          <w:szCs w:val="24"/>
          <w:color w:val="auto"/>
        </w:rPr>
      </w:pPr>
    </w:p>
    <w:p>
      <w:pPr>
        <w:jc w:val="both"/>
        <w:ind w:firstLine="449"/>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7" w:lineRule="exact"/>
        <w:rPr>
          <w:sz w:val="24"/>
          <w:szCs w:val="24"/>
          <w:color w:val="auto"/>
        </w:rPr>
      </w:pPr>
    </w:p>
    <w:p>
      <w:pPr>
        <w:ind w:right="320" w:firstLine="449"/>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ind w:right="260" w:firstLine="449"/>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40" w:lineRule="exact"/>
        <w:rPr>
          <w:sz w:val="24"/>
          <w:szCs w:val="24"/>
          <w:color w:val="auto"/>
        </w:rPr>
      </w:pPr>
    </w:p>
    <w:p>
      <w:pPr>
        <w:ind w:left="1700"/>
        <w:spacing w:after="0" w:line="207" w:lineRule="exact"/>
        <w:tabs>
          <w:tab w:leader="none" w:pos="5060" w:val="left"/>
          <w:tab w:leader="none" w:pos="79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71" w:lineRule="exact"/>
        <w:rPr>
          <w:sz w:val="24"/>
          <w:szCs w:val="24"/>
          <w:color w:val="auto"/>
        </w:rPr>
      </w:pPr>
    </w:p>
    <w:p>
      <w:pPr>
        <w:ind w:left="460"/>
        <w:spacing w:after="0" w:line="207" w:lineRule="exact"/>
        <w:tabs>
          <w:tab w:leader="none" w:pos="8580" w:val="left"/>
          <w:tab w:leader="none" w:pos="9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04" w:lineRule="exact"/>
        <w:rPr>
          <w:sz w:val="24"/>
          <w:szCs w:val="24"/>
          <w:color w:val="auto"/>
        </w:rPr>
      </w:pPr>
    </w:p>
    <w:p>
      <w:pPr>
        <w:ind w:firstLine="449"/>
        <w:spacing w:after="0" w:line="335" w:lineRule="auto"/>
        <w:rPr>
          <w:sz w:val="20"/>
          <w:szCs w:val="20"/>
          <w:color w:val="auto"/>
        </w:rPr>
      </w:pPr>
      <w:r>
        <w:rPr>
          <w:rFonts w:ascii="Arial" w:cs="Arial" w:eastAsia="Arial" w:hAnsi="Arial"/>
          <w:sz w:val="15"/>
          <w:szCs w:val="15"/>
          <w:color w:val="auto"/>
        </w:rPr>
        <w:t>The aggregate market value of common stock held by non-affiliates of the Registrant on September 30, 2009 based on the closing price on that date of $8.11 on the NASDAQ Global Select Market was approximately $200.1 million. For the purposes of calculating this amount only, all directors and executive officers of the Registrant have been treated as affiliates. There were 25,808,772 shares of the Registrant’s common stock outstanding as of November 18, 2009.</w:t>
      </w:r>
    </w:p>
    <w:p>
      <w:pPr>
        <w:spacing w:after="0" w:line="88" w:lineRule="exact"/>
        <w:rPr>
          <w:sz w:val="24"/>
          <w:szCs w:val="24"/>
          <w:color w:val="auto"/>
        </w:rPr>
      </w:pPr>
    </w:p>
    <w:p>
      <w:pPr>
        <w:ind w:firstLine="449"/>
        <w:spacing w:after="0" w:line="259" w:lineRule="auto"/>
        <w:rPr>
          <w:sz w:val="20"/>
          <w:szCs w:val="20"/>
          <w:color w:val="auto"/>
        </w:rPr>
      </w:pPr>
      <w:r>
        <w:rPr>
          <w:rFonts w:ascii="Arial" w:cs="Arial" w:eastAsia="Arial" w:hAnsi="Arial"/>
          <w:sz w:val="18"/>
          <w:szCs w:val="18"/>
          <w:color w:val="auto"/>
        </w:rPr>
        <w:t>Documents Incorporated by Reference: Portions of the Registrant’s Proxy Statement relating to the Registrant’s 2010 Annual Meeting of Stockholders to be filed not later than 120 days after the end of the fiscal year covered by this Annual Report on Form 10-K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30" w:right="379" w:bottom="663"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9160" w:type="dxa"/>
            <w:vAlign w:val="bottom"/>
          </w:tcPr>
          <w:p>
            <w:pPr>
              <w:jc w:val="center"/>
              <w:ind w:left="432"/>
              <w:spacing w:after="0"/>
              <w:rPr>
                <w:sz w:val="20"/>
                <w:szCs w:val="20"/>
                <w:color w:val="auto"/>
              </w:rPr>
            </w:pPr>
            <w:r>
              <w:rPr>
                <w:rFonts w:ascii="Arial" w:cs="Arial" w:eastAsia="Arial" w:hAnsi="Arial"/>
                <w:sz w:val="18"/>
                <w:szCs w:val="18"/>
                <w:b w:val="1"/>
                <w:bCs w:val="1"/>
                <w:color w:val="auto"/>
                <w:w w:val="98"/>
              </w:rPr>
              <w:t>PENNANTPARK INVESTMENT CORPORATION</w:t>
            </w:r>
          </w:p>
        </w:tc>
        <w:tc>
          <w:tcPr>
            <w:tcW w:w="130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9160" w:type="dxa"/>
            <w:vAlign w:val="bottom"/>
          </w:tcPr>
          <w:p>
            <w:pPr>
              <w:jc w:val="center"/>
              <w:ind w:left="432"/>
              <w:spacing w:after="0"/>
              <w:rPr>
                <w:sz w:val="20"/>
                <w:szCs w:val="20"/>
                <w:color w:val="auto"/>
              </w:rPr>
            </w:pPr>
            <w:r>
              <w:rPr>
                <w:rFonts w:ascii="Arial" w:cs="Arial" w:eastAsia="Arial" w:hAnsi="Arial"/>
                <w:sz w:val="18"/>
                <w:szCs w:val="18"/>
                <w:b w:val="1"/>
                <w:bCs w:val="1"/>
                <w:color w:val="auto"/>
                <w:w w:val="98"/>
              </w:rPr>
              <w:t>FORM 10-K</w:t>
            </w:r>
          </w:p>
        </w:tc>
        <w:tc>
          <w:tcPr>
            <w:tcW w:w="1300" w:type="dxa"/>
            <w:vAlign w:val="bottom"/>
          </w:tcPr>
          <w:p>
            <w:pPr>
              <w:spacing w:after="0"/>
              <w:rPr>
                <w:sz w:val="18"/>
                <w:szCs w:val="18"/>
                <w:color w:val="auto"/>
              </w:rPr>
            </w:pPr>
          </w:p>
        </w:tc>
      </w:tr>
      <w:tr>
        <w:trPr>
          <w:trHeight w:val="228"/>
        </w:trPr>
        <w:tc>
          <w:tcPr>
            <w:tcW w:w="780" w:type="dxa"/>
            <w:vAlign w:val="bottom"/>
          </w:tcPr>
          <w:p>
            <w:pPr>
              <w:spacing w:after="0"/>
              <w:rPr>
                <w:sz w:val="19"/>
                <w:szCs w:val="19"/>
                <w:color w:val="auto"/>
              </w:rPr>
            </w:pPr>
          </w:p>
        </w:tc>
        <w:tc>
          <w:tcPr>
            <w:tcW w:w="9160" w:type="dxa"/>
            <w:vAlign w:val="bottom"/>
          </w:tcPr>
          <w:p>
            <w:pPr>
              <w:jc w:val="center"/>
              <w:ind w:left="452"/>
              <w:spacing w:after="0"/>
              <w:rPr>
                <w:sz w:val="20"/>
                <w:szCs w:val="20"/>
                <w:color w:val="auto"/>
              </w:rPr>
            </w:pPr>
            <w:r>
              <w:rPr>
                <w:rFonts w:ascii="Arial" w:cs="Arial" w:eastAsia="Arial" w:hAnsi="Arial"/>
                <w:sz w:val="18"/>
                <w:szCs w:val="18"/>
                <w:b w:val="1"/>
                <w:bCs w:val="1"/>
                <w:color w:val="auto"/>
                <w:w w:val="96"/>
              </w:rPr>
              <w:t>FOR THE FISCAL YEAR ENDED SEPTEMBER 30, 2009</w:t>
            </w:r>
          </w:p>
        </w:tc>
        <w:tc>
          <w:tcPr>
            <w:tcW w:w="1300" w:type="dxa"/>
            <w:vAlign w:val="bottom"/>
          </w:tcPr>
          <w:p>
            <w:pPr>
              <w:spacing w:after="0"/>
              <w:rPr>
                <w:sz w:val="19"/>
                <w:szCs w:val="19"/>
                <w:color w:val="auto"/>
              </w:rPr>
            </w:pPr>
          </w:p>
        </w:tc>
      </w:tr>
      <w:tr>
        <w:trPr>
          <w:trHeight w:val="297"/>
        </w:trPr>
        <w:tc>
          <w:tcPr>
            <w:tcW w:w="780" w:type="dxa"/>
            <w:vAlign w:val="bottom"/>
          </w:tcPr>
          <w:p>
            <w:pPr>
              <w:spacing w:after="0"/>
              <w:rPr>
                <w:sz w:val="24"/>
                <w:szCs w:val="24"/>
                <w:color w:val="auto"/>
              </w:rPr>
            </w:pPr>
          </w:p>
        </w:tc>
        <w:tc>
          <w:tcPr>
            <w:tcW w:w="9160" w:type="dxa"/>
            <w:vAlign w:val="bottom"/>
          </w:tcPr>
          <w:p>
            <w:pPr>
              <w:jc w:val="center"/>
              <w:ind w:left="432"/>
              <w:spacing w:after="0"/>
              <w:rPr>
                <w:sz w:val="20"/>
                <w:szCs w:val="20"/>
                <w:color w:val="auto"/>
              </w:rPr>
            </w:pPr>
            <w:r>
              <w:rPr>
                <w:rFonts w:ascii="Arial" w:cs="Arial" w:eastAsia="Arial" w:hAnsi="Arial"/>
                <w:sz w:val="18"/>
                <w:szCs w:val="18"/>
                <w:b w:val="1"/>
                <w:bCs w:val="1"/>
                <w:color w:val="auto"/>
                <w:w w:val="96"/>
              </w:rPr>
              <w:t>TABLE OF CONTENTS</w:t>
            </w:r>
          </w:p>
        </w:tc>
        <w:tc>
          <w:tcPr>
            <w:tcW w:w="1300" w:type="dxa"/>
            <w:vAlign w:val="bottom"/>
          </w:tcPr>
          <w:p>
            <w:pPr>
              <w:spacing w:after="0"/>
              <w:rPr>
                <w:sz w:val="24"/>
                <w:szCs w:val="24"/>
                <w:color w:val="auto"/>
              </w:rPr>
            </w:pPr>
          </w:p>
        </w:tc>
      </w:tr>
      <w:tr>
        <w:trPr>
          <w:trHeight w:val="418"/>
        </w:trPr>
        <w:tc>
          <w:tcPr>
            <w:tcW w:w="780" w:type="dxa"/>
            <w:vAlign w:val="bottom"/>
          </w:tcPr>
          <w:p>
            <w:pPr>
              <w:spacing w:after="0"/>
              <w:rPr>
                <w:sz w:val="24"/>
                <w:szCs w:val="24"/>
                <w:color w:val="auto"/>
              </w:rPr>
            </w:pPr>
          </w:p>
        </w:tc>
        <w:tc>
          <w:tcPr>
            <w:tcW w:w="9160" w:type="dxa"/>
            <w:vAlign w:val="bottom"/>
          </w:tcPr>
          <w:p>
            <w:pPr>
              <w:jc w:val="center"/>
              <w:ind w:left="1032"/>
              <w:spacing w:after="0"/>
              <w:rPr>
                <w:sz w:val="20"/>
                <w:szCs w:val="20"/>
                <w:color w:val="auto"/>
              </w:rPr>
            </w:pPr>
            <w:r>
              <w:rPr>
                <w:rFonts w:ascii="Arial" w:cs="Arial" w:eastAsia="Arial" w:hAnsi="Arial"/>
                <w:sz w:val="18"/>
                <w:szCs w:val="18"/>
                <w:b w:val="1"/>
                <w:bCs w:val="1"/>
                <w:color w:val="auto"/>
                <w:w w:val="94"/>
              </w:rPr>
              <w:t>PART I</w:t>
            </w:r>
          </w:p>
        </w:tc>
        <w:tc>
          <w:tcPr>
            <w:tcW w:w="1300" w:type="dxa"/>
            <w:vAlign w:val="bottom"/>
          </w:tcPr>
          <w:p>
            <w:pPr>
              <w:spacing w:after="0"/>
              <w:rPr>
                <w:sz w:val="24"/>
                <w:szCs w:val="24"/>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160" w:type="dxa"/>
            <w:vAlign w:val="bottom"/>
          </w:tcPr>
          <w:p>
            <w:pPr>
              <w:ind w:left="1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Business</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24"/>
        </w:trPr>
        <w:tc>
          <w:tcPr>
            <w:tcW w:w="78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160" w:type="dxa"/>
            <w:vAlign w:val="bottom"/>
          </w:tcPr>
          <w:p>
            <w:pPr>
              <w:ind w:left="10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Risk Factors</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324"/>
        </w:trPr>
        <w:tc>
          <w:tcPr>
            <w:tcW w:w="78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9160" w:type="dxa"/>
            <w:vAlign w:val="bottom"/>
          </w:tcPr>
          <w:p>
            <w:pPr>
              <w:ind w:left="10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Unresolved Staff Comments</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324"/>
        </w:trPr>
        <w:tc>
          <w:tcPr>
            <w:tcW w:w="7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160" w:type="dxa"/>
            <w:vAlign w:val="bottom"/>
          </w:tcPr>
          <w:p>
            <w:pPr>
              <w:ind w:left="10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Properties</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324"/>
        </w:trPr>
        <w:tc>
          <w:tcPr>
            <w:tcW w:w="7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160" w:type="dxa"/>
            <w:vAlign w:val="bottom"/>
          </w:tcPr>
          <w:p>
            <w:pPr>
              <w:ind w:left="10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Legal Proceedings</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324"/>
        </w:trPr>
        <w:tc>
          <w:tcPr>
            <w:tcW w:w="7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160" w:type="dxa"/>
            <w:vAlign w:val="bottom"/>
          </w:tcPr>
          <w:p>
            <w:pPr>
              <w:ind w:left="10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Submission of Matters to a Vote of Security Holders</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324"/>
        </w:trPr>
        <w:tc>
          <w:tcPr>
            <w:tcW w:w="780" w:type="dxa"/>
            <w:vAlign w:val="bottom"/>
          </w:tcPr>
          <w:p>
            <w:pPr>
              <w:spacing w:after="0"/>
              <w:rPr>
                <w:sz w:val="24"/>
                <w:szCs w:val="24"/>
                <w:color w:val="auto"/>
              </w:rPr>
            </w:pPr>
          </w:p>
        </w:tc>
        <w:tc>
          <w:tcPr>
            <w:tcW w:w="9160" w:type="dxa"/>
            <w:vAlign w:val="bottom"/>
          </w:tcPr>
          <w:p>
            <w:pPr>
              <w:jc w:val="center"/>
              <w:ind w:left="1032"/>
              <w:spacing w:after="0"/>
              <w:rPr>
                <w:sz w:val="20"/>
                <w:szCs w:val="20"/>
                <w:color w:val="auto"/>
              </w:rPr>
            </w:pPr>
            <w:r>
              <w:rPr>
                <w:rFonts w:ascii="Arial" w:cs="Arial" w:eastAsia="Arial" w:hAnsi="Arial"/>
                <w:sz w:val="18"/>
                <w:szCs w:val="18"/>
                <w:b w:val="1"/>
                <w:bCs w:val="1"/>
                <w:color w:val="auto"/>
                <w:w w:val="99"/>
              </w:rPr>
              <w:t>PART II</w:t>
            </w:r>
          </w:p>
        </w:tc>
        <w:tc>
          <w:tcPr>
            <w:tcW w:w="1300" w:type="dxa"/>
            <w:vAlign w:val="bottom"/>
          </w:tcPr>
          <w:p>
            <w:pPr>
              <w:spacing w:after="0"/>
              <w:rPr>
                <w:sz w:val="24"/>
                <w:szCs w:val="24"/>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160" w:type="dxa"/>
            <w:vAlign w:val="bottom"/>
          </w:tcPr>
          <w:p>
            <w:pPr>
              <w:ind w:left="10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324"/>
        </w:trPr>
        <w:tc>
          <w:tcPr>
            <w:tcW w:w="7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160" w:type="dxa"/>
            <w:vAlign w:val="bottom"/>
          </w:tcPr>
          <w:p>
            <w:pPr>
              <w:ind w:left="10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Selected Financial Data</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324"/>
        </w:trPr>
        <w:tc>
          <w:tcPr>
            <w:tcW w:w="7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9160" w:type="dxa"/>
            <w:vAlign w:val="bottom"/>
          </w:tcPr>
          <w:p>
            <w:pPr>
              <w:ind w:left="10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Management’s Discussion and Analysis of Financial Condition and Results of Operations</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324"/>
        </w:trPr>
        <w:tc>
          <w:tcPr>
            <w:tcW w:w="780" w:type="dxa"/>
            <w:vAlign w:val="bottom"/>
          </w:tcPr>
          <w:p>
            <w:pPr>
              <w:spacing w:after="0"/>
              <w:rPr>
                <w:sz w:val="20"/>
                <w:szCs w:val="20"/>
                <w:color w:val="auto"/>
              </w:rPr>
            </w:pPr>
            <w:r>
              <w:rPr>
                <w:rFonts w:ascii="Arial" w:cs="Arial" w:eastAsia="Arial" w:hAnsi="Arial"/>
                <w:sz w:val="18"/>
                <w:szCs w:val="18"/>
                <w:b w:val="1"/>
                <w:bCs w:val="1"/>
                <w:color w:val="auto"/>
              </w:rPr>
              <w:t>Item 7A.</w:t>
            </w:r>
          </w:p>
        </w:tc>
        <w:tc>
          <w:tcPr>
            <w:tcW w:w="9160" w:type="dxa"/>
            <w:vAlign w:val="bottom"/>
          </w:tcPr>
          <w:p>
            <w:pPr>
              <w:ind w:left="10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Quantitative And Qualitative Disclosures About Market Risk</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324"/>
        </w:trPr>
        <w:tc>
          <w:tcPr>
            <w:tcW w:w="7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160" w:type="dxa"/>
            <w:vAlign w:val="bottom"/>
          </w:tcPr>
          <w:p>
            <w:pPr>
              <w:ind w:left="10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Financial Statements and Supplementary Data</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324"/>
        </w:trPr>
        <w:tc>
          <w:tcPr>
            <w:tcW w:w="7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9160" w:type="dxa"/>
            <w:vAlign w:val="bottom"/>
          </w:tcPr>
          <w:p>
            <w:pPr>
              <w:ind w:left="10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Changes in and Disagreements with Accountants on Accounting and Financial Disclosure</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324"/>
        </w:trPr>
        <w:tc>
          <w:tcPr>
            <w:tcW w:w="780" w:type="dxa"/>
            <w:vAlign w:val="bottom"/>
          </w:tcPr>
          <w:p>
            <w:pPr>
              <w:spacing w:after="0"/>
              <w:rPr>
                <w:sz w:val="20"/>
                <w:szCs w:val="20"/>
                <w:color w:val="auto"/>
              </w:rPr>
            </w:pPr>
            <w:r>
              <w:rPr>
                <w:rFonts w:ascii="Arial" w:cs="Arial" w:eastAsia="Arial" w:hAnsi="Arial"/>
                <w:sz w:val="18"/>
                <w:szCs w:val="18"/>
                <w:b w:val="1"/>
                <w:bCs w:val="1"/>
                <w:color w:val="auto"/>
              </w:rPr>
              <w:t>Item 9A.</w:t>
            </w:r>
          </w:p>
        </w:tc>
        <w:tc>
          <w:tcPr>
            <w:tcW w:w="9160" w:type="dxa"/>
            <w:vAlign w:val="bottom"/>
          </w:tcPr>
          <w:p>
            <w:pPr>
              <w:ind w:left="10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Controls and Procedures</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324"/>
        </w:trPr>
        <w:tc>
          <w:tcPr>
            <w:tcW w:w="780" w:type="dxa"/>
            <w:vAlign w:val="bottom"/>
          </w:tcPr>
          <w:p>
            <w:pPr>
              <w:spacing w:after="0"/>
              <w:rPr>
                <w:sz w:val="20"/>
                <w:szCs w:val="20"/>
                <w:color w:val="auto"/>
              </w:rPr>
            </w:pPr>
            <w:r>
              <w:rPr>
                <w:rFonts w:ascii="Arial" w:cs="Arial" w:eastAsia="Arial" w:hAnsi="Arial"/>
                <w:sz w:val="18"/>
                <w:szCs w:val="18"/>
                <w:b w:val="1"/>
                <w:bCs w:val="1"/>
                <w:color w:val="auto"/>
              </w:rPr>
              <w:t>Item 9B.</w:t>
            </w:r>
          </w:p>
        </w:tc>
        <w:tc>
          <w:tcPr>
            <w:tcW w:w="9160" w:type="dxa"/>
            <w:vAlign w:val="bottom"/>
          </w:tcPr>
          <w:p>
            <w:pPr>
              <w:ind w:left="10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Other Information</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324"/>
        </w:trPr>
        <w:tc>
          <w:tcPr>
            <w:tcW w:w="780" w:type="dxa"/>
            <w:vAlign w:val="bottom"/>
          </w:tcPr>
          <w:p>
            <w:pPr>
              <w:spacing w:after="0"/>
              <w:rPr>
                <w:sz w:val="24"/>
                <w:szCs w:val="24"/>
                <w:color w:val="auto"/>
              </w:rPr>
            </w:pPr>
          </w:p>
        </w:tc>
        <w:tc>
          <w:tcPr>
            <w:tcW w:w="9160" w:type="dxa"/>
            <w:vAlign w:val="bottom"/>
          </w:tcPr>
          <w:p>
            <w:pPr>
              <w:jc w:val="center"/>
              <w:ind w:left="1032"/>
              <w:spacing w:after="0"/>
              <w:rPr>
                <w:sz w:val="20"/>
                <w:szCs w:val="20"/>
                <w:color w:val="auto"/>
              </w:rPr>
            </w:pPr>
            <w:r>
              <w:rPr>
                <w:rFonts w:ascii="Arial" w:cs="Arial" w:eastAsia="Arial" w:hAnsi="Arial"/>
                <w:sz w:val="18"/>
                <w:szCs w:val="18"/>
                <w:b w:val="1"/>
                <w:bCs w:val="1"/>
                <w:color w:val="auto"/>
              </w:rPr>
              <w:t>PART III</w:t>
            </w:r>
          </w:p>
        </w:tc>
        <w:tc>
          <w:tcPr>
            <w:tcW w:w="1300" w:type="dxa"/>
            <w:vAlign w:val="bottom"/>
          </w:tcPr>
          <w:p>
            <w:pPr>
              <w:spacing w:after="0"/>
              <w:rPr>
                <w:sz w:val="24"/>
                <w:szCs w:val="24"/>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9160" w:type="dxa"/>
            <w:vAlign w:val="bottom"/>
          </w:tcPr>
          <w:p>
            <w:pPr>
              <w:ind w:left="10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Directors, Executive Officers and Corporate Governance</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63</w:t>
            </w:r>
          </w:p>
        </w:tc>
      </w:tr>
      <w:tr>
        <w:trPr>
          <w:trHeight w:val="324"/>
        </w:trPr>
        <w:tc>
          <w:tcPr>
            <w:tcW w:w="780" w:type="dxa"/>
            <w:vAlign w:val="bottom"/>
          </w:tcPr>
          <w:p>
            <w:pPr>
              <w:spacing w:after="0"/>
              <w:rPr>
                <w:sz w:val="20"/>
                <w:szCs w:val="20"/>
                <w:color w:val="auto"/>
              </w:rPr>
            </w:pPr>
            <w:r>
              <w:rPr>
                <w:rFonts w:ascii="Arial" w:cs="Arial" w:eastAsia="Arial" w:hAnsi="Arial"/>
                <w:sz w:val="18"/>
                <w:szCs w:val="18"/>
                <w:b w:val="1"/>
                <w:bCs w:val="1"/>
                <w:color w:val="auto"/>
              </w:rPr>
              <w:t>Item 11.</w:t>
            </w:r>
          </w:p>
        </w:tc>
        <w:tc>
          <w:tcPr>
            <w:tcW w:w="9160" w:type="dxa"/>
            <w:vAlign w:val="bottom"/>
          </w:tcPr>
          <w:p>
            <w:pPr>
              <w:ind w:left="10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Executive Compensation</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63</w:t>
            </w:r>
          </w:p>
        </w:tc>
      </w:tr>
      <w:tr>
        <w:trPr>
          <w:trHeight w:val="324"/>
        </w:trPr>
        <w:tc>
          <w:tcPr>
            <w:tcW w:w="780" w:type="dxa"/>
            <w:vAlign w:val="bottom"/>
          </w:tcPr>
          <w:p>
            <w:pPr>
              <w:spacing w:after="0"/>
              <w:rPr>
                <w:sz w:val="20"/>
                <w:szCs w:val="20"/>
                <w:color w:val="auto"/>
              </w:rPr>
            </w:pPr>
            <w:r>
              <w:rPr>
                <w:rFonts w:ascii="Arial" w:cs="Arial" w:eastAsia="Arial" w:hAnsi="Arial"/>
                <w:sz w:val="18"/>
                <w:szCs w:val="18"/>
                <w:b w:val="1"/>
                <w:bCs w:val="1"/>
                <w:color w:val="auto"/>
              </w:rPr>
              <w:t>Item 12.</w:t>
            </w:r>
          </w:p>
        </w:tc>
        <w:tc>
          <w:tcPr>
            <w:tcW w:w="9160" w:type="dxa"/>
            <w:vAlign w:val="bottom"/>
          </w:tcPr>
          <w:p>
            <w:pPr>
              <w:ind w:left="10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Security Ownership of Certain Beneficial Owners and Management and Related Stockholder Matters</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63</w:t>
            </w:r>
          </w:p>
        </w:tc>
      </w:tr>
      <w:tr>
        <w:trPr>
          <w:trHeight w:val="324"/>
        </w:trPr>
        <w:tc>
          <w:tcPr>
            <w:tcW w:w="780" w:type="dxa"/>
            <w:vAlign w:val="bottom"/>
          </w:tcPr>
          <w:p>
            <w:pPr>
              <w:spacing w:after="0"/>
              <w:rPr>
                <w:sz w:val="20"/>
                <w:szCs w:val="20"/>
                <w:color w:val="auto"/>
              </w:rPr>
            </w:pPr>
            <w:r>
              <w:rPr>
                <w:rFonts w:ascii="Arial" w:cs="Arial" w:eastAsia="Arial" w:hAnsi="Arial"/>
                <w:sz w:val="18"/>
                <w:szCs w:val="18"/>
                <w:b w:val="1"/>
                <w:bCs w:val="1"/>
                <w:color w:val="auto"/>
              </w:rPr>
              <w:t>Item 13.</w:t>
            </w:r>
          </w:p>
        </w:tc>
        <w:tc>
          <w:tcPr>
            <w:tcW w:w="9160" w:type="dxa"/>
            <w:vAlign w:val="bottom"/>
          </w:tcPr>
          <w:p>
            <w:pPr>
              <w:ind w:left="10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Certain Relationships and Related Transactions, and Director Independence</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63</w:t>
            </w:r>
          </w:p>
        </w:tc>
      </w:tr>
      <w:tr>
        <w:trPr>
          <w:trHeight w:val="324"/>
        </w:trPr>
        <w:tc>
          <w:tcPr>
            <w:tcW w:w="780" w:type="dxa"/>
            <w:vAlign w:val="bottom"/>
          </w:tcPr>
          <w:p>
            <w:pPr>
              <w:spacing w:after="0"/>
              <w:rPr>
                <w:sz w:val="20"/>
                <w:szCs w:val="20"/>
                <w:color w:val="auto"/>
              </w:rPr>
            </w:pPr>
            <w:r>
              <w:rPr>
                <w:rFonts w:ascii="Arial" w:cs="Arial" w:eastAsia="Arial" w:hAnsi="Arial"/>
                <w:sz w:val="18"/>
                <w:szCs w:val="18"/>
                <w:b w:val="1"/>
                <w:bCs w:val="1"/>
                <w:color w:val="auto"/>
              </w:rPr>
              <w:t>Item 14.</w:t>
            </w:r>
          </w:p>
        </w:tc>
        <w:tc>
          <w:tcPr>
            <w:tcW w:w="9160" w:type="dxa"/>
            <w:vAlign w:val="bottom"/>
          </w:tcPr>
          <w:p>
            <w:pPr>
              <w:ind w:left="10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Principal Accountant Fees and Services</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63</w:t>
            </w:r>
          </w:p>
        </w:tc>
      </w:tr>
      <w:tr>
        <w:trPr>
          <w:trHeight w:val="324"/>
        </w:trPr>
        <w:tc>
          <w:tcPr>
            <w:tcW w:w="780" w:type="dxa"/>
            <w:vAlign w:val="bottom"/>
          </w:tcPr>
          <w:p>
            <w:pPr>
              <w:spacing w:after="0"/>
              <w:rPr>
                <w:sz w:val="24"/>
                <w:szCs w:val="24"/>
                <w:color w:val="auto"/>
              </w:rPr>
            </w:pPr>
          </w:p>
        </w:tc>
        <w:tc>
          <w:tcPr>
            <w:tcW w:w="9160" w:type="dxa"/>
            <w:vAlign w:val="bottom"/>
          </w:tcPr>
          <w:p>
            <w:pPr>
              <w:jc w:val="center"/>
              <w:ind w:left="1032"/>
              <w:spacing w:after="0"/>
              <w:rPr>
                <w:sz w:val="20"/>
                <w:szCs w:val="20"/>
                <w:color w:val="auto"/>
              </w:rPr>
            </w:pPr>
            <w:r>
              <w:rPr>
                <w:rFonts w:ascii="Arial" w:cs="Arial" w:eastAsia="Arial" w:hAnsi="Arial"/>
                <w:sz w:val="18"/>
                <w:szCs w:val="18"/>
                <w:b w:val="1"/>
                <w:bCs w:val="1"/>
                <w:color w:val="auto"/>
                <w:w w:val="95"/>
              </w:rPr>
              <w:t>PART IV</w:t>
            </w:r>
          </w:p>
        </w:tc>
        <w:tc>
          <w:tcPr>
            <w:tcW w:w="1300" w:type="dxa"/>
            <w:vAlign w:val="bottom"/>
          </w:tcPr>
          <w:p>
            <w:pPr>
              <w:spacing w:after="0"/>
              <w:rPr>
                <w:sz w:val="24"/>
                <w:szCs w:val="24"/>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9160" w:type="dxa"/>
            <w:vAlign w:val="bottom"/>
          </w:tcPr>
          <w:p>
            <w:pPr>
              <w:ind w:left="10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Exhibits and Financial Statement Schedules</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64</w:t>
            </w:r>
          </w:p>
        </w:tc>
      </w:tr>
      <w:tr>
        <w:trPr>
          <w:trHeight w:val="324"/>
        </w:trPr>
        <w:tc>
          <w:tcPr>
            <w:tcW w:w="780" w:type="dxa"/>
            <w:vAlign w:val="bottom"/>
          </w:tcPr>
          <w:p>
            <w:pPr>
              <w:spacing w:after="0"/>
              <w:rPr>
                <w:sz w:val="24"/>
                <w:szCs w:val="24"/>
                <w:color w:val="auto"/>
              </w:rPr>
            </w:pPr>
          </w:p>
        </w:tc>
        <w:tc>
          <w:tcPr>
            <w:tcW w:w="9160" w:type="dxa"/>
            <w:vAlign w:val="bottom"/>
          </w:tcPr>
          <w:p>
            <w:pPr>
              <w:ind w:left="10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Signatures</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65</w:t>
            </w:r>
          </w:p>
        </w:tc>
      </w:tr>
    </w:tbl>
    <w:p>
      <w:pPr>
        <w:sectPr>
          <w:pgSz w:w="11900" w:h="16838" w:orient="portrait"/>
          <w:cols w:equalWidth="0" w:num="1">
            <w:col w:w="11240"/>
          </w:cols>
          <w:pgMar w:left="32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right="80" w:firstLine="449"/>
        <w:spacing w:after="0" w:line="314" w:lineRule="auto"/>
        <w:rPr>
          <w:sz w:val="20"/>
          <w:szCs w:val="20"/>
          <w:color w:val="auto"/>
        </w:rPr>
      </w:pPr>
      <w:r>
        <w:rPr>
          <w:rFonts w:ascii="Arial" w:cs="Arial" w:eastAsia="Arial" w:hAnsi="Arial"/>
          <w:sz w:val="15"/>
          <w:szCs w:val="15"/>
          <w:b w:val="1"/>
          <w:bCs w:val="1"/>
          <w:i w:val="1"/>
          <w:iCs w:val="1"/>
          <w:color w:val="auto"/>
        </w:rPr>
        <w:t>In this annual report on Form 10-K, except where the context suggests otherwise, the terms “we,” “us,” “our” and “PennantPark Investment” refer to PennantPark Investment Corporation; “PennantPark Investment Advisers” or the “Investment Adviser” refers to PennantPark Investment Advisers, LLC; “PennantPark Investment Administration” or the “Administrator” refers to PennantPark Investment Administration, LLC. Some of the statements in this annual report constitute forward-looking statements, which relate to future events or our future performance or financial condition. The forward-looking statements involve risks and uncertainties and our actual results could differ materially from those projected in the forward-looking statements for any reason, including those factors discussed in “Risk Factors” and elsewhere in this report, or the Report.</w:t>
      </w:r>
    </w:p>
    <w:p>
      <w:pPr>
        <w:spacing w:after="0" w:line="13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PennantPark Investment Corporation, a Maryland corporation organized on January 11, 2007, is a closed-end, externally managed, non-diversified investment company that has elected to be treated as a business development company under the Investment Company Act of 1940 (the “1940 Act”). In addition, for tax purposes we have elected to be treated as a regulated investment company (“RIC”), under the Internal Revenue Code of 1986, as amended (the “Code”).</w:t>
      </w:r>
    </w:p>
    <w:p>
      <w:pPr>
        <w:spacing w:after="0" w:line="143" w:lineRule="exact"/>
        <w:rPr>
          <w:sz w:val="20"/>
          <w:szCs w:val="20"/>
          <w:color w:val="auto"/>
        </w:rPr>
      </w:pPr>
    </w:p>
    <w:p>
      <w:pPr>
        <w:jc w:val="both"/>
        <w:ind w:right="260" w:firstLine="449"/>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 debt, second lien secured debt, certain senior secured investments, and to a lesser extent, equity investments.</w:t>
      </w:r>
    </w:p>
    <w:p>
      <w:pPr>
        <w:spacing w:after="0" w:line="106"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investments by investing approximately $10 to $50 million of capital, on average, in the securities of middle-market companies. In this Report,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20" w:lineRule="exact"/>
        <w:rPr>
          <w:sz w:val="20"/>
          <w:szCs w:val="20"/>
          <w:color w:val="auto"/>
        </w:rPr>
      </w:pPr>
    </w:p>
    <w:p>
      <w:pPr>
        <w:ind w:right="140" w:firstLine="449"/>
        <w:spacing w:after="0" w:line="309" w:lineRule="auto"/>
        <w:rPr>
          <w:sz w:val="20"/>
          <w:szCs w:val="20"/>
          <w:color w:val="auto"/>
        </w:rPr>
      </w:pPr>
      <w:r>
        <w:rPr>
          <w:rFonts w:ascii="Arial" w:cs="Arial" w:eastAsia="Arial" w:hAnsi="Arial"/>
          <w:sz w:val="15"/>
          <w:szCs w:val="15"/>
          <w:color w:val="auto"/>
        </w:rPr>
        <w:t>We are currently operating in a constrained credit market. 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has adversely affected each of these factors and has resulted in a broad-based reduction in the demand for, and valuation of, high-risk debt instruments. These conditions may present us with attractive investment opportunities, as we believe that there are many middle-market companies that need senior secured and mezzanine debt financing. However, these market conditions may also adversely affect our portfolio valuations and increase the risk of default among our portfolio companies, which could negatively impact our performance. We have used, and will continue to use, the proceeds of our public offerings of securities and of our credit facility in accordance with our investment objectives. We did not experience compromised liquidity during the recent turmoil in the global credit markets because of our ability to sell loans from our senior secured portfolio, our availability under our credit facility, and our ability to access the capital markets to issue common stock.</w:t>
      </w:r>
    </w:p>
    <w:p>
      <w:pPr>
        <w:spacing w:after="0" w:line="107" w:lineRule="exact"/>
        <w:rPr>
          <w:sz w:val="20"/>
          <w:szCs w:val="20"/>
          <w:color w:val="auto"/>
        </w:rPr>
      </w:pPr>
    </w:p>
    <w:p>
      <w:pPr>
        <w:jc w:val="both"/>
        <w:ind w:firstLine="449"/>
        <w:spacing w:after="0" w:line="294" w:lineRule="auto"/>
        <w:rPr>
          <w:sz w:val="20"/>
          <w:szCs w:val="20"/>
          <w:color w:val="auto"/>
        </w:rPr>
      </w:pPr>
      <w:r>
        <w:rPr>
          <w:rFonts w:ascii="Arial" w:cs="Arial" w:eastAsia="Arial" w:hAnsi="Arial"/>
          <w:sz w:val="16"/>
          <w:szCs w:val="16"/>
          <w:color w:val="auto"/>
        </w:rPr>
        <w:t>For the fiscal year ended September 30, 2009, we purchased $112.7 million of investments issued by eleven new and eight existing portfolio companies with an overall weighted average yield of 14.5% on debt investments. This compares to purchasing $206.8 million of investments, issued by fourteen new and two existing portfolio companies with an overall average yield of 13.8% on debt investments during the fiscal year ended September 30, 2008 and purchases of $414.0 million of investments, issued by eight new and five existing portfolio companies with an overall average yield of 13.0% on debt investments during the period April 24, 2007 (the date of our initial public offering) to September 30, 2007.</w:t>
      </w:r>
    </w:p>
    <w:p>
      <w:pPr>
        <w:spacing w:after="0" w:line="115"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For the fiscal year ended September 30, 2009, sales and repayments generated proceeds of $28.0 million. This compares to sales and repayments that generated proceeds for the fiscal year ended September 30, 2008 of $70.1 million, and for the period from January 11, 2007 (inception) through September 30, 2007 sales and repayments generated proceeds of $99.6 million.</w:t>
      </w:r>
    </w:p>
    <w:p>
      <w:pPr>
        <w:spacing w:after="0" w:line="140" w:lineRule="exact"/>
        <w:rPr>
          <w:sz w:val="20"/>
          <w:szCs w:val="20"/>
          <w:color w:val="auto"/>
        </w:rPr>
      </w:pPr>
    </w:p>
    <w:p>
      <w:pPr>
        <w:ind w:right="40" w:firstLine="341"/>
        <w:spacing w:after="0" w:line="288" w:lineRule="auto"/>
        <w:rPr>
          <w:sz w:val="20"/>
          <w:szCs w:val="20"/>
          <w:color w:val="auto"/>
        </w:rPr>
      </w:pPr>
      <w:r>
        <w:rPr>
          <w:rFonts w:ascii="Arial" w:cs="Arial" w:eastAsia="Arial" w:hAnsi="Arial"/>
          <w:sz w:val="16"/>
          <w:szCs w:val="16"/>
          <w:color w:val="auto"/>
        </w:rPr>
        <w:t>As of September 30, 2009, our portfolio totaled $469.8 million and consisted of $157.1 million of subordinated debt, $134.4 million of second lien secured debt, $150.6 million of senior secured loans and $27.7 million of preferred and common equity investments. Our core assets totaled $427.1 million and consisted of investments in thirty different companies with an average investment size of $14.2 million per company and a weighted average yield of 12.5% on debt investments. Our non-core senior secured loan portfolio totaled $42.7 million and consisted of thirteen different companies (including one company also in our core portfolio) with an average investment size of $3.3 million, and a weighted average yield of 3.1%. Our portfolio consisted of 53% fixed-rate and 47% variable-rate investments. Overall, the portfolio had an unrealized depreciation of $27.5 million. Our overall portfolio consisted of forty-two companies with an average investment size of $11.2 million, a weighted average yield on debt investments of 11.4%, and was invested 33% in subordinated debt, 29% in second lien secured debt, 32% in senior secured loans and 6% in preferred and common equity investments.</w:t>
      </w:r>
    </w:p>
    <w:p>
      <w:pPr>
        <w:spacing w:after="0" w:line="124"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As of September 30, 2008, our portfolio totaled $372.1 million and consisted of $166.2 million of subordinated debt, $104.2 million of second lien secured debt, $78.8 million of senior secured loans and $22.9 million of preferred and common equity investments. Our core assets totaled $305.5 million and consisted of investments in nineteen different companies with an average investment size of $16.1 million per company and a weighted average yield of 12.5% on debt investments. Our non-core senior secured loan portfolio totaled $66.6 million and consisted of nineteen different companies (including one company also in our core portfolio) with an average investment size of $3.5 million, and a weighted average yield of 5.2%. Our portfolio consisted of 45% fixed-rate and 55% variable-rate investments. Overall, the portfolio had an unrealized depreciation of $72.0 million. Our overall portfolio consisted of thirty-seven companies with an average investment size of $10.1 million, a weighted average yield on debt investments of 11.1%, and was invested 45% in subordinated debt, 28% in second lien secured debt, 21% in senior secured loans and 6% in preferred and common equity investments.</w:t>
      </w:r>
    </w:p>
    <w:p>
      <w:pPr>
        <w:sectPr>
          <w:pgSz w:w="11900" w:h="16838" w:orient="portrait"/>
          <w:cols w:equalWidth="0" w:num="1">
            <w:col w:w="11240"/>
          </w:cols>
          <w:pgMar w:left="320" w:top="459" w:right="3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459" w:right="3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Available</w:t>
      </w:r>
    </w:p>
    <w:p>
      <w:pPr>
        <w:spacing w:after="0" w:line="177" w:lineRule="exact"/>
        <w:rPr>
          <w:sz w:val="20"/>
          <w:szCs w:val="20"/>
          <w:color w:val="auto"/>
        </w:rPr>
      </w:pPr>
    </w:p>
    <w:p>
      <w:pPr>
        <w:ind w:right="60" w:firstLine="449"/>
        <w:spacing w:after="0" w:line="294" w:lineRule="auto"/>
        <w:rPr>
          <w:sz w:val="20"/>
          <w:szCs w:val="20"/>
          <w:color w:val="auto"/>
        </w:rPr>
      </w:pPr>
      <w:r>
        <w:rPr>
          <w:rFonts w:ascii="Arial" w:cs="Arial" w:eastAsia="Arial" w:hAnsi="Arial"/>
          <w:sz w:val="16"/>
          <w:szCs w:val="16"/>
          <w:color w:val="auto"/>
        </w:rPr>
        <w:t xml:space="preserve">Our address is 590 Madison Avenue, 15th Floor, New York, NY 10022. Our phone number is (212) 905-1000 and our internet address is </w:t>
      </w:r>
      <w:r>
        <w:rPr>
          <w:rFonts w:ascii="Arial" w:cs="Arial" w:eastAsia="Arial" w:hAnsi="Arial"/>
          <w:sz w:val="16"/>
          <w:szCs w:val="16"/>
          <w:u w:val="single" w:color="auto"/>
          <w:color w:val="auto"/>
        </w:rPr>
        <w:t>www.pennantpark.com</w:t>
      </w:r>
      <w:r>
        <w:rPr>
          <w:rFonts w:ascii="Arial" w:cs="Arial" w:eastAsia="Arial" w:hAnsi="Arial"/>
          <w:sz w:val="16"/>
          <w:szCs w:val="16"/>
          <w:color w:val="auto"/>
        </w:rPr>
        <w:t>. We make available, free of charge, on our website our annual report on Form 10-K, quarterly reports on Form 10-Q, current reports on Form 8-K and amendments to those reports as soon as reasonably practicable after we electronically file such material with, or furnish it to, the U.S. Securities and Exchange Commission, or SEC. Information contained on our website is not incorporated by reference into this annual report on Form 10-K and you should not consider information contained on our website to be part of this annual report on Form 10-K or any other report we file with the SEC.</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Structure</w:t>
      </w:r>
    </w:p>
    <w:p>
      <w:pPr>
        <w:spacing w:after="0" w:line="17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Our investment activities are managed by PennantPark Investment Advisers. Under our Investment Management Agreement, we have agreed to pay our Investment Adviser an annual base management fee based on our average adjusted gross total assets as well as an incentive fee based on our investment performance. See “Business – Investment Management Agreement.”</w:t>
      </w:r>
    </w:p>
    <w:p>
      <w:pPr>
        <w:spacing w:after="0" w:line="140" w:lineRule="exact"/>
        <w:rPr>
          <w:sz w:val="20"/>
          <w:szCs w:val="20"/>
          <w:color w:val="auto"/>
        </w:rPr>
      </w:pPr>
    </w:p>
    <w:p>
      <w:pPr>
        <w:ind w:right="80" w:firstLine="449"/>
        <w:spacing w:after="0" w:line="256" w:lineRule="auto"/>
        <w:rPr>
          <w:sz w:val="20"/>
          <w:szCs w:val="20"/>
          <w:color w:val="auto"/>
        </w:rPr>
      </w:pPr>
      <w:r>
        <w:rPr>
          <w:rFonts w:ascii="Arial" w:cs="Arial" w:eastAsia="Arial" w:hAnsi="Arial"/>
          <w:sz w:val="18"/>
          <w:szCs w:val="18"/>
          <w:color w:val="auto"/>
        </w:rPr>
        <w:t>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“Business – Administration Agreement.”</w:t>
      </w:r>
    </w:p>
    <w:p>
      <w:pPr>
        <w:spacing w:after="0" w:line="143" w:lineRule="exact"/>
        <w:rPr>
          <w:sz w:val="20"/>
          <w:szCs w:val="20"/>
          <w:color w:val="auto"/>
        </w:rPr>
      </w:pPr>
    </w:p>
    <w:p>
      <w:pPr>
        <w:ind w:right="60" w:firstLine="449"/>
        <w:spacing w:after="0" w:line="298"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 Our activities are supervised by our board of directors, a majority of whom are independent of us and our Investment Adviser.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77"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We utilize the investing experience and contacts of Arthur H. Penn, the founder of PennantPark Investment Corporation and PennantPark Investment Advisers, as well as the other investment professionals of the Investment Adviser. Mr. Penn has over 20 years of experience in the mezzanine lending, leveraged finance, distressed debt and private equity businesses. He has been involved in originating, structuring, negotiating, consummating, managing and monitoring investments in each of these businesses. Mr. Penn was a Co-founder and former Managing Partner of Apollo Investment Management, which is the investment adviser of Apollo Investment Corporation, a publicly traded business development company. Mr. Penn served as the Chief Operating Officer and a member of the investment committee of Apollo Investment from its inception in April 2004 through February 2006 and was its President and Chief Operating Officer from February 2006 through November 30, 2006.</w:t>
      </w:r>
    </w:p>
    <w:p>
      <w:pPr>
        <w:spacing w:after="0" w:line="118" w:lineRule="exact"/>
        <w:rPr>
          <w:sz w:val="20"/>
          <w:szCs w:val="20"/>
          <w:color w:val="auto"/>
        </w:rPr>
      </w:pPr>
    </w:p>
    <w:p>
      <w:pPr>
        <w:jc w:val="both"/>
        <w:ind w:right="260" w:firstLine="449"/>
        <w:spacing w:after="0" w:line="369" w:lineRule="auto"/>
        <w:rPr>
          <w:sz w:val="20"/>
          <w:szCs w:val="20"/>
          <w:color w:val="auto"/>
        </w:rPr>
      </w:pPr>
      <w:r>
        <w:rPr>
          <w:rFonts w:ascii="Arial" w:cs="Arial" w:eastAsia="Arial" w:hAnsi="Arial"/>
          <w:sz w:val="15"/>
          <w:szCs w:val="15"/>
          <w:color w:val="auto"/>
        </w:rPr>
        <w:t>During his more than 20-year career in the financial services industry, Mr. Penn has developed a network of financial sponsor relationships as well as relationships with management teams, investment bankers, attorneys and accountants, which provide us with access to substantial investment opportunities.</w:t>
      </w:r>
    </w:p>
    <w:p>
      <w:pPr>
        <w:spacing w:after="0" w:line="64"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Our Investment Adviser has three experienced investment professionals, in addition to Mr. Penn. These professionals, Geoffrey Chang, Salvatore Giannetti III and Whit Williams, have a combined 48 years of experience in the mezzanine, private equity and leveraged finance businesses. Our Administrator has experienced professionals including, Aviv Efrat, who serves as our Chief Financial Officer and Treasurer. Mr. Efrat has extensive experience in finance and administration of registered investment companies.</w:t>
      </w:r>
    </w:p>
    <w:p>
      <w:pPr>
        <w:spacing w:after="0" w:line="143" w:lineRule="exact"/>
        <w:rPr>
          <w:sz w:val="20"/>
          <w:szCs w:val="20"/>
          <w:color w:val="auto"/>
        </w:rPr>
      </w:pPr>
    </w:p>
    <w:p>
      <w:pPr>
        <w:ind w:right="80" w:firstLine="449"/>
        <w:spacing w:after="0" w:line="317" w:lineRule="auto"/>
        <w:rPr>
          <w:sz w:val="20"/>
          <w:szCs w:val="20"/>
          <w:color w:val="auto"/>
        </w:rPr>
      </w:pPr>
      <w:r>
        <w:rPr>
          <w:rFonts w:ascii="Arial" w:cs="Arial" w:eastAsia="Arial" w:hAnsi="Arial"/>
          <w:sz w:val="15"/>
          <w:szCs w:val="15"/>
          <w:color w:val="auto"/>
        </w:rPr>
        <w:t>In addition to furnishing us with clerical, bookkeeping and record keeping services, the Administrator also oversees our financial records as well as the preparation of our reports to stockholders and reports filed with the Securities and Exchange Commission, or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 See “Risk Factors—Risks Related to our Business and Structure.”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77" w:lineRule="exact"/>
        <w:rPr>
          <w:sz w:val="20"/>
          <w:szCs w:val="20"/>
          <w:color w:val="auto"/>
        </w:rPr>
      </w:pPr>
    </w:p>
    <w:p>
      <w:pPr>
        <w:ind w:right="580" w:firstLine="449"/>
        <w:spacing w:after="0" w:line="268" w:lineRule="auto"/>
        <w:rPr>
          <w:sz w:val="20"/>
          <w:szCs w:val="20"/>
          <w:color w:val="auto"/>
        </w:rPr>
      </w:pPr>
      <w:r>
        <w:rPr>
          <w:rFonts w:ascii="Arial" w:cs="Arial" w:eastAsia="Arial" w:hAnsi="Arial"/>
          <w:sz w:val="18"/>
          <w:szCs w:val="18"/>
          <w:color w:val="auto"/>
        </w:rPr>
        <w:t>We believe that the size of the middle-market companies, coupled with the demands of these companies for flexible sources of capital, creates an attractive investment environment for PennantPark Investment.</w:t>
      </w:r>
    </w:p>
    <w:p>
      <w:pPr>
        <w:spacing w:after="0" w:line="45" w:lineRule="exact"/>
        <w:rPr>
          <w:sz w:val="20"/>
          <w:szCs w:val="20"/>
          <w:color w:val="auto"/>
        </w:rPr>
      </w:pPr>
    </w:p>
    <w:p>
      <w:pPr>
        <w:ind w:left="880" w:right="100" w:hanging="319"/>
        <w:spacing w:after="0" w:line="258"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 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4" w:lineRule="exact"/>
        <w:rPr>
          <w:rFonts w:ascii="Arial" w:cs="Arial" w:eastAsia="Arial" w:hAnsi="Arial"/>
          <w:sz w:val="18"/>
          <w:szCs w:val="18"/>
          <w:color w:val="auto"/>
        </w:rPr>
      </w:pPr>
    </w:p>
    <w:p>
      <w:pPr>
        <w:ind w:left="880" w:right="240" w:hanging="319"/>
        <w:spacing w:after="0" w:line="275"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investments. </w:t>
      </w:r>
      <w:r>
        <w:rPr>
          <w:rFonts w:ascii="Arial" w:cs="Arial" w:eastAsia="Arial" w:hAnsi="Arial"/>
          <w:sz w:val="18"/>
          <w:szCs w:val="18"/>
          <w:color w:val="auto"/>
        </w:rPr>
        <w:t>The downturn in the credit market has</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less competition, more conservative capital structures, higher yields and stronger covenants.</w:t>
      </w:r>
    </w:p>
    <w:p>
      <w:pPr>
        <w:spacing w:after="0" w:line="38" w:lineRule="exact"/>
        <w:rPr>
          <w:rFonts w:ascii="Arial" w:cs="Arial" w:eastAsia="Arial" w:hAnsi="Arial"/>
          <w:sz w:val="18"/>
          <w:szCs w:val="18"/>
          <w:color w:val="auto"/>
        </w:rPr>
      </w:pPr>
    </w:p>
    <w:p>
      <w:pPr>
        <w:ind w:left="880" w:hanging="319"/>
        <w:spacing w:after="0" w:line="296"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funds generally seek to leverage their investments by combining capital with mezzanine loans and/or senior secured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880" w:right="80" w:hanging="319"/>
        <w:spacing w:after="0" w:line="301"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ectPr>
          <w:pgSz w:w="11900" w:h="16838" w:orient="portrait"/>
          <w:cols w:equalWidth="0" w:num="1">
            <w:col w:w="11220"/>
          </w:cols>
          <w:pgMar w:left="320" w:top="459" w:right="359" w:bottom="834" w:gutter="0" w:footer="0" w:header="0"/>
        </w:sectPr>
      </w:pP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20"/>
          </w:cols>
          <w:pgMar w:left="320" w:top="459" w:right="359" w:bottom="834"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171" w:lineRule="exact"/>
        <w:rPr>
          <w:sz w:val="20"/>
          <w:szCs w:val="20"/>
          <w:color w:val="auto"/>
        </w:rPr>
      </w:pPr>
    </w:p>
    <w:p>
      <w:pPr>
        <w:ind w:right="260" w:firstLine="449"/>
        <w:spacing w:after="0" w:line="298" w:lineRule="auto"/>
        <w:rPr>
          <w:sz w:val="20"/>
          <w:szCs w:val="20"/>
          <w:color w:val="auto"/>
        </w:rPr>
      </w:pPr>
      <w:r>
        <w:rPr>
          <w:rFonts w:ascii="Arial" w:cs="Arial" w:eastAsia="Arial" w:hAnsi="Arial"/>
          <w:sz w:val="16"/>
          <w:szCs w:val="16"/>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2" w:lineRule="exact"/>
        <w:rPr>
          <w:sz w:val="20"/>
          <w:szCs w:val="20"/>
          <w:color w:val="auto"/>
        </w:rPr>
      </w:pPr>
    </w:p>
    <w:p>
      <w:pPr>
        <w:ind w:right="300" w:firstLine="449"/>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“Business – Investment Selection Criteria.”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171" w:lineRule="exact"/>
        <w:rPr>
          <w:sz w:val="20"/>
          <w:szCs w:val="20"/>
          <w:color w:val="auto"/>
        </w:rPr>
      </w:pPr>
    </w:p>
    <w:p>
      <w:pPr>
        <w:ind w:right="180" w:firstLine="449"/>
        <w:spacing w:after="0" w:line="254"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171" w:lineRule="exact"/>
        <w:rPr>
          <w:sz w:val="20"/>
          <w:szCs w:val="20"/>
          <w:color w:val="auto"/>
        </w:rPr>
      </w:pPr>
    </w:p>
    <w:p>
      <w:pPr>
        <w:ind w:right="200" w:firstLine="449"/>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cycle and to provide us with ongoing market insights in addition to a significant investment sourcing engine.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171"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ind w:right="20" w:firstLine="449"/>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5" w:lineRule="exact"/>
        <w:rPr>
          <w:sz w:val="20"/>
          <w:szCs w:val="20"/>
          <w:color w:val="auto"/>
        </w:rPr>
      </w:pPr>
    </w:p>
    <w:p>
      <w:pPr>
        <w:jc w:val="both"/>
        <w:ind w:firstLine="449"/>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2" w:lineRule="exact"/>
        <w:rPr>
          <w:sz w:val="20"/>
          <w:szCs w:val="20"/>
          <w:color w:val="auto"/>
        </w:rPr>
      </w:pPr>
    </w:p>
    <w:p>
      <w:pPr>
        <w:ind w:right="100" w:firstLine="449"/>
        <w:spacing w:after="0" w:line="298" w:lineRule="auto"/>
        <w:rPr>
          <w:sz w:val="20"/>
          <w:szCs w:val="20"/>
          <w:color w:val="auto"/>
        </w:rPr>
      </w:pPr>
      <w:r>
        <w:rPr>
          <w:rFonts w:ascii="Arial" w:cs="Arial" w:eastAsia="Arial" w:hAnsi="Arial"/>
          <w:sz w:val="16"/>
          <w:szCs w:val="16"/>
          <w:color w:val="auto"/>
        </w:rPr>
        <w:t>We use the industry information available to our Investment Adviser to assess investment risks and determine appropriate pricing for our investments in portfolio companies. We benefit from the relationships of our Investment Adviser, which enables us to learn about, and compete effectively for, financing opportunities with attractive middle-market companies in the industries in which we invest. For additional information concerning the competitive risks we face, please see “Risk Factors—Risks Relating to our Business and Structure—We operate in a highly competitive market for investment opportunities.”</w:t>
      </w:r>
    </w:p>
    <w:p>
      <w:pPr>
        <w:sectPr>
          <w:pgSz w:w="11900" w:h="16838" w:orient="portrait"/>
          <w:cols w:equalWidth="0" w:num="1">
            <w:col w:w="11240"/>
          </w:cols>
          <w:pgMar w:left="320" w:top="45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Leverage</w:t>
      </w:r>
    </w:p>
    <w:p>
      <w:pPr>
        <w:spacing w:after="0" w:line="177" w:lineRule="exact"/>
        <w:rPr>
          <w:sz w:val="20"/>
          <w:szCs w:val="20"/>
          <w:color w:val="auto"/>
        </w:rPr>
      </w:pPr>
    </w:p>
    <w:p>
      <w:pPr>
        <w:jc w:val="both"/>
        <w:ind w:right="200" w:firstLine="449"/>
        <w:spacing w:after="0" w:line="298" w:lineRule="auto"/>
        <w:rPr>
          <w:sz w:val="20"/>
          <w:szCs w:val="20"/>
          <w:color w:val="auto"/>
        </w:rPr>
      </w:pPr>
      <w:r>
        <w:rPr>
          <w:rFonts w:ascii="Arial" w:cs="Arial" w:eastAsia="Arial" w:hAnsi="Arial"/>
          <w:sz w:val="16"/>
          <w:szCs w:val="16"/>
          <w:color w:val="auto"/>
        </w:rPr>
        <w:t>We maintain a five-year, multi-currency $300.0 million senior secured credit facility, which matures in 2012, with a group of lenders, under which we had $225.1 million (including a $7.0 million temporary draw) and $202.0 million (including a $40.0 million temporary draw) of indebtedness outstanding at September 30, 2009 and 2008, respectively. Pricing of borrowings under our credit facility is set at 100 basis points over LIBOR. We believe that our capital resources will provide us with the flexibility to take advantage of market opportunities when they arise.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177"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by targeting investment size of $10 to $50 million in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25" w:right="3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Over time, we expect that our portfolio will continue to consist primarily of mezzanine debt, senior secured loans and, to a lesser extent, equity investments in qualifying assets such as private or thinly traded or small market-cap, public middle-market U.S. companies. In addition, we may invest up to 30% of our portfolio in non-qualifying assets. See “Regulation—Qualifying Assets.” These investments may include investments in public companies whose securities are not thinly traded or do not have a market capitalization of less than $250 million, securities of middle-market companies located outside of the United States and investment companies as defined in the 1940 Act. We expect that these companies will generally issue debt securities that are not investment grade. Moreover, we may acquire investments in the secondary market.</w:t>
      </w:r>
    </w:p>
    <w:p>
      <w:pPr>
        <w:spacing w:after="0" w:line="120" w:lineRule="exact"/>
        <w:rPr>
          <w:sz w:val="20"/>
          <w:szCs w:val="20"/>
          <w:color w:val="auto"/>
        </w:rPr>
      </w:pPr>
    </w:p>
    <w:p>
      <w:pPr>
        <w:ind w:right="20" w:firstLine="449"/>
        <w:spacing w:after="0" w:line="298" w:lineRule="auto"/>
        <w:rPr>
          <w:sz w:val="20"/>
          <w:szCs w:val="20"/>
          <w:color w:val="auto"/>
        </w:rPr>
      </w:pPr>
      <w:r>
        <w:rPr>
          <w:rFonts w:ascii="Arial" w:cs="Arial" w:eastAsia="Arial" w:hAnsi="Arial"/>
          <w:sz w:val="16"/>
          <w:szCs w:val="16"/>
          <w:color w:val="auto"/>
        </w:rPr>
        <w:t>Additionally, we may in the future seek to securitize our loans to generate cash for funding new investments. To securitize loans, we may create a wholly owned subsidiary and contribute a pool of loans to the subsidiary. This could include sales of interests in the subsidiary on a non-recourse basis to purchasers who we would expect to be willing to accept a lower interest rate to invest in investment grade loan pools, and we would retain a portion of the equity in the securitized pool of loans. See “Investment Policy Overview —Investment selection criteria.”</w:t>
      </w:r>
    </w:p>
    <w:p>
      <w:pPr>
        <w:spacing w:after="0" w:line="112" w:lineRule="exact"/>
        <w:rPr>
          <w:sz w:val="20"/>
          <w:szCs w:val="20"/>
          <w:color w:val="auto"/>
        </w:rPr>
      </w:pPr>
    </w:p>
    <w:p>
      <w:pPr>
        <w:ind w:right="140" w:firstLine="449"/>
        <w:spacing w:after="0" w:line="254" w:lineRule="auto"/>
        <w:rPr>
          <w:sz w:val="20"/>
          <w:szCs w:val="20"/>
          <w:color w:val="auto"/>
        </w:rPr>
      </w:pPr>
      <w:r>
        <w:rPr>
          <w:rFonts w:ascii="Arial" w:cs="Arial" w:eastAsia="Arial" w:hAnsi="Arial"/>
          <w:sz w:val="18"/>
          <w:szCs w:val="18"/>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Mezzanine Debt</w:t>
      </w:r>
    </w:p>
    <w:p>
      <w:pPr>
        <w:spacing w:after="0" w:line="17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Structurally, mezzanine debt (which we define to include second lien secured debt and subordinated debt) usually ranks subordinate in priority of payment to senior secured loans. Our second lien secured debt is subordinated debt that benefits from a collateral interest in the borrower. As such, other creditors may rank senior to us in the event of insolvency. However, mezzanine debt ranks senior to common and preferred equity in a borrowers’ capital structures. Due to its higher risk profile and often less restrictive covenants as compared to senior secured loans, mezzanine debt generally earns a higher return than senior secured loans. In many cases mezzanine investors receive opportunities to invest directly in the equity investments of borrowers and from time to time may also receive warrants to purchase equity investments. We evaluate these investment opportunities on a case-by-case basis.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Debt</w:t>
      </w:r>
    </w:p>
    <w:p>
      <w:pPr>
        <w:spacing w:after="0" w:line="177"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Structurally, senior secured debt (which we define to include first lien debt) ranks senior in priority of payment to mezzanine debt and equity, and usually benefits from a senior collateral interest in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w:t>
      </w:r>
    </w:p>
    <w:p>
      <w:pPr>
        <w:spacing w:after="0" w:line="177" w:lineRule="exact"/>
        <w:rPr>
          <w:sz w:val="20"/>
          <w:szCs w:val="20"/>
          <w:color w:val="auto"/>
        </w:rPr>
      </w:pPr>
    </w:p>
    <w:p>
      <w:pPr>
        <w:ind w:right="120" w:firstLine="449"/>
        <w:spacing w:after="0" w:line="335" w:lineRule="auto"/>
        <w:rPr>
          <w:sz w:val="20"/>
          <w:szCs w:val="20"/>
          <w:color w:val="auto"/>
        </w:rPr>
      </w:pPr>
      <w:r>
        <w:rPr>
          <w:rFonts w:ascii="Arial" w:cs="Arial" w:eastAsia="Arial" w:hAnsi="Arial"/>
          <w:sz w:val="15"/>
          <w:szCs w:val="15"/>
          <w:color w:val="auto"/>
        </w:rPr>
        <w:t>Our principal investment focus is to provide mezzanine debt and senior secured loans to U.S. middle-market companies in a variety of industries. We generally seek to target companies that generate positive cash flows from the broad variety of industries in which our Investment Adviser has direct expertise. We may invest in other industries if we are presented with attractive opportunities. The following is a sample list of the industries in which we have invested:</w:t>
      </w:r>
    </w:p>
    <w:p>
      <w:pPr>
        <w:spacing w:after="0" w:line="128"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120"/>
              <w:spacing w:after="0"/>
              <w:rPr>
                <w:sz w:val="20"/>
                <w:szCs w:val="20"/>
                <w:color w:val="auto"/>
              </w:rPr>
            </w:pPr>
            <w:r>
              <w:rPr>
                <w:rFonts w:ascii="Arial" w:cs="Arial" w:eastAsia="Arial" w:hAnsi="Arial"/>
                <w:sz w:val="18"/>
                <w:szCs w:val="18"/>
                <w:color w:val="auto"/>
              </w:rPr>
              <w:t>Aerospace and Defense</w:t>
            </w:r>
          </w:p>
        </w:tc>
        <w:tc>
          <w:tcPr>
            <w:tcW w:w="4480" w:type="dxa"/>
            <w:vAlign w:val="bottom"/>
            <w:gridSpan w:val="2"/>
          </w:tcPr>
          <w:p>
            <w:pPr>
              <w:ind w:left="1600"/>
              <w:spacing w:after="0"/>
              <w:rPr>
                <w:sz w:val="20"/>
                <w:szCs w:val="20"/>
                <w:color w:val="auto"/>
              </w:rPr>
            </w:pPr>
            <w:r>
              <w:rPr>
                <w:rFonts w:ascii="Arial" w:cs="Arial" w:eastAsia="Arial" w:hAnsi="Arial"/>
                <w:sz w:val="18"/>
                <w:szCs w:val="18"/>
                <w:color w:val="auto"/>
                <w:w w:val="90"/>
              </w:rPr>
              <w:t>•   Healthcare, Education and Childcare</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120"/>
              <w:spacing w:after="0"/>
              <w:rPr>
                <w:sz w:val="20"/>
                <w:szCs w:val="20"/>
                <w:color w:val="auto"/>
              </w:rPr>
            </w:pPr>
            <w:r>
              <w:rPr>
                <w:rFonts w:ascii="Arial" w:cs="Arial" w:eastAsia="Arial" w:hAnsi="Arial"/>
                <w:sz w:val="18"/>
                <w:szCs w:val="18"/>
                <w:color w:val="auto"/>
              </w:rPr>
              <w:t>Business Services</w:t>
            </w:r>
          </w:p>
        </w:tc>
        <w:tc>
          <w:tcPr>
            <w:tcW w:w="4480" w:type="dxa"/>
            <w:vAlign w:val="bottom"/>
            <w:gridSpan w:val="2"/>
          </w:tcPr>
          <w:p>
            <w:pPr>
              <w:ind w:left="1600"/>
              <w:spacing w:after="0"/>
              <w:rPr>
                <w:sz w:val="20"/>
                <w:szCs w:val="20"/>
                <w:color w:val="auto"/>
              </w:rPr>
            </w:pPr>
            <w:r>
              <w:rPr>
                <w:rFonts w:ascii="Arial" w:cs="Arial" w:eastAsia="Arial" w:hAnsi="Arial"/>
                <w:sz w:val="18"/>
                <w:szCs w:val="18"/>
                <w:color w:val="auto"/>
              </w:rPr>
              <w:t>•   Hotels, Motels, Inns and Gaming</w:t>
            </w:r>
          </w:p>
        </w:tc>
      </w:tr>
      <w:tr>
        <w:trPr>
          <w:trHeight w:val="297"/>
        </w:trPr>
        <w:tc>
          <w:tcPr>
            <w:tcW w:w="4120" w:type="dxa"/>
            <w:vAlign w:val="bottom"/>
            <w:gridSpan w:val="2"/>
          </w:tcPr>
          <w:p>
            <w:pPr>
              <w:spacing w:after="0"/>
              <w:rPr>
                <w:sz w:val="20"/>
                <w:szCs w:val="20"/>
                <w:color w:val="auto"/>
              </w:rPr>
            </w:pPr>
            <w:r>
              <w:rPr>
                <w:rFonts w:ascii="Arial" w:cs="Arial" w:eastAsia="Arial" w:hAnsi="Arial"/>
                <w:sz w:val="18"/>
                <w:szCs w:val="18"/>
                <w:color w:val="auto"/>
              </w:rPr>
              <w:t>•   Chemicals, Plastics and Rubber</w:t>
            </w:r>
          </w:p>
        </w:tc>
        <w:tc>
          <w:tcPr>
            <w:tcW w:w="1780" w:type="dxa"/>
            <w:vAlign w:val="bottom"/>
          </w:tcPr>
          <w:p>
            <w:pPr>
              <w:ind w:left="1600"/>
              <w:spacing w:after="0"/>
              <w:rPr>
                <w:sz w:val="20"/>
                <w:szCs w:val="20"/>
                <w:color w:val="auto"/>
              </w:rPr>
            </w:pPr>
            <w:r>
              <w:rPr>
                <w:rFonts w:ascii="Arial" w:cs="Arial" w:eastAsia="Arial" w:hAnsi="Arial"/>
                <w:sz w:val="18"/>
                <w:szCs w:val="18"/>
                <w:color w:val="auto"/>
              </w:rPr>
              <w:t>•</w:t>
            </w:r>
          </w:p>
        </w:tc>
        <w:tc>
          <w:tcPr>
            <w:tcW w:w="2700" w:type="dxa"/>
            <w:vAlign w:val="bottom"/>
          </w:tcPr>
          <w:p>
            <w:pPr>
              <w:ind w:left="120"/>
              <w:spacing w:after="0"/>
              <w:rPr>
                <w:sz w:val="20"/>
                <w:szCs w:val="20"/>
                <w:color w:val="auto"/>
              </w:rPr>
            </w:pPr>
            <w:r>
              <w:rPr>
                <w:rFonts w:ascii="Arial" w:cs="Arial" w:eastAsia="Arial" w:hAnsi="Arial"/>
                <w:sz w:val="18"/>
                <w:szCs w:val="18"/>
                <w:color w:val="auto"/>
              </w:rPr>
              <w:t>Insurance</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120"/>
              <w:spacing w:after="0"/>
              <w:rPr>
                <w:sz w:val="20"/>
                <w:szCs w:val="20"/>
                <w:color w:val="auto"/>
              </w:rPr>
            </w:pPr>
            <w:r>
              <w:rPr>
                <w:rFonts w:ascii="Arial" w:cs="Arial" w:eastAsia="Arial" w:hAnsi="Arial"/>
                <w:sz w:val="18"/>
                <w:szCs w:val="18"/>
                <w:color w:val="auto"/>
              </w:rPr>
              <w:t>Consumer Products</w:t>
            </w:r>
          </w:p>
        </w:tc>
        <w:tc>
          <w:tcPr>
            <w:tcW w:w="1780" w:type="dxa"/>
            <w:vAlign w:val="bottom"/>
          </w:tcPr>
          <w:p>
            <w:pPr>
              <w:ind w:left="1600"/>
              <w:spacing w:after="0"/>
              <w:rPr>
                <w:sz w:val="20"/>
                <w:szCs w:val="20"/>
                <w:color w:val="auto"/>
              </w:rPr>
            </w:pPr>
            <w:r>
              <w:rPr>
                <w:rFonts w:ascii="Arial" w:cs="Arial" w:eastAsia="Arial" w:hAnsi="Arial"/>
                <w:sz w:val="18"/>
                <w:szCs w:val="18"/>
                <w:color w:val="auto"/>
              </w:rPr>
              <w:t>•</w:t>
            </w:r>
          </w:p>
        </w:tc>
        <w:tc>
          <w:tcPr>
            <w:tcW w:w="2700" w:type="dxa"/>
            <w:vAlign w:val="bottom"/>
          </w:tcPr>
          <w:p>
            <w:pPr>
              <w:ind w:left="120"/>
              <w:spacing w:after="0"/>
              <w:rPr>
                <w:sz w:val="20"/>
                <w:szCs w:val="20"/>
                <w:color w:val="auto"/>
              </w:rPr>
            </w:pPr>
            <w:r>
              <w:rPr>
                <w:rFonts w:ascii="Arial" w:cs="Arial" w:eastAsia="Arial" w:hAnsi="Arial"/>
                <w:sz w:val="18"/>
                <w:szCs w:val="18"/>
                <w:color w:val="auto"/>
              </w:rPr>
              <w:t>Logistics</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120"/>
              <w:spacing w:after="0"/>
              <w:rPr>
                <w:sz w:val="20"/>
                <w:szCs w:val="20"/>
                <w:color w:val="auto"/>
              </w:rPr>
            </w:pPr>
            <w:r>
              <w:rPr>
                <w:rFonts w:ascii="Arial" w:cs="Arial" w:eastAsia="Arial" w:hAnsi="Arial"/>
                <w:sz w:val="18"/>
                <w:szCs w:val="18"/>
                <w:color w:val="auto"/>
              </w:rPr>
              <w:t>Education</w:t>
            </w:r>
          </w:p>
        </w:tc>
        <w:tc>
          <w:tcPr>
            <w:tcW w:w="1780" w:type="dxa"/>
            <w:vAlign w:val="bottom"/>
          </w:tcPr>
          <w:p>
            <w:pPr>
              <w:ind w:left="1600"/>
              <w:spacing w:after="0"/>
              <w:rPr>
                <w:sz w:val="20"/>
                <w:szCs w:val="20"/>
                <w:color w:val="auto"/>
              </w:rPr>
            </w:pPr>
            <w:r>
              <w:rPr>
                <w:rFonts w:ascii="Arial" w:cs="Arial" w:eastAsia="Arial" w:hAnsi="Arial"/>
                <w:sz w:val="18"/>
                <w:szCs w:val="18"/>
                <w:color w:val="auto"/>
              </w:rPr>
              <w:t>•</w:t>
            </w:r>
          </w:p>
        </w:tc>
        <w:tc>
          <w:tcPr>
            <w:tcW w:w="2700" w:type="dxa"/>
            <w:vAlign w:val="bottom"/>
          </w:tcPr>
          <w:p>
            <w:pPr>
              <w:ind w:left="120"/>
              <w:spacing w:after="0"/>
              <w:rPr>
                <w:sz w:val="20"/>
                <w:szCs w:val="20"/>
                <w:color w:val="auto"/>
              </w:rPr>
            </w:pPr>
            <w:r>
              <w:rPr>
                <w:rFonts w:ascii="Arial" w:cs="Arial" w:eastAsia="Arial" w:hAnsi="Arial"/>
                <w:sz w:val="18"/>
                <w:szCs w:val="18"/>
                <w:color w:val="auto"/>
              </w:rPr>
              <w:t>Oil and Gas</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120"/>
              <w:spacing w:after="0"/>
              <w:rPr>
                <w:sz w:val="20"/>
                <w:szCs w:val="20"/>
                <w:color w:val="auto"/>
              </w:rPr>
            </w:pPr>
            <w:r>
              <w:rPr>
                <w:rFonts w:ascii="Arial" w:cs="Arial" w:eastAsia="Arial" w:hAnsi="Arial"/>
                <w:sz w:val="18"/>
                <w:szCs w:val="18"/>
                <w:color w:val="auto"/>
              </w:rPr>
              <w:t>Energy/Utilities</w:t>
            </w:r>
          </w:p>
        </w:tc>
        <w:tc>
          <w:tcPr>
            <w:tcW w:w="1780" w:type="dxa"/>
            <w:vAlign w:val="bottom"/>
          </w:tcPr>
          <w:p>
            <w:pPr>
              <w:ind w:left="1600"/>
              <w:spacing w:after="0"/>
              <w:rPr>
                <w:sz w:val="20"/>
                <w:szCs w:val="20"/>
                <w:color w:val="auto"/>
              </w:rPr>
            </w:pPr>
            <w:r>
              <w:rPr>
                <w:rFonts w:ascii="Arial" w:cs="Arial" w:eastAsia="Arial" w:hAnsi="Arial"/>
                <w:sz w:val="18"/>
                <w:szCs w:val="18"/>
                <w:color w:val="auto"/>
              </w:rPr>
              <w:t>•</w:t>
            </w:r>
          </w:p>
        </w:tc>
        <w:tc>
          <w:tcPr>
            <w:tcW w:w="2700" w:type="dxa"/>
            <w:vAlign w:val="bottom"/>
          </w:tcPr>
          <w:p>
            <w:pPr>
              <w:ind w:left="120"/>
              <w:spacing w:after="0"/>
              <w:rPr>
                <w:sz w:val="20"/>
                <w:szCs w:val="20"/>
                <w:color w:val="auto"/>
              </w:rPr>
            </w:pPr>
            <w:r>
              <w:rPr>
                <w:rFonts w:ascii="Arial" w:cs="Arial" w:eastAsia="Arial" w:hAnsi="Arial"/>
                <w:sz w:val="18"/>
                <w:szCs w:val="18"/>
                <w:color w:val="auto"/>
              </w:rPr>
              <w:t>Transportation</w:t>
            </w:r>
          </w:p>
        </w:tc>
      </w:tr>
    </w:tbl>
    <w:p>
      <w:pPr>
        <w:spacing w:after="0" w:line="75" w:lineRule="exact"/>
        <w:rPr>
          <w:sz w:val="20"/>
          <w:szCs w:val="20"/>
          <w:color w:val="auto"/>
        </w:rPr>
      </w:pPr>
    </w:p>
    <w:p>
      <w:pPr>
        <w:ind w:left="760" w:hanging="293"/>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Services</w:t>
      </w:r>
    </w:p>
    <w:p>
      <w:pPr>
        <w:sectPr>
          <w:pgSz w:w="11900" w:h="16838" w:orient="portrait"/>
          <w:cols w:equalWidth="0" w:num="1">
            <w:col w:w="11220"/>
          </w:cols>
          <w:pgMar w:left="320" w:top="459"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Listed below are our top ten portfolio companies and industries represented as a percentage of portfolio assets (excluding cash equivalents) as of:</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00" w:type="dxa"/>
            <w:vAlign w:val="bottom"/>
            <w:vMerge w:val="restart"/>
          </w:tcPr>
          <w:p>
            <w:pPr>
              <w:spacing w:after="0"/>
              <w:rPr>
                <w:sz w:val="20"/>
                <w:szCs w:val="20"/>
                <w:color w:val="auto"/>
              </w:rPr>
            </w:pPr>
            <w:r>
              <w:rPr>
                <w:rFonts w:ascii="Arial" w:cs="Arial" w:eastAsia="Arial" w:hAnsi="Arial"/>
                <w:sz w:val="13"/>
                <w:szCs w:val="13"/>
                <w:b w:val="1"/>
                <w:bCs w:val="1"/>
                <w:color w:val="auto"/>
              </w:rPr>
              <w:t>Portfolio Company</w:t>
            </w:r>
          </w:p>
        </w:tc>
        <w:tc>
          <w:tcPr>
            <w:tcW w:w="440" w:type="dxa"/>
            <w:vAlign w:val="bottom"/>
          </w:tcPr>
          <w:p>
            <w:pPr>
              <w:spacing w:after="0"/>
              <w:rPr>
                <w:sz w:val="13"/>
                <w:szCs w:val="13"/>
                <w:color w:val="auto"/>
              </w:rPr>
            </w:pPr>
          </w:p>
        </w:tc>
        <w:tc>
          <w:tcPr>
            <w:tcW w:w="820" w:type="dxa"/>
            <w:vAlign w:val="bottom"/>
          </w:tcPr>
          <w:p>
            <w:pPr>
              <w:spacing w:after="0"/>
              <w:rPr>
                <w:sz w:val="20"/>
                <w:szCs w:val="20"/>
                <w:color w:val="auto"/>
              </w:rPr>
            </w:pPr>
            <w:r>
              <w:rPr>
                <w:rFonts w:ascii="Arial" w:cs="Arial" w:eastAsia="Arial" w:hAnsi="Arial"/>
                <w:sz w:val="13"/>
                <w:szCs w:val="13"/>
                <w:b w:val="1"/>
                <w:bCs w:val="1"/>
                <w:color w:val="auto"/>
                <w:w w:val="89"/>
              </w:rPr>
              <w:t>September 30,</w:t>
            </w:r>
          </w:p>
        </w:tc>
        <w:tc>
          <w:tcPr>
            <w:tcW w:w="440" w:type="dxa"/>
            <w:vAlign w:val="bottom"/>
          </w:tcPr>
          <w:p>
            <w:pPr>
              <w:spacing w:after="0"/>
              <w:rPr>
                <w:sz w:val="13"/>
                <w:szCs w:val="13"/>
                <w:color w:val="auto"/>
              </w:rPr>
            </w:pPr>
          </w:p>
        </w:tc>
        <w:tc>
          <w:tcPr>
            <w:tcW w:w="4080" w:type="dxa"/>
            <w:vAlign w:val="bottom"/>
            <w:vMerge w:val="restart"/>
          </w:tcPr>
          <w:p>
            <w:pPr>
              <w:ind w:left="1480"/>
              <w:spacing w:after="0"/>
              <w:rPr>
                <w:sz w:val="20"/>
                <w:szCs w:val="20"/>
                <w:color w:val="auto"/>
              </w:rPr>
            </w:pPr>
            <w:r>
              <w:rPr>
                <w:rFonts w:ascii="Arial" w:cs="Arial" w:eastAsia="Arial" w:hAnsi="Arial"/>
                <w:sz w:val="13"/>
                <w:szCs w:val="13"/>
                <w:b w:val="1"/>
                <w:bCs w:val="1"/>
                <w:color w:val="auto"/>
              </w:rPr>
              <w:t>Portfolio Company</w:t>
            </w:r>
          </w:p>
        </w:tc>
        <w:tc>
          <w:tcPr>
            <w:tcW w:w="440" w:type="dxa"/>
            <w:vAlign w:val="bottom"/>
          </w:tcPr>
          <w:p>
            <w:pPr>
              <w:spacing w:after="0"/>
              <w:rPr>
                <w:sz w:val="13"/>
                <w:szCs w:val="13"/>
                <w:color w:val="auto"/>
              </w:rPr>
            </w:pPr>
          </w:p>
        </w:tc>
        <w:tc>
          <w:tcPr>
            <w:tcW w:w="820" w:type="dxa"/>
            <w:vAlign w:val="bottom"/>
          </w:tcPr>
          <w:p>
            <w:pPr>
              <w:spacing w:after="0"/>
              <w:rPr>
                <w:sz w:val="20"/>
                <w:szCs w:val="20"/>
                <w:color w:val="auto"/>
              </w:rPr>
            </w:pPr>
            <w:r>
              <w:rPr>
                <w:rFonts w:ascii="Arial" w:cs="Arial" w:eastAsia="Arial" w:hAnsi="Arial"/>
                <w:sz w:val="13"/>
                <w:szCs w:val="13"/>
                <w:b w:val="1"/>
                <w:bCs w:val="1"/>
                <w:color w:val="auto"/>
                <w:w w:val="89"/>
              </w:rPr>
              <w:t>September 30,</w:t>
            </w:r>
          </w:p>
        </w:tc>
        <w:tc>
          <w:tcPr>
            <w:tcW w:w="0" w:type="dxa"/>
            <w:vAlign w:val="bottom"/>
          </w:tcPr>
          <w:p>
            <w:pPr>
              <w:spacing w:after="0"/>
              <w:rPr>
                <w:sz w:val="1"/>
                <w:szCs w:val="1"/>
                <w:color w:val="auto"/>
              </w:rPr>
            </w:pPr>
          </w:p>
        </w:tc>
      </w:tr>
      <w:tr>
        <w:trPr>
          <w:trHeight w:val="161"/>
        </w:trPr>
        <w:tc>
          <w:tcPr>
            <w:tcW w:w="4200" w:type="dxa"/>
            <w:vAlign w:val="bottom"/>
            <w:tcBorders>
              <w:bottom w:val="single" w:sz="8" w:color="auto"/>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2009</w:t>
            </w:r>
          </w:p>
        </w:tc>
        <w:tc>
          <w:tcPr>
            <w:tcW w:w="440" w:type="dxa"/>
            <w:vAlign w:val="bottom"/>
          </w:tcPr>
          <w:p>
            <w:pPr>
              <w:spacing w:after="0"/>
              <w:rPr>
                <w:sz w:val="14"/>
                <w:szCs w:val="14"/>
                <w:color w:val="auto"/>
              </w:rPr>
            </w:pPr>
          </w:p>
        </w:tc>
        <w:tc>
          <w:tcPr>
            <w:tcW w:w="4080" w:type="dxa"/>
            <w:vAlign w:val="bottom"/>
            <w:tcBorders>
              <w:bottom w:val="single" w:sz="8" w:color="auto"/>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2008</w:t>
            </w: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CT Technologies</w:t>
            </w:r>
          </w:p>
        </w:tc>
        <w:tc>
          <w:tcPr>
            <w:tcW w:w="126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4"/>
              </w:rPr>
              <w:t>6%</w:t>
            </w:r>
          </w:p>
        </w:tc>
        <w:tc>
          <w:tcPr>
            <w:tcW w:w="44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i2 Holdings, LTD.</w:t>
            </w:r>
          </w:p>
        </w:tc>
        <w:tc>
          <w:tcPr>
            <w:tcW w:w="126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4"/>
              </w:rPr>
              <w:t>7%</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i2 Holdings, LTD.</w:t>
            </w:r>
          </w:p>
        </w:tc>
        <w:tc>
          <w:tcPr>
            <w:tcW w:w="1260" w:type="dxa"/>
            <w:vAlign w:val="bottom"/>
            <w:gridSpan w:val="2"/>
          </w:tcPr>
          <w:p>
            <w:pPr>
              <w:jc w:val="center"/>
              <w:ind w:left="352"/>
              <w:spacing w:after="0"/>
              <w:rPr>
                <w:sz w:val="20"/>
                <w:szCs w:val="20"/>
                <w:color w:val="auto"/>
              </w:rPr>
            </w:pPr>
            <w:r>
              <w:rPr>
                <w:rFonts w:ascii="Arial" w:cs="Arial" w:eastAsia="Arial" w:hAnsi="Arial"/>
                <w:sz w:val="18"/>
                <w:szCs w:val="18"/>
                <w:color w:val="auto"/>
                <w:w w:val="84"/>
              </w:rPr>
              <w:t>6%</w:t>
            </w:r>
          </w:p>
        </w:tc>
        <w:tc>
          <w:tcPr>
            <w:tcW w:w="4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UP Acquisition Sub Inc.</w:t>
            </w:r>
          </w:p>
        </w:tc>
        <w:tc>
          <w:tcPr>
            <w:tcW w:w="1260" w:type="dxa"/>
            <w:vAlign w:val="bottom"/>
            <w:gridSpan w:val="2"/>
          </w:tcPr>
          <w:p>
            <w:pPr>
              <w:jc w:val="center"/>
              <w:ind w:left="352"/>
              <w:spacing w:after="0"/>
              <w:rPr>
                <w:sz w:val="20"/>
                <w:szCs w:val="20"/>
                <w:color w:val="auto"/>
              </w:rPr>
            </w:pPr>
            <w:r>
              <w:rPr>
                <w:rFonts w:ascii="Arial" w:cs="Arial" w:eastAsia="Arial" w:hAnsi="Arial"/>
                <w:sz w:val="18"/>
                <w:szCs w:val="18"/>
                <w:color w:val="auto"/>
                <w:w w:val="84"/>
              </w:rPr>
              <w:t>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UP Acquisition Sub Inc.</w:t>
            </w:r>
          </w:p>
        </w:tc>
        <w:tc>
          <w:tcPr>
            <w:tcW w:w="126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4"/>
              </w:rPr>
              <w:t>6%</w:t>
            </w:r>
          </w:p>
        </w:tc>
        <w:tc>
          <w:tcPr>
            <w:tcW w:w="44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Brand Energy and Infrastructure Services, Inc.</w:t>
            </w:r>
          </w:p>
        </w:tc>
        <w:tc>
          <w:tcPr>
            <w:tcW w:w="126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4"/>
              </w:rPr>
              <w:t>6%</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Affinion Group Holding, Inc.</w:t>
            </w:r>
          </w:p>
        </w:tc>
        <w:tc>
          <w:tcPr>
            <w:tcW w:w="1260" w:type="dxa"/>
            <w:vAlign w:val="bottom"/>
            <w:gridSpan w:val="2"/>
          </w:tcPr>
          <w:p>
            <w:pPr>
              <w:jc w:val="center"/>
              <w:ind w:left="352"/>
              <w:spacing w:after="0"/>
              <w:rPr>
                <w:sz w:val="20"/>
                <w:szCs w:val="20"/>
                <w:color w:val="auto"/>
              </w:rPr>
            </w:pPr>
            <w:r>
              <w:rPr>
                <w:rFonts w:ascii="Arial" w:cs="Arial" w:eastAsia="Arial" w:hAnsi="Arial"/>
                <w:sz w:val="18"/>
                <w:szCs w:val="18"/>
                <w:color w:val="auto"/>
                <w:w w:val="84"/>
              </w:rPr>
              <w:t>5%</w:t>
            </w:r>
          </w:p>
        </w:tc>
        <w:tc>
          <w:tcPr>
            <w:tcW w:w="4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CT Technologies</w:t>
            </w:r>
          </w:p>
        </w:tc>
        <w:tc>
          <w:tcPr>
            <w:tcW w:w="1260" w:type="dxa"/>
            <w:vAlign w:val="bottom"/>
            <w:gridSpan w:val="2"/>
          </w:tcPr>
          <w:p>
            <w:pPr>
              <w:jc w:val="center"/>
              <w:ind w:left="352"/>
              <w:spacing w:after="0"/>
              <w:rPr>
                <w:sz w:val="20"/>
                <w:szCs w:val="20"/>
                <w:color w:val="auto"/>
              </w:rPr>
            </w:pPr>
            <w:r>
              <w:rPr>
                <w:rFonts w:ascii="Arial" w:cs="Arial" w:eastAsia="Arial" w:hAnsi="Arial"/>
                <w:sz w:val="18"/>
                <w:szCs w:val="18"/>
                <w:color w:val="auto"/>
                <w:w w:val="84"/>
              </w:rPr>
              <w:t>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Brand Energy and Infrastructure Services, Inc.</w:t>
            </w:r>
          </w:p>
        </w:tc>
        <w:tc>
          <w:tcPr>
            <w:tcW w:w="126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4"/>
              </w:rPr>
              <w:t>5%</w:t>
            </w:r>
          </w:p>
        </w:tc>
        <w:tc>
          <w:tcPr>
            <w:tcW w:w="44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Trizetto Group, Inc.</w:t>
            </w:r>
          </w:p>
        </w:tc>
        <w:tc>
          <w:tcPr>
            <w:tcW w:w="126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4"/>
              </w:rPr>
              <w:t>6%</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Saint Acquisition Corp.</w:t>
            </w:r>
          </w:p>
        </w:tc>
        <w:tc>
          <w:tcPr>
            <w:tcW w:w="1260" w:type="dxa"/>
            <w:vAlign w:val="bottom"/>
            <w:gridSpan w:val="2"/>
          </w:tcPr>
          <w:p>
            <w:pPr>
              <w:jc w:val="center"/>
              <w:ind w:left="352"/>
              <w:spacing w:after="0"/>
              <w:rPr>
                <w:sz w:val="20"/>
                <w:szCs w:val="20"/>
                <w:color w:val="auto"/>
              </w:rPr>
            </w:pPr>
            <w:r>
              <w:rPr>
                <w:rFonts w:ascii="Arial" w:cs="Arial" w:eastAsia="Arial" w:hAnsi="Arial"/>
                <w:sz w:val="18"/>
                <w:szCs w:val="18"/>
                <w:color w:val="auto"/>
                <w:w w:val="84"/>
              </w:rPr>
              <w:t>5%</w:t>
            </w:r>
          </w:p>
        </w:tc>
        <w:tc>
          <w:tcPr>
            <w:tcW w:w="4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Affinion Group Holding, Inc.</w:t>
            </w:r>
          </w:p>
        </w:tc>
        <w:tc>
          <w:tcPr>
            <w:tcW w:w="1260" w:type="dxa"/>
            <w:vAlign w:val="bottom"/>
            <w:gridSpan w:val="2"/>
          </w:tcPr>
          <w:p>
            <w:pPr>
              <w:jc w:val="center"/>
              <w:ind w:left="352"/>
              <w:spacing w:after="0"/>
              <w:rPr>
                <w:sz w:val="20"/>
                <w:szCs w:val="20"/>
                <w:color w:val="auto"/>
              </w:rPr>
            </w:pPr>
            <w:r>
              <w:rPr>
                <w:rFonts w:ascii="Arial" w:cs="Arial" w:eastAsia="Arial" w:hAnsi="Arial"/>
                <w:sz w:val="18"/>
                <w:szCs w:val="18"/>
                <w:color w:val="auto"/>
                <w:w w:val="84"/>
              </w:rPr>
              <w:t>5%</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Specialized Technology Resources, Inc.</w:t>
            </w:r>
          </w:p>
        </w:tc>
        <w:tc>
          <w:tcPr>
            <w:tcW w:w="126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4"/>
              </w:rPr>
              <w:t>5%</w:t>
            </w:r>
          </w:p>
        </w:tc>
        <w:tc>
          <w:tcPr>
            <w:tcW w:w="44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IDQ Holdings, Inc.</w:t>
            </w:r>
          </w:p>
        </w:tc>
        <w:tc>
          <w:tcPr>
            <w:tcW w:w="126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4"/>
              </w:rPr>
              <w:t>5%</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Trizetto Group, Inc.</w:t>
            </w:r>
          </w:p>
        </w:tc>
        <w:tc>
          <w:tcPr>
            <w:tcW w:w="1260" w:type="dxa"/>
            <w:vAlign w:val="bottom"/>
            <w:gridSpan w:val="2"/>
          </w:tcPr>
          <w:p>
            <w:pPr>
              <w:jc w:val="center"/>
              <w:ind w:left="352"/>
              <w:spacing w:after="0"/>
              <w:rPr>
                <w:sz w:val="20"/>
                <w:szCs w:val="20"/>
                <w:color w:val="auto"/>
              </w:rPr>
            </w:pPr>
            <w:r>
              <w:rPr>
                <w:rFonts w:ascii="Arial" w:cs="Arial" w:eastAsia="Arial" w:hAnsi="Arial"/>
                <w:sz w:val="18"/>
                <w:szCs w:val="18"/>
                <w:color w:val="auto"/>
                <w:w w:val="84"/>
              </w:rPr>
              <w:t>5%</w:t>
            </w:r>
          </w:p>
        </w:tc>
        <w:tc>
          <w:tcPr>
            <w:tcW w:w="4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Performance Holdings, Inc.</w:t>
            </w:r>
          </w:p>
        </w:tc>
        <w:tc>
          <w:tcPr>
            <w:tcW w:w="1260" w:type="dxa"/>
            <w:vAlign w:val="bottom"/>
            <w:gridSpan w:val="2"/>
          </w:tcPr>
          <w:p>
            <w:pPr>
              <w:jc w:val="center"/>
              <w:ind w:left="352"/>
              <w:spacing w:after="0"/>
              <w:rPr>
                <w:sz w:val="20"/>
                <w:szCs w:val="20"/>
                <w:color w:val="auto"/>
              </w:rPr>
            </w:pPr>
            <w:r>
              <w:rPr>
                <w:rFonts w:ascii="Arial" w:cs="Arial" w:eastAsia="Arial" w:hAnsi="Arial"/>
                <w:sz w:val="18"/>
                <w:szCs w:val="18"/>
                <w:color w:val="auto"/>
                <w:w w:val="84"/>
              </w:rPr>
              <w:t>5%</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IDQ Holdings, Inc.</w:t>
            </w:r>
          </w:p>
        </w:tc>
        <w:tc>
          <w:tcPr>
            <w:tcW w:w="126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4"/>
              </w:rPr>
              <w:t>4%</w:t>
            </w:r>
          </w:p>
        </w:tc>
        <w:tc>
          <w:tcPr>
            <w:tcW w:w="44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Specialized Technology Resources, Inc.</w:t>
            </w:r>
          </w:p>
        </w:tc>
        <w:tc>
          <w:tcPr>
            <w:tcW w:w="126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4"/>
              </w:rPr>
              <w:t>5%</w:t>
            </w:r>
          </w:p>
        </w:tc>
        <w:tc>
          <w:tcPr>
            <w:tcW w:w="0" w:type="dxa"/>
            <w:vAlign w:val="bottom"/>
          </w:tcPr>
          <w:p>
            <w:pPr>
              <w:spacing w:after="0"/>
              <w:rPr>
                <w:sz w:val="1"/>
                <w:szCs w:val="1"/>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Lyondell Chemical Co.</w:t>
            </w:r>
          </w:p>
        </w:tc>
        <w:tc>
          <w:tcPr>
            <w:tcW w:w="1260" w:type="dxa"/>
            <w:vAlign w:val="bottom"/>
            <w:gridSpan w:val="2"/>
          </w:tcPr>
          <w:p>
            <w:pPr>
              <w:jc w:val="center"/>
              <w:ind w:left="352"/>
              <w:spacing w:after="0"/>
              <w:rPr>
                <w:sz w:val="20"/>
                <w:szCs w:val="20"/>
                <w:color w:val="auto"/>
              </w:rPr>
            </w:pPr>
            <w:r>
              <w:rPr>
                <w:rFonts w:ascii="Arial" w:cs="Arial" w:eastAsia="Arial" w:hAnsi="Arial"/>
                <w:sz w:val="18"/>
                <w:szCs w:val="18"/>
                <w:color w:val="auto"/>
                <w:w w:val="84"/>
              </w:rPr>
              <w:t>4%</w:t>
            </w:r>
          </w:p>
        </w:tc>
        <w:tc>
          <w:tcPr>
            <w:tcW w:w="44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TransFirst Holdings, Inc.</w:t>
            </w:r>
          </w:p>
        </w:tc>
        <w:tc>
          <w:tcPr>
            <w:tcW w:w="1260" w:type="dxa"/>
            <w:vAlign w:val="bottom"/>
            <w:gridSpan w:val="2"/>
          </w:tcPr>
          <w:p>
            <w:pPr>
              <w:jc w:val="center"/>
              <w:ind w:left="352"/>
              <w:spacing w:after="0"/>
              <w:rPr>
                <w:sz w:val="20"/>
                <w:szCs w:val="20"/>
                <w:color w:val="auto"/>
              </w:rPr>
            </w:pPr>
            <w:r>
              <w:rPr>
                <w:rFonts w:ascii="Arial" w:cs="Arial" w:eastAsia="Arial" w:hAnsi="Arial"/>
                <w:sz w:val="18"/>
                <w:szCs w:val="18"/>
                <w:color w:val="auto"/>
                <w:w w:val="84"/>
              </w:rPr>
              <w:t>4%</w:t>
            </w:r>
          </w:p>
        </w:tc>
        <w:tc>
          <w:tcPr>
            <w:tcW w:w="0" w:type="dxa"/>
            <w:vAlign w:val="bottom"/>
          </w:tcPr>
          <w:p>
            <w:pPr>
              <w:spacing w:after="0"/>
              <w:rPr>
                <w:sz w:val="1"/>
                <w:szCs w:val="1"/>
                <w:color w:val="auto"/>
              </w:rPr>
            </w:pPr>
          </w:p>
        </w:tc>
      </w:tr>
      <w:tr>
        <w:trPr>
          <w:trHeight w:val="356"/>
        </w:trPr>
        <w:tc>
          <w:tcPr>
            <w:tcW w:w="4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4</w:t>
            </w:r>
          </w:p>
        </w:tc>
        <w:tc>
          <w:tcPr>
            <w:tcW w:w="4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00" w:type="dxa"/>
            <w:vAlign w:val="bottom"/>
            <w:vMerge w:val="restart"/>
          </w:tcPr>
          <w:p>
            <w:pPr>
              <w:spacing w:after="0"/>
              <w:rPr>
                <w:sz w:val="20"/>
                <w:szCs w:val="20"/>
                <w:color w:val="auto"/>
              </w:rPr>
            </w:pPr>
            <w:r>
              <w:rPr>
                <w:rFonts w:ascii="Arial" w:cs="Arial" w:eastAsia="Arial" w:hAnsi="Arial"/>
                <w:sz w:val="13"/>
                <w:szCs w:val="13"/>
                <w:b w:val="1"/>
                <w:bCs w:val="1"/>
                <w:color w:val="auto"/>
              </w:rPr>
              <w:t>Industry</w:t>
            </w:r>
          </w:p>
        </w:tc>
        <w:tc>
          <w:tcPr>
            <w:tcW w:w="500" w:type="dxa"/>
            <w:vAlign w:val="bottom"/>
          </w:tcPr>
          <w:p>
            <w:pPr>
              <w:spacing w:after="0"/>
              <w:rPr>
                <w:sz w:val="13"/>
                <w:szCs w:val="13"/>
                <w:color w:val="auto"/>
              </w:rPr>
            </w:pPr>
          </w:p>
        </w:tc>
        <w:tc>
          <w:tcPr>
            <w:tcW w:w="820" w:type="dxa"/>
            <w:vAlign w:val="bottom"/>
          </w:tcPr>
          <w:p>
            <w:pPr>
              <w:spacing w:after="0"/>
              <w:rPr>
                <w:sz w:val="20"/>
                <w:szCs w:val="20"/>
                <w:color w:val="auto"/>
              </w:rPr>
            </w:pPr>
            <w:r>
              <w:rPr>
                <w:rFonts w:ascii="Arial" w:cs="Arial" w:eastAsia="Arial" w:hAnsi="Arial"/>
                <w:sz w:val="13"/>
                <w:szCs w:val="13"/>
                <w:b w:val="1"/>
                <w:bCs w:val="1"/>
                <w:color w:val="auto"/>
                <w:w w:val="89"/>
              </w:rPr>
              <w:t>September 30,</w:t>
            </w:r>
          </w:p>
        </w:tc>
        <w:tc>
          <w:tcPr>
            <w:tcW w:w="500" w:type="dxa"/>
            <w:vAlign w:val="bottom"/>
          </w:tcPr>
          <w:p>
            <w:pPr>
              <w:spacing w:after="0"/>
              <w:rPr>
                <w:sz w:val="13"/>
                <w:szCs w:val="13"/>
                <w:color w:val="auto"/>
              </w:rPr>
            </w:pPr>
          </w:p>
        </w:tc>
        <w:tc>
          <w:tcPr>
            <w:tcW w:w="3900" w:type="dxa"/>
            <w:vAlign w:val="bottom"/>
            <w:vMerge w:val="restart"/>
          </w:tcPr>
          <w:p>
            <w:pPr>
              <w:ind w:left="1700"/>
              <w:spacing w:after="0"/>
              <w:rPr>
                <w:sz w:val="20"/>
                <w:szCs w:val="20"/>
                <w:color w:val="auto"/>
              </w:rPr>
            </w:pPr>
            <w:r>
              <w:rPr>
                <w:rFonts w:ascii="Arial" w:cs="Arial" w:eastAsia="Arial" w:hAnsi="Arial"/>
                <w:sz w:val="13"/>
                <w:szCs w:val="13"/>
                <w:b w:val="1"/>
                <w:bCs w:val="1"/>
                <w:color w:val="auto"/>
              </w:rPr>
              <w:t>Industry</w:t>
            </w:r>
          </w:p>
        </w:tc>
        <w:tc>
          <w:tcPr>
            <w:tcW w:w="5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9"/>
              </w:rPr>
              <w:t>September 30,</w:t>
            </w:r>
          </w:p>
        </w:tc>
        <w:tc>
          <w:tcPr>
            <w:tcW w:w="0" w:type="dxa"/>
            <w:vAlign w:val="bottom"/>
          </w:tcPr>
          <w:p>
            <w:pPr>
              <w:spacing w:after="0"/>
              <w:rPr>
                <w:sz w:val="1"/>
                <w:szCs w:val="1"/>
                <w:color w:val="auto"/>
              </w:rPr>
            </w:pPr>
          </w:p>
        </w:tc>
      </w:tr>
      <w:tr>
        <w:trPr>
          <w:trHeight w:val="161"/>
        </w:trPr>
        <w:tc>
          <w:tcPr>
            <w:tcW w:w="4200" w:type="dxa"/>
            <w:vAlign w:val="bottom"/>
            <w:tcBorders>
              <w:bottom w:val="single" w:sz="8" w:color="auto"/>
            </w:tcBorders>
            <w:vMerge w:val="continue"/>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500" w:type="dxa"/>
            <w:vAlign w:val="bottom"/>
          </w:tcPr>
          <w:p>
            <w:pPr>
              <w:spacing w:after="0"/>
              <w:rPr>
                <w:sz w:val="14"/>
                <w:szCs w:val="14"/>
                <w:color w:val="auto"/>
              </w:rPr>
            </w:pPr>
          </w:p>
        </w:tc>
        <w:tc>
          <w:tcPr>
            <w:tcW w:w="3900" w:type="dxa"/>
            <w:vAlign w:val="bottom"/>
            <w:tcBorders>
              <w:bottom w:val="single" w:sz="8" w:color="auto"/>
            </w:tcBorders>
            <w:vMerge w:val="continue"/>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2008</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132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92"/>
              </w:rPr>
              <w:t>9%</w:t>
            </w:r>
          </w:p>
        </w:tc>
        <w:tc>
          <w:tcPr>
            <w:tcW w:w="5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32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Aerospace and Defense</w:t>
            </w:r>
          </w:p>
        </w:tc>
        <w:tc>
          <w:tcPr>
            <w:tcW w:w="1320" w:type="dxa"/>
            <w:vAlign w:val="bottom"/>
            <w:gridSpan w:val="2"/>
          </w:tcPr>
          <w:p>
            <w:pPr>
              <w:jc w:val="center"/>
              <w:ind w:left="432"/>
              <w:spacing w:after="0"/>
              <w:rPr>
                <w:sz w:val="20"/>
                <w:szCs w:val="20"/>
                <w:color w:val="auto"/>
              </w:rPr>
            </w:pPr>
            <w:r>
              <w:rPr>
                <w:rFonts w:ascii="Arial" w:cs="Arial" w:eastAsia="Arial" w:hAnsi="Arial"/>
                <w:sz w:val="18"/>
                <w:szCs w:val="18"/>
                <w:color w:val="auto"/>
                <w:w w:val="92"/>
              </w:rPr>
              <w:t>8%</w:t>
            </w:r>
          </w:p>
        </w:tc>
        <w:tc>
          <w:tcPr>
            <w:tcW w:w="5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Other Media</w:t>
            </w:r>
          </w:p>
        </w:tc>
        <w:tc>
          <w:tcPr>
            <w:tcW w:w="1320" w:type="dxa"/>
            <w:vAlign w:val="bottom"/>
            <w:gridSpan w:val="2"/>
          </w:tcPr>
          <w:p>
            <w:pPr>
              <w:jc w:val="right"/>
              <w:ind w:right="23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32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92"/>
              </w:rPr>
              <w:t>7%</w:t>
            </w:r>
          </w:p>
        </w:tc>
        <w:tc>
          <w:tcPr>
            <w:tcW w:w="5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32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Healthcare, Education and Childcare</w:t>
            </w:r>
          </w:p>
        </w:tc>
        <w:tc>
          <w:tcPr>
            <w:tcW w:w="1320" w:type="dxa"/>
            <w:vAlign w:val="bottom"/>
            <w:gridSpan w:val="2"/>
          </w:tcPr>
          <w:p>
            <w:pPr>
              <w:jc w:val="center"/>
              <w:ind w:left="432"/>
              <w:spacing w:after="0"/>
              <w:rPr>
                <w:sz w:val="20"/>
                <w:szCs w:val="20"/>
                <w:color w:val="auto"/>
              </w:rPr>
            </w:pPr>
            <w:r>
              <w:rPr>
                <w:rFonts w:ascii="Arial" w:cs="Arial" w:eastAsia="Arial" w:hAnsi="Arial"/>
                <w:sz w:val="18"/>
                <w:szCs w:val="18"/>
                <w:color w:val="auto"/>
                <w:w w:val="92"/>
              </w:rPr>
              <w:t>7%</w:t>
            </w:r>
          </w:p>
        </w:tc>
        <w:tc>
          <w:tcPr>
            <w:tcW w:w="5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Oil and Gas</w:t>
            </w:r>
          </w:p>
        </w:tc>
        <w:tc>
          <w:tcPr>
            <w:tcW w:w="1320" w:type="dxa"/>
            <w:vAlign w:val="bottom"/>
            <w:gridSpan w:val="2"/>
          </w:tcPr>
          <w:p>
            <w:pPr>
              <w:jc w:val="right"/>
              <w:ind w:right="23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132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92"/>
              </w:rPr>
              <w:t>7%</w:t>
            </w:r>
          </w:p>
        </w:tc>
        <w:tc>
          <w:tcPr>
            <w:tcW w:w="5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32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Oil and Gas</w:t>
            </w:r>
          </w:p>
        </w:tc>
        <w:tc>
          <w:tcPr>
            <w:tcW w:w="1320" w:type="dxa"/>
            <w:vAlign w:val="bottom"/>
            <w:gridSpan w:val="2"/>
          </w:tcPr>
          <w:p>
            <w:pPr>
              <w:jc w:val="center"/>
              <w:ind w:left="432"/>
              <w:spacing w:after="0"/>
              <w:rPr>
                <w:sz w:val="20"/>
                <w:szCs w:val="20"/>
                <w:color w:val="auto"/>
              </w:rPr>
            </w:pPr>
            <w:r>
              <w:rPr>
                <w:rFonts w:ascii="Arial" w:cs="Arial" w:eastAsia="Arial" w:hAnsi="Arial"/>
                <w:sz w:val="18"/>
                <w:szCs w:val="18"/>
                <w:color w:val="auto"/>
                <w:w w:val="92"/>
              </w:rPr>
              <w:t>6%</w:t>
            </w:r>
          </w:p>
        </w:tc>
        <w:tc>
          <w:tcPr>
            <w:tcW w:w="5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Energy / Utilities</w:t>
            </w:r>
          </w:p>
        </w:tc>
        <w:tc>
          <w:tcPr>
            <w:tcW w:w="1320" w:type="dxa"/>
            <w:vAlign w:val="bottom"/>
            <w:gridSpan w:val="2"/>
          </w:tcPr>
          <w:p>
            <w:pPr>
              <w:jc w:val="right"/>
              <w:ind w:right="23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32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92"/>
              </w:rPr>
              <w:t>5%</w:t>
            </w:r>
          </w:p>
        </w:tc>
        <w:tc>
          <w:tcPr>
            <w:tcW w:w="5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132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Energy/Utilities</w:t>
            </w:r>
          </w:p>
        </w:tc>
        <w:tc>
          <w:tcPr>
            <w:tcW w:w="1320" w:type="dxa"/>
            <w:vAlign w:val="bottom"/>
            <w:gridSpan w:val="2"/>
          </w:tcPr>
          <w:p>
            <w:pPr>
              <w:jc w:val="center"/>
              <w:ind w:left="432"/>
              <w:spacing w:after="0"/>
              <w:rPr>
                <w:sz w:val="20"/>
                <w:szCs w:val="20"/>
                <w:color w:val="auto"/>
              </w:rPr>
            </w:pPr>
            <w:r>
              <w:rPr>
                <w:rFonts w:ascii="Arial" w:cs="Arial" w:eastAsia="Arial" w:hAnsi="Arial"/>
                <w:sz w:val="18"/>
                <w:szCs w:val="18"/>
                <w:color w:val="auto"/>
                <w:w w:val="92"/>
              </w:rPr>
              <w:t>5%</w:t>
            </w:r>
          </w:p>
        </w:tc>
        <w:tc>
          <w:tcPr>
            <w:tcW w:w="5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Insurance</w:t>
            </w:r>
          </w:p>
        </w:tc>
        <w:tc>
          <w:tcPr>
            <w:tcW w:w="1320" w:type="dxa"/>
            <w:vAlign w:val="bottom"/>
            <w:gridSpan w:val="2"/>
          </w:tcPr>
          <w:p>
            <w:pPr>
              <w:jc w:val="right"/>
              <w:ind w:right="23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32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92"/>
              </w:rPr>
              <w:t>5%</w:t>
            </w:r>
          </w:p>
        </w:tc>
        <w:tc>
          <w:tcPr>
            <w:tcW w:w="5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Auto Sector</w:t>
            </w:r>
          </w:p>
        </w:tc>
        <w:tc>
          <w:tcPr>
            <w:tcW w:w="132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Transportation</w:t>
            </w:r>
          </w:p>
        </w:tc>
        <w:tc>
          <w:tcPr>
            <w:tcW w:w="1320" w:type="dxa"/>
            <w:vAlign w:val="bottom"/>
            <w:gridSpan w:val="2"/>
          </w:tcPr>
          <w:p>
            <w:pPr>
              <w:jc w:val="center"/>
              <w:ind w:left="432"/>
              <w:spacing w:after="0"/>
              <w:rPr>
                <w:sz w:val="20"/>
                <w:szCs w:val="20"/>
                <w:color w:val="auto"/>
              </w:rPr>
            </w:pPr>
            <w:r>
              <w:rPr>
                <w:rFonts w:ascii="Arial" w:cs="Arial" w:eastAsia="Arial" w:hAnsi="Arial"/>
                <w:sz w:val="18"/>
                <w:szCs w:val="18"/>
                <w:color w:val="auto"/>
                <w:w w:val="92"/>
              </w:rPr>
              <w:t>5%</w:t>
            </w:r>
          </w:p>
        </w:tc>
        <w:tc>
          <w:tcPr>
            <w:tcW w:w="50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Chemicals, Plastics and Rubber</w:t>
            </w:r>
          </w:p>
        </w:tc>
        <w:tc>
          <w:tcPr>
            <w:tcW w:w="1320" w:type="dxa"/>
            <w:vAlign w:val="bottom"/>
            <w:gridSpan w:val="2"/>
          </w:tcPr>
          <w:p>
            <w:pPr>
              <w:jc w:val="right"/>
              <w:ind w:right="23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affiliates of PennantPark Investment, subject to compliance with applicable regulations and our allocation procedures. Some types of negotiated co-investments may be made only if we receive an order from the SEC permitting us to do so. There can be no assurance that any such order will be obtained.</w:t>
      </w:r>
    </w:p>
    <w:p>
      <w:pPr>
        <w:spacing w:after="0" w:line="147" w:lineRule="exact"/>
        <w:rPr>
          <w:sz w:val="20"/>
          <w:szCs w:val="20"/>
          <w:color w:val="auto"/>
        </w:rPr>
      </w:pPr>
    </w:p>
    <w:p>
      <w:pPr>
        <w:ind w:right="260" w:firstLine="449"/>
        <w:spacing w:after="0" w:line="268" w:lineRule="auto"/>
        <w:rPr>
          <w:sz w:val="20"/>
          <w:szCs w:val="20"/>
          <w:color w:val="auto"/>
        </w:rPr>
      </w:pPr>
      <w:r>
        <w:rPr>
          <w:rFonts w:ascii="Arial" w:cs="Arial" w:eastAsia="Arial" w:hAnsi="Arial"/>
          <w:sz w:val="18"/>
          <w:szCs w:val="18"/>
          <w:color w:val="auto"/>
        </w:rPr>
        <w:t>On September 30, 2009, our portfolio consisted of forty-two companies and was invested 33% in subordinated debt, 29% in second lien secured debt, 32% in senior secured loans, and 6% in preferred and common equity investments.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177" w:lineRule="exact"/>
        <w:rPr>
          <w:sz w:val="20"/>
          <w:szCs w:val="20"/>
          <w:color w:val="auto"/>
        </w:rPr>
      </w:pPr>
    </w:p>
    <w:p>
      <w:pPr>
        <w:ind w:right="20" w:firstLine="449"/>
        <w:spacing w:after="0" w:line="268" w:lineRule="auto"/>
        <w:rPr>
          <w:sz w:val="20"/>
          <w:szCs w:val="20"/>
          <w:color w:val="auto"/>
        </w:rPr>
      </w:pPr>
      <w:r>
        <w:rPr>
          <w:rFonts w:ascii="Arial" w:cs="Arial" w:eastAsia="Arial" w:hAnsi="Arial"/>
          <w:sz w:val="18"/>
          <w:szCs w:val="18"/>
          <w:color w:val="auto"/>
        </w:rPr>
        <w:t>We are committed to a value oriented philosophy used by the investment professionals who manage our portfolio and seek to minimize the risk of capital loss without foregoing potential for capital appreciation.</w:t>
      </w:r>
    </w:p>
    <w:p>
      <w:pPr>
        <w:spacing w:after="0" w:line="132" w:lineRule="exact"/>
        <w:rPr>
          <w:sz w:val="20"/>
          <w:szCs w:val="20"/>
          <w:color w:val="auto"/>
        </w:rPr>
      </w:pPr>
    </w:p>
    <w:p>
      <w:pPr>
        <w:jc w:val="both"/>
        <w:ind w:right="140" w:firstLine="449"/>
        <w:spacing w:after="0" w:line="259" w:lineRule="auto"/>
        <w:rPr>
          <w:sz w:val="20"/>
          <w:szCs w:val="20"/>
          <w:color w:val="auto"/>
        </w:rPr>
      </w:pPr>
      <w:r>
        <w:rPr>
          <w:rFonts w:ascii="Arial" w:cs="Arial" w:eastAsia="Arial" w:hAnsi="Arial"/>
          <w:sz w:val="18"/>
          <w:szCs w:val="18"/>
          <w:color w:val="auto"/>
        </w:rPr>
        <w:t>We have identified several criteria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w:t>
      </w:r>
    </w:p>
    <w:p>
      <w:pPr>
        <w:spacing w:after="0" w:line="140" w:lineRule="exact"/>
        <w:rPr>
          <w:sz w:val="20"/>
          <w:szCs w:val="20"/>
          <w:color w:val="auto"/>
        </w:rPr>
      </w:pPr>
    </w:p>
    <w:p>
      <w:pPr>
        <w:ind w:right="280" w:firstLine="449"/>
        <w:spacing w:after="0" w:line="268" w:lineRule="auto"/>
        <w:rPr>
          <w:sz w:val="20"/>
          <w:szCs w:val="20"/>
          <w:color w:val="auto"/>
        </w:rPr>
      </w:pPr>
      <w:r>
        <w:rPr>
          <w:rFonts w:ascii="Arial" w:cs="Arial" w:eastAsia="Arial" w:hAnsi="Arial"/>
          <w:sz w:val="18"/>
          <w:szCs w:val="18"/>
          <w:color w:val="auto"/>
        </w:rPr>
        <w:t>Generally, we seek to use our experience and access to market information to identify investment candidates and to structure investments quickly and effectively.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orientation and positive cash flow</w:t>
      </w:r>
    </w:p>
    <w:p>
      <w:pPr>
        <w:spacing w:after="0" w:line="171" w:lineRule="exact"/>
        <w:rPr>
          <w:sz w:val="20"/>
          <w:szCs w:val="20"/>
          <w:color w:val="auto"/>
        </w:rPr>
      </w:pPr>
    </w:p>
    <w:p>
      <w:pPr>
        <w:ind w:right="100" w:firstLine="449"/>
        <w:spacing w:after="0" w:line="306" w:lineRule="auto"/>
        <w:rPr>
          <w:sz w:val="20"/>
          <w:szCs w:val="20"/>
          <w:color w:val="auto"/>
        </w:rPr>
      </w:pPr>
      <w:r>
        <w:rPr>
          <w:rFonts w:ascii="Arial" w:cs="Arial" w:eastAsia="Arial" w:hAnsi="Arial"/>
          <w:sz w:val="16"/>
          <w:szCs w:val="16"/>
          <w:color w:val="auto"/>
        </w:rPr>
        <w:t>Our investment philosophy places a premium on fundamental analysis from an investor’s perspective and has a distinct value orientation. We focus on companies in which we can invest at relatively low multiples of operating cash flow and that are profitable at the time of investment on an operating cash flow basis. Typically, we do not expect to invest in start-up companies or companies having speculative business plans.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Experienced management and established financial sponsor relationship</w:t>
      </w:r>
    </w:p>
    <w:p>
      <w:pPr>
        <w:spacing w:after="0" w:line="171" w:lineRule="exact"/>
        <w:rPr>
          <w:sz w:val="20"/>
          <w:szCs w:val="20"/>
          <w:color w:val="auto"/>
        </w:rPr>
      </w:pPr>
    </w:p>
    <w:p>
      <w:pPr>
        <w:ind w:right="400" w:firstLine="449"/>
        <w:spacing w:after="0" w:line="256" w:lineRule="auto"/>
        <w:rPr>
          <w:sz w:val="20"/>
          <w:szCs w:val="20"/>
          <w:color w:val="auto"/>
        </w:rPr>
      </w:pPr>
      <w:r>
        <w:rPr>
          <w:rFonts w:ascii="Arial" w:cs="Arial" w:eastAsia="Arial" w:hAnsi="Arial"/>
          <w:sz w:val="18"/>
          <w:szCs w:val="18"/>
          <w:color w:val="auto"/>
        </w:rPr>
        <w:t>We generally require that our portfolio companies have an experienced management team. We also require the portfolio companies to have proper incentives in place to induce management to succeed and to act in concert with our interests as investors, including having significant equity interests. In addition, we focus our investments in companies backed by strong financial sponsors that have a history of creating value and with whom members of our Investment Adviser have an established relationship.</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and defensible competitive market position in industry</w:t>
      </w:r>
    </w:p>
    <w:p>
      <w:pPr>
        <w:spacing w:after="0" w:line="171"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We seek to invest in target companies that have developed leading market positions within their respective markets and are well positioned to capitalize on growth opportunities. We also seek companies that demonstrate significant competitive advantages versus their competitors, which should help to protect their market position and profitability.</w:t>
      </w:r>
    </w:p>
    <w:p>
      <w:pPr>
        <w:sectPr>
          <w:pgSz w:w="11900" w:h="16838" w:orient="portrait"/>
          <w:cols w:equalWidth="0" w:num="1">
            <w:col w:w="11240"/>
          </w:cols>
          <w:pgMar w:left="320" w:top="45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Viable exit strategy</w:t>
      </w:r>
    </w:p>
    <w:p>
      <w:pPr>
        <w:spacing w:after="0" w:line="171" w:lineRule="exact"/>
        <w:rPr>
          <w:sz w:val="20"/>
          <w:szCs w:val="20"/>
          <w:color w:val="auto"/>
        </w:rPr>
      </w:pPr>
    </w:p>
    <w:p>
      <w:pPr>
        <w:ind w:firstLine="449"/>
        <w:spacing w:after="0" w:line="317" w:lineRule="auto"/>
        <w:rPr>
          <w:sz w:val="20"/>
          <w:szCs w:val="20"/>
          <w:color w:val="auto"/>
        </w:rPr>
      </w:pPr>
      <w:r>
        <w:rPr>
          <w:rFonts w:ascii="Arial" w:cs="Arial" w:eastAsia="Arial" w:hAnsi="Arial"/>
          <w:sz w:val="15"/>
          <w:szCs w:val="15"/>
          <w:color w:val="auto"/>
        </w:rPr>
        <w:t>We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another capital market transaction.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w:t>
      </w:r>
    </w:p>
    <w:p>
      <w:pPr>
        <w:spacing w:after="0" w:line="171" w:lineRule="exact"/>
        <w:rPr>
          <w:sz w:val="20"/>
          <w:szCs w:val="20"/>
          <w:color w:val="auto"/>
        </w:rPr>
      </w:pPr>
    </w:p>
    <w:p>
      <w:pPr>
        <w:ind w:right="160" w:firstLine="449"/>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We, through our Investment Adviser, conduct a rigorous due diligence process that is applied to prospective portfolio companies that draws from our Investment Adviser’s experience, industry expertise and network of contacts. In conducting due diligence, our Investment Adviser uses publicly available information as well as information from its relationships with former and current management teams, consultants, competitors and investment bankers.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90" w:lineRule="exact"/>
        <w:rPr>
          <w:sz w:val="20"/>
          <w:szCs w:val="20"/>
          <w:color w:val="auto"/>
        </w:rPr>
      </w:pPr>
    </w:p>
    <w:p>
      <w:pPr>
        <w:ind w:left="880" w:hanging="31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320" w:top="131" w:right="5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hanging="319"/>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 of loan documents;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71"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principals leading the investment present the investment opportunity to our Investment Adviser’s investment committee. This committee determines whether to pursue the potential investment. All new investments are required to be reviewed by the investment committee of our Investment Adviser, which currently consists of Messrs. Penn, Chang, Giannetti and Williams, subject to approval by Mr. Penn. As our Investment Adviser adds senior investment professionals, our Investment Adviser may add them to its investment committee. The members of the investment committee receive no compensation from us. These members are employees of our Investment Adviser and receive compensation from our Investment Adviser.</w:t>
      </w:r>
    </w:p>
    <w:p>
      <w:pPr>
        <w:spacing w:after="0" w:line="120"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171" w:lineRule="exact"/>
        <w:rPr>
          <w:sz w:val="20"/>
          <w:szCs w:val="20"/>
          <w:color w:val="auto"/>
        </w:rPr>
      </w:pPr>
    </w:p>
    <w:p>
      <w:pPr>
        <w:jc w:val="both"/>
        <w:ind w:right="60" w:firstLine="449"/>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expected to perform relative to the other capital in the portfolio company’s capital structure.</w:t>
      </w:r>
    </w:p>
    <w:p>
      <w:pPr>
        <w:spacing w:after="0" w:line="140" w:lineRule="exact"/>
        <w:rPr>
          <w:sz w:val="20"/>
          <w:szCs w:val="20"/>
          <w:color w:val="auto"/>
        </w:rPr>
      </w:pPr>
    </w:p>
    <w:p>
      <w:pPr>
        <w:ind w:right="100" w:firstLine="449"/>
        <w:spacing w:after="0" w:line="256" w:lineRule="auto"/>
        <w:rPr>
          <w:sz w:val="20"/>
          <w:szCs w:val="20"/>
          <w:color w:val="auto"/>
        </w:rPr>
      </w:pPr>
      <w:r>
        <w:rPr>
          <w:rFonts w:ascii="Arial" w:cs="Arial" w:eastAsia="Arial" w:hAnsi="Arial"/>
          <w:sz w:val="18"/>
          <w:szCs w:val="18"/>
          <w:color w:val="auto"/>
        </w:rPr>
        <w:t>Mezzanine debt typically has interest-only payments in the early years, with amortization of principal deferred to the later years of the mezzanine debt.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43"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0" w:lineRule="exact"/>
        <w:rPr>
          <w:sz w:val="20"/>
          <w:szCs w:val="20"/>
          <w:color w:val="auto"/>
        </w:rPr>
      </w:pPr>
    </w:p>
    <w:p>
      <w:pPr>
        <w:ind w:right="40" w:firstLine="449"/>
        <w:spacing w:after="0" w:line="256" w:lineRule="auto"/>
        <w:rPr>
          <w:sz w:val="20"/>
          <w:szCs w:val="20"/>
          <w:color w:val="auto"/>
        </w:rPr>
      </w:pPr>
      <w:r>
        <w:rPr>
          <w:rFonts w:ascii="Arial" w:cs="Arial" w:eastAsia="Arial" w:hAnsi="Arial"/>
          <w:sz w:val="18"/>
          <w:szCs w:val="18"/>
          <w:color w:val="auto"/>
        </w:rPr>
        <w:t>In the case of our mezzanine debt and senior secured loan investments,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62" w:lineRule="exact"/>
        <w:rPr>
          <w:sz w:val="20"/>
          <w:szCs w:val="20"/>
          <w:color w:val="auto"/>
        </w:rPr>
      </w:pPr>
    </w:p>
    <w:p>
      <w:pPr>
        <w:ind w:left="880" w:hanging="319"/>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13" w:lineRule="exact"/>
        <w:rPr>
          <w:rFonts w:ascii="Arial" w:cs="Arial" w:eastAsia="Arial" w:hAnsi="Arial"/>
          <w:sz w:val="16"/>
          <w:szCs w:val="16"/>
          <w:color w:val="auto"/>
        </w:rPr>
      </w:pPr>
    </w:p>
    <w:p>
      <w:pPr>
        <w:ind w:left="880" w:hanging="31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880" w:right="160" w:hanging="319"/>
        <w:spacing w:after="0" w:line="306" w:lineRule="auto"/>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06" w:lineRule="exact"/>
        <w:rPr>
          <w:sz w:val="20"/>
          <w:szCs w:val="20"/>
          <w:color w:val="auto"/>
        </w:rPr>
      </w:pPr>
    </w:p>
    <w:p>
      <w:pPr>
        <w:ind w:right="280" w:firstLine="449"/>
        <w:spacing w:after="0" w:line="254" w:lineRule="auto"/>
        <w:rPr>
          <w:sz w:val="20"/>
          <w:szCs w:val="20"/>
          <w:color w:val="auto"/>
        </w:rPr>
      </w:pPr>
      <w:r>
        <w:rPr>
          <w:rFonts w:ascii="Arial" w:cs="Arial" w:eastAsia="Arial" w:hAnsi="Arial"/>
          <w:sz w:val="18"/>
          <w:szCs w:val="18"/>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44" w:lineRule="exact"/>
        <w:rPr>
          <w:sz w:val="20"/>
          <w:szCs w:val="20"/>
          <w:color w:val="auto"/>
        </w:rPr>
      </w:pPr>
    </w:p>
    <w:p>
      <w:pPr>
        <w:ind w:right="20" w:firstLine="449"/>
        <w:spacing w:after="0" w:line="268" w:lineRule="auto"/>
        <w:rPr>
          <w:sz w:val="20"/>
          <w:szCs w:val="20"/>
          <w:color w:val="auto"/>
        </w:rPr>
      </w:pPr>
      <w:r>
        <w:rPr>
          <w:rFonts w:ascii="Arial" w:cs="Arial" w:eastAsia="Arial" w:hAnsi="Arial"/>
          <w:sz w:val="18"/>
          <w:szCs w:val="18"/>
          <w:color w:val="auto"/>
        </w:rPr>
        <w:t>We expect to hold most of our core investments to maturity or repayment, but may sell certain investments earlier if a liquidity event takes place, such as the sale or recapitalization of a portfolio company.</w:t>
      </w:r>
    </w:p>
    <w:p>
      <w:pPr>
        <w:sectPr>
          <w:pgSz w:w="11900" w:h="16838" w:orient="portrait"/>
          <w:cols w:equalWidth="0" w:num="1">
            <w:col w:w="11220"/>
          </w:cols>
          <w:pgMar w:left="320" w:top="459"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firstLine="449"/>
        <w:spacing w:after="0" w:line="331"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87" w:lineRule="exact"/>
        <w:rPr>
          <w:sz w:val="20"/>
          <w:szCs w:val="20"/>
          <w:color w:val="auto"/>
        </w:rPr>
      </w:pPr>
    </w:p>
    <w:p>
      <w:pPr>
        <w:ind w:right="120" w:firstLine="449"/>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880" w:hanging="319"/>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880" w:right="400" w:hanging="319"/>
        <w:spacing w:after="0" w:line="268"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880" w:hanging="319"/>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Comparisons to other PennantPark Investment portfolio companies in the industry, if any;</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320" w:top="125"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171"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if available, obtained from at least two broker/dealers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of sufficient credit quality, purchased within 60 days of maturity are valued at cost plus accreted discount, or minus amortized premium, which approximates value. With respect to unquoted securities, our board of directors, together with our independent third party valuation firms, values each investment considering, among other measures, discounted cash flow models, comparisons of financial ratios of peer companies that are public and other factors.</w:t>
      </w:r>
    </w:p>
    <w:p>
      <w:pPr>
        <w:spacing w:after="0" w:line="126" w:lineRule="exact"/>
        <w:rPr>
          <w:sz w:val="20"/>
          <w:szCs w:val="20"/>
          <w:color w:val="auto"/>
        </w:rPr>
      </w:pPr>
    </w:p>
    <w:p>
      <w:pPr>
        <w:ind w:right="360" w:firstLine="449"/>
        <w:spacing w:after="0" w:line="290" w:lineRule="auto"/>
        <w:rPr>
          <w:sz w:val="20"/>
          <w:szCs w:val="20"/>
          <w:color w:val="auto"/>
        </w:rPr>
      </w:pPr>
      <w:r>
        <w:rPr>
          <w:rFonts w:ascii="Arial" w:cs="Arial" w:eastAsia="Arial" w:hAnsi="Arial"/>
          <w:sz w:val="16"/>
          <w:szCs w:val="16"/>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18" w:lineRule="exact"/>
        <w:rPr>
          <w:sz w:val="20"/>
          <w:szCs w:val="20"/>
          <w:color w:val="auto"/>
        </w:rPr>
      </w:pPr>
    </w:p>
    <w:p>
      <w:pPr>
        <w:ind w:right="180" w:firstLine="449"/>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believed not to reflect the fair value of an investment, our board of directors undertakes a multi-step valuation process each quarter, as described below:</w:t>
      </w:r>
    </w:p>
    <w:p>
      <w:pPr>
        <w:spacing w:after="0" w:line="51" w:lineRule="exact"/>
        <w:rPr>
          <w:sz w:val="20"/>
          <w:szCs w:val="20"/>
          <w:color w:val="auto"/>
        </w:rPr>
      </w:pPr>
    </w:p>
    <w:p>
      <w:pPr>
        <w:ind w:left="900" w:right="280" w:hanging="447"/>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7"/>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61" w:lineRule="exact"/>
        <w:rPr>
          <w:rFonts w:ascii="Arial" w:cs="Arial" w:eastAsia="Arial" w:hAnsi="Arial"/>
          <w:sz w:val="18"/>
          <w:szCs w:val="18"/>
          <w:color w:val="auto"/>
        </w:rPr>
      </w:pPr>
    </w:p>
    <w:p>
      <w:pPr>
        <w:ind w:left="900" w:right="100" w:hanging="447"/>
        <w:spacing w:after="0" w:line="331"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 w:lineRule="exact"/>
        <w:rPr>
          <w:rFonts w:ascii="Arial" w:cs="Arial" w:eastAsia="Arial" w:hAnsi="Arial"/>
          <w:sz w:val="16"/>
          <w:szCs w:val="16"/>
          <w:color w:val="auto"/>
        </w:rPr>
      </w:pPr>
    </w:p>
    <w:p>
      <w:pPr>
        <w:ind w:left="900" w:right="160" w:hanging="447"/>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w:t>
      </w:r>
    </w:p>
    <w:p>
      <w:pPr>
        <w:sectPr>
          <w:pgSz w:w="11900" w:h="16838" w:orient="portrait"/>
          <w:cols w:equalWidth="0" w:num="1">
            <w:col w:w="11220"/>
          </w:cols>
          <w:pgMar w:left="320" w:top="459" w:right="359" w:bottom="1440" w:gutter="0" w:footer="0" w:header="0"/>
        </w:sectPr>
      </w:pPr>
    </w:p>
    <w:bookmarkStart w:id="13" w:name="page14"/>
    <w:bookmarkEnd w:id="13"/>
    <w:p>
      <w:pPr>
        <w:ind w:firstLine="449"/>
        <w:spacing w:after="0" w:line="288" w:lineRule="auto"/>
        <w:rPr>
          <w:sz w:val="20"/>
          <w:szCs w:val="20"/>
          <w:color w:val="auto"/>
        </w:rPr>
      </w:pPr>
      <w:r>
        <w:rPr>
          <w:rFonts w:ascii="Arial" w:cs="Arial" w:eastAsia="Arial" w:hAnsi="Arial"/>
          <w:sz w:val="16"/>
          <w:szCs w:val="16"/>
          <w:color w:val="auto"/>
        </w:rPr>
        <w:t>It is possible that future events unforeseen by us or our Investment Adviser, such as a disturbance in the global credit markets, a severe decline in the value of the U.S. dollar, a sharp economic downturn or other general market disturbance, will negatively impact the market for leveraged finance instruments. If the market for our investments is substantially eroded, we may not find purchasers for our portfolio securities at all, or we may be able to sell them only for a fraction of their previously recorded value. During such times, our board of directors, in conjunction with our Investment Adviser and one or more independent valuation firms will continue to determine the fair value of our investments in accordance with our valuation process enumerated above. They will take into account the applicable market conditions, the nature and realizable value of any collateral, the portfolio company’s ability to make payments, its earnings and cash flows, the markets in which the portfolio company does business, comparison to publicly traded companies and other relevant factors. Determining fair value requires that judgment be applied to the specific facts and circumstances of each portfolio investment while employing a consistently applied valuation process for the types of investments we make.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17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As a business development company, we offer, and must provide upon request, managerial assistance to certain of our portfolio companies. This assistance could involve monitoring the operations of our portfolio companies, participating in board and management meetings, consulting with and advising officers of portfolio companies and providing other organizational and financial guidance. Our Administrator may provide such managerial assistance on our behalf to portfolio companies that request this assistance. We have not received any fees for such services since inception, but may receive compensation in the future.</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131" w:right="3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177" w:lineRule="exact"/>
        <w:rPr>
          <w:sz w:val="20"/>
          <w:szCs w:val="20"/>
          <w:color w:val="auto"/>
        </w:rPr>
      </w:pPr>
    </w:p>
    <w:p>
      <w:pPr>
        <w:ind w:right="220" w:firstLine="449"/>
        <w:spacing w:after="0" w:line="254" w:lineRule="auto"/>
        <w:rPr>
          <w:sz w:val="20"/>
          <w:szCs w:val="20"/>
          <w:color w:val="auto"/>
        </w:rPr>
      </w:pPr>
      <w:r>
        <w:rPr>
          <w:rFonts w:ascii="Arial" w:cs="Arial" w:eastAsia="Arial" w:hAnsi="Arial"/>
          <w:sz w:val="18"/>
          <w:szCs w:val="18"/>
          <w:color w:val="auto"/>
        </w:rPr>
        <w:t>We do not currently have any employees. Mr. Penn, our Chief Executive Officer, is the Managing Member of our Investment Adviser. Our Investment Adviser currently has four senior investment professionals, Messrs. Chang, Giannetti, Penn and Williams. In addition, Mr. Efrat, our Chief Financial Officer and Treasurer, is a Managing Director of our Administrator, and Mr. Guy F. Talarico is our Chief Compliance Officer. Our Investment Adviser and Administrator have hired and expect to continue to hire professionals with skills applicable to our business plan, including experience in middle-market investing, leveraged finance and capital markets.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177" w:lineRule="exact"/>
        <w:rPr>
          <w:sz w:val="20"/>
          <w:szCs w:val="20"/>
          <w:color w:val="auto"/>
        </w:rPr>
      </w:pPr>
    </w:p>
    <w:p>
      <w:pPr>
        <w:jc w:val="both"/>
        <w:ind w:right="380" w:firstLine="449"/>
        <w:spacing w:after="0" w:line="335" w:lineRule="auto"/>
        <w:rPr>
          <w:sz w:val="20"/>
          <w:szCs w:val="20"/>
          <w:color w:val="auto"/>
        </w:rPr>
      </w:pPr>
      <w:r>
        <w:rPr>
          <w:rFonts w:ascii="Arial" w:cs="Arial" w:eastAsia="Arial" w:hAnsi="Arial"/>
          <w:sz w:val="15"/>
          <w:szCs w:val="15"/>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PennantPark Investment. Under the terms of our Investment Management Agreement, PennantPark Investment Advisers:</w:t>
      </w:r>
    </w:p>
    <w:p>
      <w:pPr>
        <w:spacing w:after="0" w:line="7" w:lineRule="exact"/>
        <w:rPr>
          <w:sz w:val="20"/>
          <w:szCs w:val="20"/>
          <w:color w:val="auto"/>
        </w:rPr>
      </w:pPr>
    </w:p>
    <w:p>
      <w:pPr>
        <w:ind w:left="880" w:hanging="319"/>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880" w:right="400" w:hanging="319"/>
        <w:spacing w:after="0" w:line="268"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50" w:lineRule="exact"/>
        <w:rPr>
          <w:rFonts w:ascii="Arial" w:cs="Arial" w:eastAsia="Arial" w:hAnsi="Arial"/>
          <w:sz w:val="18"/>
          <w:szCs w:val="18"/>
          <w:color w:val="auto"/>
        </w:rPr>
      </w:pPr>
    </w:p>
    <w:p>
      <w:pPr>
        <w:ind w:left="880" w:hanging="319"/>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closes and monitors the investments we make.</w:t>
      </w:r>
    </w:p>
    <w:p>
      <w:pPr>
        <w:spacing w:after="0" w:line="171" w:lineRule="exact"/>
        <w:rPr>
          <w:sz w:val="20"/>
          <w:szCs w:val="20"/>
          <w:color w:val="auto"/>
        </w:rPr>
      </w:pPr>
    </w:p>
    <w:p>
      <w:pPr>
        <w:ind w:right="100" w:firstLine="449"/>
        <w:spacing w:after="0" w:line="294"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to other entities so long as its services to us are not impaired. The Investment Adviser has not yet undertaken any such services, but may do so at any time and without the prior approval of our stockholders or our board of directors. Our board of directors would monitor any potential conflicts that may arise upon such a development. For providing these services, the Investment Adviser receives a fee from PennantPark Investment, consisting of two components—a base management fee and an incentive fee (collectively, “Management Fees”).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171" w:lineRule="exact"/>
        <w:rPr>
          <w:sz w:val="20"/>
          <w:szCs w:val="20"/>
          <w:color w:val="auto"/>
        </w:rPr>
      </w:pPr>
    </w:p>
    <w:p>
      <w:pPr>
        <w:ind w:right="100" w:firstLine="449"/>
        <w:spacing w:after="0" w:line="287" w:lineRule="auto"/>
        <w:rPr>
          <w:sz w:val="20"/>
          <w:szCs w:val="20"/>
          <w:color w:val="auto"/>
        </w:rPr>
      </w:pPr>
      <w:r>
        <w:rPr>
          <w:rFonts w:ascii="Arial" w:cs="Arial" w:eastAsia="Arial" w:hAnsi="Arial"/>
          <w:sz w:val="16"/>
          <w:szCs w:val="16"/>
          <w:color w:val="auto"/>
        </w:rPr>
        <w:t>The base management fee is calculated at an annual rate of 2.00% of our gross assets (net of U.S. Treasury Bills and/or temporary draws on the credit facility (“adjusted gross assets”), if any). Although the base management fee is 2.00% of our adjusted gross assets, the Investment Adviser waived a portion of the base management fee such that the base management fee equaled 1.50% from the consummation of the initial public offering through September 30, 2007. The base management fee was 1.75% from October 1, 2007 through March 31, 2008. Our base management fee has been 2.00% since March 31, 2008. For services rendered under our Investment Management Agreement the base management fee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Base investment advisory fees for any partial month or quarter are appropriately prorated. For the fiscal years ended September 30, 2009, and 2008 and for the period from January 11, 2007 (inception) through September 30, 2007, the Investment Adviser earned base management fees, after fee waivers, if any, of $7.7 million, $6.7 million and $1.9 million, respectively.</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our Administration Agreement, and any interest expense and distributions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that we have not yet received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calendar quarter, will be compared to a Hurdle of 1.75% per quarter (7.00% annualized). We have agreed to pay PennantPark Investment Advisers an incentive fee with respect to our Pre-Incentive Fee Net Investment Income in each calendar quarter as follows: (1) no incentive fee in any calendar quarter in which PennantPark Investment’s Pre-Incentive Fee Net Income does not exceed the hurdle rate of 1.75%, (2) 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The “catch-up” is meant to provide our Investment Adviser with 20% of our Pre-Incentive Fee Net Investment Income as if a Hurdle did not apply if this net investment income exceeds 2.1875% in any calendar quarter, and (3) 20% of the amount of our Pre-Incentive Fee Net Investment Income, if any, that exceeds 2.1875% in any calendar quarter (8.75% annualized) is payable to our Investment Adviser (once the Hurdle is reached and the catch-up is achieved, 20% of all Pre-Incentive Fee Investment Income thereafter is allocated to our Investment Adviser). These calculations are appropriately prorated for any period of less than three months and adjusted for any share issuances or repurchases during the current quarter.</w:t>
      </w:r>
    </w:p>
    <w:p>
      <w:pPr>
        <w:spacing w:after="0" w:line="12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The following is a graphical representation of calculation of quarterly incentive fee based on Net Investment Income</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b w:val="1"/>
          <w:bCs w:val="1"/>
          <w:i w:val="1"/>
          <w:iCs w:val="1"/>
          <w:color w:val="auto"/>
        </w:rPr>
        <w:t>Pre-incentive fee net investment income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109855</wp:posOffset>
            </wp:positionV>
            <wp:extent cx="2768600" cy="5054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6860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allocated to income-related portion of incentive fee</w:t>
      </w:r>
    </w:p>
    <w:p>
      <w:pPr>
        <w:sectPr>
          <w:pgSz w:w="11900" w:h="16838" w:orient="portrait"/>
          <w:cols w:equalWidth="0" w:num="1">
            <w:col w:w="11240"/>
          </w:cols>
          <w:pgMar w:left="320" w:top="459" w:right="339" w:bottom="119"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459" w:right="339" w:bottom="119"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advisory and management agreement, as of the termination date), commencing on December 31, 2007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2009, and 2008 and the period from January 11, 2007 (inception) through September 30, 2007, the Investment Adviser earned $5.7 million, $3.8 million and $0.0 million, respectively, in incentive fees.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Alternative 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0" w:lineRule="exact"/>
        <w:rPr>
          <w:sz w:val="20"/>
          <w:szCs w:val="20"/>
          <w:color w:val="auto"/>
        </w:rPr>
      </w:pPr>
    </w:p>
    <w:p>
      <w:pPr>
        <w:ind w:left="460" w:right="4000"/>
        <w:spacing w:after="0" w:line="437" w:lineRule="auto"/>
        <w:rPr>
          <w:sz w:val="20"/>
          <w:szCs w:val="20"/>
          <w:color w:val="auto"/>
        </w:rPr>
      </w:pPr>
      <w:r>
        <w:rPr>
          <w:rFonts w:ascii="Arial" w:cs="Arial" w:eastAsia="Arial" w:hAnsi="Arial"/>
          <w:sz w:val="16"/>
          <w:szCs w:val="16"/>
          <w:color w:val="auto"/>
        </w:rPr>
        <w:t>(investment income—(base management fee + other expenses)) = 0.55% Pre-incentive net investment income does not exceed Hurdle; therefore there is no incentive fee.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212" w:lineRule="exact"/>
        <w:rPr>
          <w:sz w:val="20"/>
          <w:szCs w:val="20"/>
          <w:color w:val="auto"/>
        </w:rPr>
      </w:pPr>
    </w:p>
    <w:p>
      <w:pPr>
        <w:ind w:left="1020"/>
        <w:spacing w:after="0"/>
        <w:tabs>
          <w:tab w:leader="none" w:pos="248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15" w:lineRule="exact"/>
        <w:rPr>
          <w:sz w:val="20"/>
          <w:szCs w:val="20"/>
          <w:color w:val="auto"/>
        </w:rPr>
      </w:pPr>
    </w:p>
    <w:p>
      <w:pPr>
        <w:ind w:left="2640" w:hanging="135"/>
        <w:spacing w:after="0"/>
        <w:tabs>
          <w:tab w:leader="none" w:pos="2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2.00% – 1.75%</w:t>
      </w:r>
    </w:p>
    <w:p>
      <w:pPr>
        <w:spacing w:after="0" w:line="9" w:lineRule="exact"/>
        <w:rPr>
          <w:rFonts w:ascii="Arial" w:cs="Arial" w:eastAsia="Arial" w:hAnsi="Arial"/>
          <w:sz w:val="18"/>
          <w:szCs w:val="18"/>
          <w:color w:val="auto"/>
        </w:rPr>
      </w:pPr>
    </w:p>
    <w:p>
      <w:pPr>
        <w:ind w:left="2640" w:hanging="135"/>
        <w:spacing w:after="0"/>
        <w:tabs>
          <w:tab w:leader="none" w:pos="2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0.25%</w:t>
      </w:r>
    </w:p>
    <w:p>
      <w:pPr>
        <w:spacing w:after="0" w:line="9" w:lineRule="exact"/>
        <w:rPr>
          <w:rFonts w:ascii="Arial" w:cs="Arial" w:eastAsia="Arial" w:hAnsi="Arial"/>
          <w:sz w:val="18"/>
          <w:szCs w:val="18"/>
          <w:color w:val="auto"/>
        </w:rPr>
      </w:pPr>
    </w:p>
    <w:p>
      <w:pPr>
        <w:ind w:left="2640" w:hanging="135"/>
        <w:spacing w:after="0"/>
        <w:tabs>
          <w:tab w:leader="none" w:pos="2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100% x 0.25%</w:t>
      </w:r>
    </w:p>
    <w:p>
      <w:pPr>
        <w:spacing w:after="0" w:line="9" w:lineRule="exact"/>
        <w:rPr>
          <w:rFonts w:ascii="Arial" w:cs="Arial" w:eastAsia="Arial" w:hAnsi="Arial"/>
          <w:sz w:val="18"/>
          <w:szCs w:val="18"/>
          <w:color w:val="auto"/>
        </w:rPr>
      </w:pPr>
    </w:p>
    <w:p>
      <w:pPr>
        <w:ind w:left="2640" w:hanging="135"/>
        <w:spacing w:after="0"/>
        <w:tabs>
          <w:tab w:leader="none" w:pos="2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0.25%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2.30%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20% x Pre-Incentive Fee Net Investment Income, subject to “catch-up”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x “catch-up” + (20% x (Pre-Incentive Fee Net Investment Income – 2.1875%))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Catch-up = 2.1875% – 1.75%</w:t>
      </w:r>
    </w:p>
    <w:p>
      <w:pPr>
        <w:spacing w:after="0" w:line="90" w:lineRule="exact"/>
        <w:rPr>
          <w:sz w:val="20"/>
          <w:szCs w:val="20"/>
          <w:color w:val="auto"/>
        </w:rPr>
      </w:pPr>
    </w:p>
    <w:p>
      <w:pPr>
        <w:ind w:left="600" w:hanging="143"/>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0.4375%</w:t>
      </w:r>
    </w:p>
    <w:p>
      <w:pPr>
        <w:spacing w:after="0" w:line="90" w:lineRule="exact"/>
        <w:rPr>
          <w:rFonts w:ascii="Arial" w:cs="Arial" w:eastAsia="Arial" w:hAnsi="Arial"/>
          <w:sz w:val="18"/>
          <w:szCs w:val="18"/>
          <w:color w:val="auto"/>
        </w:rPr>
      </w:pPr>
    </w:p>
    <w:p>
      <w:pPr>
        <w:ind w:left="600" w:hanging="143"/>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(100% x 0.4375%) + (20% x (2.30% – 2.1875%))</w:t>
      </w:r>
    </w:p>
    <w:p>
      <w:pPr>
        <w:spacing w:after="0" w:line="90" w:lineRule="exact"/>
        <w:rPr>
          <w:rFonts w:ascii="Arial" w:cs="Arial" w:eastAsia="Arial" w:hAnsi="Arial"/>
          <w:sz w:val="18"/>
          <w:szCs w:val="18"/>
          <w:color w:val="auto"/>
        </w:rPr>
      </w:pPr>
    </w:p>
    <w:p>
      <w:pPr>
        <w:ind w:left="600" w:hanging="143"/>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0.4375% + (20% x 0.1125%)</w:t>
      </w:r>
    </w:p>
    <w:p>
      <w:pPr>
        <w:spacing w:after="0" w:line="90" w:lineRule="exact"/>
        <w:rPr>
          <w:rFonts w:ascii="Arial" w:cs="Arial" w:eastAsia="Arial" w:hAnsi="Arial"/>
          <w:sz w:val="18"/>
          <w:szCs w:val="18"/>
          <w:color w:val="auto"/>
        </w:rPr>
      </w:pPr>
    </w:p>
    <w:p>
      <w:pPr>
        <w:ind w:left="600" w:hanging="143"/>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0.4375% + 0.0225%</w:t>
      </w:r>
    </w:p>
    <w:p>
      <w:pPr>
        <w:spacing w:after="0" w:line="90" w:lineRule="exact"/>
        <w:rPr>
          <w:rFonts w:ascii="Arial" w:cs="Arial" w:eastAsia="Arial" w:hAnsi="Arial"/>
          <w:sz w:val="18"/>
          <w:szCs w:val="18"/>
          <w:color w:val="auto"/>
        </w:rPr>
      </w:pPr>
    </w:p>
    <w:p>
      <w:pPr>
        <w:ind w:left="600" w:hanging="143"/>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0.46%</w:t>
      </w:r>
    </w:p>
    <w:p>
      <w:pPr>
        <w:sectPr>
          <w:pgSz w:w="11900" w:h="16838" w:orient="portrait"/>
          <w:cols w:equalWidth="0" w:num="1">
            <w:col w:w="11220"/>
          </w:cols>
          <w:pgMar w:left="320" w:top="459" w:right="35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20"/>
          </w:cols>
          <w:pgMar w:left="320" w:top="459" w:right="3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 no net realized capital gains or losses</w:t>
      </w:r>
    </w:p>
    <w:p>
      <w:pPr>
        <w:spacing w:after="0" w:line="90"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pacing w:after="0" w:line="172" w:lineRule="exact"/>
        <w:rPr>
          <w:sz w:val="20"/>
          <w:szCs w:val="20"/>
          <w:color w:val="auto"/>
        </w:rPr>
      </w:pPr>
    </w:p>
    <w:p>
      <w:pPr>
        <w:ind w:left="1020"/>
        <w:spacing w:after="0"/>
        <w:tabs>
          <w:tab w:leader="none" w:pos="2860" w:val="left"/>
        </w:tabs>
        <w:rPr>
          <w:sz w:val="20"/>
          <w:szCs w:val="20"/>
          <w:color w:val="auto"/>
        </w:rPr>
      </w:pPr>
      <w:r>
        <w:rPr>
          <w:rFonts w:ascii="Arial" w:cs="Arial" w:eastAsia="Arial" w:hAnsi="Arial"/>
          <w:sz w:val="18"/>
          <w:szCs w:val="18"/>
          <w:color w:val="auto"/>
        </w:rPr>
        <w:t>Year 1 incentive fee</w:t>
      </w:r>
      <w:r>
        <w:rPr>
          <w:sz w:val="20"/>
          <w:szCs w:val="20"/>
          <w:color w:val="auto"/>
        </w:rPr>
        <w:tab/>
      </w:r>
      <w:r>
        <w:rPr>
          <w:rFonts w:ascii="Arial" w:cs="Arial" w:eastAsia="Arial" w:hAnsi="Arial"/>
          <w:sz w:val="16"/>
          <w:szCs w:val="16"/>
          <w:color w:val="auto"/>
        </w:rPr>
        <w:t>= 20% x (0)</w:t>
      </w:r>
    </w:p>
    <w:p>
      <w:pPr>
        <w:spacing w:after="0" w:line="15"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 0</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 no incentive fee</w:t>
      </w:r>
    </w:p>
    <w:p>
      <w:pPr>
        <w:spacing w:after="0" w:line="9" w:lineRule="exact"/>
        <w:rPr>
          <w:sz w:val="20"/>
          <w:szCs w:val="20"/>
          <w:color w:val="auto"/>
        </w:rPr>
      </w:pPr>
    </w:p>
    <w:p>
      <w:pPr>
        <w:ind w:left="1020"/>
        <w:spacing w:after="0"/>
        <w:tabs>
          <w:tab w:leader="none" w:pos="2860" w:val="left"/>
        </w:tabs>
        <w:rPr>
          <w:sz w:val="20"/>
          <w:szCs w:val="20"/>
          <w:color w:val="auto"/>
        </w:rPr>
      </w:pPr>
      <w:r>
        <w:rPr>
          <w:rFonts w:ascii="Arial" w:cs="Arial" w:eastAsia="Arial" w:hAnsi="Arial"/>
          <w:sz w:val="18"/>
          <w:szCs w:val="18"/>
          <w:color w:val="auto"/>
        </w:rPr>
        <w:t>Year 2 incentive fee</w:t>
      </w:r>
      <w:r>
        <w:rPr>
          <w:sz w:val="20"/>
          <w:szCs w:val="20"/>
          <w:color w:val="auto"/>
        </w:rPr>
        <w:tab/>
      </w:r>
      <w:r>
        <w:rPr>
          <w:rFonts w:ascii="Arial" w:cs="Arial" w:eastAsia="Arial" w:hAnsi="Arial"/>
          <w:sz w:val="16"/>
          <w:szCs w:val="16"/>
          <w:color w:val="auto"/>
        </w:rPr>
        <w:t>= 20% x (6% – 1%)</w:t>
      </w:r>
    </w:p>
    <w:p>
      <w:pPr>
        <w:spacing w:after="0" w:line="9" w:lineRule="exact"/>
        <w:rPr>
          <w:sz w:val="20"/>
          <w:szCs w:val="20"/>
          <w:color w:val="auto"/>
        </w:rPr>
      </w:pPr>
    </w:p>
    <w:p>
      <w:pPr>
        <w:ind w:left="3020" w:hanging="150"/>
        <w:spacing w:after="0"/>
        <w:tabs>
          <w:tab w:leader="none" w:pos="3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20% x 5%</w:t>
      </w:r>
    </w:p>
    <w:p>
      <w:pPr>
        <w:spacing w:after="0" w:line="9" w:lineRule="exact"/>
        <w:rPr>
          <w:rFonts w:ascii="Arial" w:cs="Arial" w:eastAsia="Arial" w:hAnsi="Arial"/>
          <w:sz w:val="18"/>
          <w:szCs w:val="18"/>
          <w:color w:val="auto"/>
        </w:rPr>
      </w:pPr>
    </w:p>
    <w:p>
      <w:pPr>
        <w:ind w:left="3020" w:hanging="150"/>
        <w:spacing w:after="0"/>
        <w:tabs>
          <w:tab w:leader="none" w:pos="3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1%</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12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9" w:lineRule="exact"/>
        <w:rPr>
          <w:rFonts w:ascii="Arial" w:cs="Arial" w:eastAsia="Arial" w:hAnsi="Arial"/>
          <w:sz w:val="18"/>
          <w:szCs w:val="18"/>
          <w:color w:val="auto"/>
        </w:rPr>
      </w:pPr>
    </w:p>
    <w:p>
      <w:pPr>
        <w:ind w:left="460" w:right="20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2.0% annualized base management fee. Although the management fee is 2.00% of our average adjusted gross total assets, the Investment Adviser agreed to waive a portion of the base management fee such that the base management fee equaled 1.50% from the consummation of the initial public offering through September 30, 2007, 1.75% from October 1, 2007 through March 31, 2008, and 2.00% thereafter.</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171"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PennantPark Investment, in February 2009. Unless terminated earlier as described below, our Investment Management Agreement will continue in effect for a period of one year through February 2010. It will remain in effect if approved annually by our board of directors, or by the affirmative vote of the holders of a majority of our outstanding voting securities, including, in either case, approval by a majority of our directors who are not interested persons. 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structure—We are dependent upon PennantPark Investment Advisers’ key personnel for our future success, and if we are unable to hire and retain qualified personnel or if we lose any member of our management team, our ability to achieve our investment objectives could be significantly harmed.”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71" w:lineRule="exact"/>
        <w:rPr>
          <w:sz w:val="20"/>
          <w:szCs w:val="20"/>
          <w:color w:val="auto"/>
        </w:rPr>
      </w:pPr>
    </w:p>
    <w:p>
      <w:pPr>
        <w:ind w:right="240" w:firstLine="449"/>
        <w:spacing w:after="0" w:line="294" w:lineRule="auto"/>
        <w:rPr>
          <w:sz w:val="20"/>
          <w:szCs w:val="20"/>
          <w:color w:val="auto"/>
        </w:rPr>
      </w:pPr>
      <w:r>
        <w:rPr>
          <w:rFonts w:ascii="Arial" w:cs="Arial" w:eastAsia="Arial" w:hAnsi="Arial"/>
          <w:sz w:val="16"/>
          <w:szCs w:val="16"/>
          <w:color w:val="auto"/>
        </w:rPr>
        <w:t>Our Investment Management Agreement provides that, absent willful misfeasance, bad faith or gross negligence in the performance of its duties or by reason of the reckless disregard of its duties and obligations, PennantPark Investment Advisers and its officers, managers, partners, agents, employees, controlling persons, members and any other person or entity affiliated with it are entitled to indemnification from PennantPark Investment for any damages, liabilities, costs and expenses (including reasonable attorneys’ fees and amounts reasonably paid in settlement) arising from the rendering of PennantPark Investment Advisers’ services under each respective agreement or otherwise as an Investment Adviser of PennantPark Investment.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171" w:lineRule="exact"/>
        <w:rPr>
          <w:sz w:val="20"/>
          <w:szCs w:val="20"/>
          <w:color w:val="auto"/>
        </w:rPr>
      </w:pPr>
    </w:p>
    <w:p>
      <w:pPr>
        <w:ind w:right="380" w:firstLine="449"/>
        <w:spacing w:after="0" w:line="268" w:lineRule="auto"/>
        <w:rPr>
          <w:sz w:val="20"/>
          <w:szCs w:val="20"/>
          <w:color w:val="auto"/>
        </w:rPr>
      </w:pPr>
      <w:r>
        <w:rPr>
          <w:rFonts w:ascii="Arial" w:cs="Arial" w:eastAsia="Arial" w:hAnsi="Arial"/>
          <w:sz w:val="18"/>
          <w:szCs w:val="18"/>
          <w:color w:val="auto"/>
        </w:rPr>
        <w:t>PennantPark Investment Advisers is a registered investment adviser under the Advisers Act of 1940. The principal executive offices of PennantPark Investment Advisers are located at 590 Madison Avenue, 15th Floor, New York, NY 10022.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17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provides on our behalf managerial assistance to those portfolio companies to which we are required to provide such assistance. To the extent that our Administrator outsources any of its functions, we will pay the fees associated with such functions on a direct basis without profit to the Administrator. For the fiscal year ended September 30, 2009, 2008 and for the period from January 11, 2007 (inception) to September 30, 2007, the Investment Adviser was reimbursed $1.7 million, $2.0 million and approximately $0.5 million, respectively, from PennantPark Investment, including expenses it incurred on behalf of the Administrator for the services described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171"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The Administration Agreement was re-approved by our board of directors, including a majority of our directors who are not interested persons of PennantPark Investment, in February 2009. Unless terminated earlier as described below, our Administration Agreement will continue in effect for a period of one year through February 2010. It will remain in effect if approved annually by our board of directors, or by the affirmative vote of the holders of a majority of our outstanding voting securities, including, in either case, approval by a majority of our directors who are not interested persons. The Administration Agreement will automatically terminate in the event of its assignment. The Administration Agreement may be terminated by either party without penalty upon not more than 60 days’ written notice to the other.</w:t>
      </w:r>
    </w:p>
    <w:p>
      <w:pPr>
        <w:sectPr>
          <w:pgSz w:w="11900" w:h="16838" w:orient="portrait"/>
          <w:cols w:equalWidth="0" w:num="1">
            <w:col w:w="11240"/>
          </w:cols>
          <w:pgMar w:left="320" w:top="459" w:right="339" w:bottom="568"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459" w:right="339" w:bottom="568"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71" w:lineRule="exact"/>
        <w:rPr>
          <w:sz w:val="20"/>
          <w:szCs w:val="20"/>
          <w:color w:val="auto"/>
        </w:rPr>
      </w:pPr>
    </w:p>
    <w:p>
      <w:pPr>
        <w:ind w:right="140" w:firstLine="449"/>
        <w:spacing w:after="0" w:line="294" w:lineRule="auto"/>
        <w:rPr>
          <w:sz w:val="20"/>
          <w:szCs w:val="20"/>
          <w:color w:val="auto"/>
        </w:rPr>
      </w:pPr>
      <w:r>
        <w:rPr>
          <w:rFonts w:ascii="Arial" w:cs="Arial" w:eastAsia="Arial" w:hAnsi="Arial"/>
          <w:sz w:val="16"/>
          <w:szCs w:val="16"/>
          <w:color w:val="auto"/>
        </w:rPr>
        <w:t>The Administration Agreement provides that, absent willful misfeasance, bad faith or gross negligence in the performance of its duties or by reason of the reckless disregard of its duties and obligations, PennantPark Investment Administration and its officers, manager, partners, agents, employees, controlling persons, members and any other person or entity affiliated with it are entitled to indemnification from PennantPark Investment for any damages, liabilities, costs and expenses (including reasonable attorneys’ fees and amounts reasonably paid in settlement) arising from the rendering of PennantPark Investment Administration’s services under our Administration Agreement or otherwise as Administrator for PennantPark Investment.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71" w:lineRule="exact"/>
        <w:rPr>
          <w:sz w:val="20"/>
          <w:szCs w:val="20"/>
          <w:color w:val="auto"/>
        </w:rPr>
      </w:pPr>
    </w:p>
    <w:p>
      <w:pPr>
        <w:ind w:right="60" w:firstLine="449"/>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We are a business development company under the 1940 Act, which has qualified and intends to continue to qualify to maintain an election to be treated as a RIC under Subchapter M of the Code. The 1940 Act contains prohibitions and restrictions relating to transactions between business development companies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business development company unless approved by a majority of our outstanding voting securities.</w:t>
      </w:r>
    </w:p>
    <w:p>
      <w:pPr>
        <w:spacing w:after="0" w:line="144"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17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proposed business are the following:</w:t>
      </w:r>
    </w:p>
    <w:p>
      <w:pPr>
        <w:spacing w:after="0" w:line="59" w:lineRule="exact"/>
        <w:rPr>
          <w:sz w:val="20"/>
          <w:szCs w:val="20"/>
          <w:color w:val="auto"/>
        </w:rPr>
      </w:pPr>
    </w:p>
    <w:p>
      <w:pPr>
        <w:ind w:left="900" w:right="260" w:hanging="447"/>
        <w:spacing w:after="0" w:line="25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61" w:lineRule="exact"/>
        <w:rPr>
          <w:rFonts w:ascii="Arial" w:cs="Arial" w:eastAsia="Arial" w:hAnsi="Arial"/>
          <w:sz w:val="18"/>
          <w:szCs w:val="18"/>
          <w:color w:val="auto"/>
        </w:rPr>
      </w:pPr>
    </w:p>
    <w:p>
      <w:pPr>
        <w:ind w:left="1460" w:hanging="561"/>
        <w:spacing w:after="0"/>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60" w:hanging="561"/>
        <w:spacing w:after="0" w:line="259"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the business development company) or a company that would be an investment company but is excluded from the definition of an investment company by Section 3(c) of the 1940 Act; and</w:t>
      </w:r>
    </w:p>
    <w:p>
      <w:pPr>
        <w:spacing w:after="0" w:line="58" w:lineRule="exact"/>
        <w:rPr>
          <w:rFonts w:ascii="Arial" w:cs="Arial" w:eastAsia="Arial" w:hAnsi="Arial"/>
          <w:sz w:val="18"/>
          <w:szCs w:val="18"/>
          <w:color w:val="auto"/>
        </w:rPr>
      </w:pPr>
    </w:p>
    <w:p>
      <w:pPr>
        <w:ind w:left="1460" w:right="360" w:hanging="561"/>
        <w:spacing w:after="0" w:line="259"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has any class of securities listed on a national securities exchange subject to a market capitalization maximum of $250.0 million; or is controlled by us which has an affiliated person who is a director of such portfolio company.</w:t>
      </w:r>
    </w:p>
    <w:p>
      <w:pPr>
        <w:spacing w:after="0" w:line="58" w:lineRule="exact"/>
        <w:rPr>
          <w:rFonts w:ascii="Arial" w:cs="Arial" w:eastAsia="Arial" w:hAnsi="Arial"/>
          <w:sz w:val="18"/>
          <w:szCs w:val="18"/>
          <w:color w:val="auto"/>
        </w:rPr>
      </w:pPr>
    </w:p>
    <w:p>
      <w:pPr>
        <w:ind w:left="900" w:hanging="447"/>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ind w:left="900" w:right="80" w:hanging="447"/>
        <w:spacing w:after="0" w:line="306"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25" w:lineRule="exact"/>
        <w:rPr>
          <w:rFonts w:ascii="Arial" w:cs="Arial" w:eastAsia="Arial" w:hAnsi="Arial"/>
          <w:sz w:val="16"/>
          <w:szCs w:val="16"/>
          <w:color w:val="auto"/>
        </w:rPr>
      </w:pPr>
    </w:p>
    <w:p>
      <w:pPr>
        <w:ind w:left="900" w:right="200" w:hanging="447"/>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900" w:right="100" w:hanging="447"/>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ectPr>
          <w:pgSz w:w="11900" w:h="16838" w:orient="portrait"/>
          <w:cols w:equalWidth="0" w:num="1">
            <w:col w:w="11220"/>
          </w:cols>
          <w:pgMar w:left="320" w:top="459" w:right="35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20"/>
          </w:cols>
          <w:pgMar w:left="320" w:top="459" w:right="3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600" w:firstLine="449"/>
        <w:spacing w:after="0" w:line="268" w:lineRule="auto"/>
        <w:rPr>
          <w:sz w:val="20"/>
          <w:szCs w:val="20"/>
          <w:color w:val="auto"/>
        </w:rPr>
      </w:pPr>
      <w:r>
        <w:rPr>
          <w:rFonts w:ascii="Arial" w:cs="Arial" w:eastAsia="Arial" w:hAnsi="Arial"/>
          <w:sz w:val="18"/>
          <w:szCs w:val="18"/>
          <w:color w:val="auto"/>
        </w:rPr>
        <w:t>In addition, a business development company must have been organized and have its principal place of business in the United States and must be operated for the purpose of making investments in the types of securities described in (1), (2) or (3)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177"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In order to count portfolio securities as qualifying assets for the purpose of the 70% test, a business development company must either control the issuer of the securities or must offer to make available to the issuer of the securities significant managerial assistance. However, if a business development company purchases securities in conjunction with one or more other persons acting together, one of the other persons in the group may make available such managerial assistance. Making available managerial assistance means any arrangement whereby the business development company, through its directors, officers or employees, offers to provide, and, if accepted, does provide, significant guidance and counsel concerning the management, operations or business objectives and policies of a portfolio company.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17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report,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right="80" w:firstLine="449"/>
        <w:spacing w:after="0" w:line="253"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business development company will affect our ability to, and the way in which we, raise additional capital.”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77" w:lineRule="exact"/>
        <w:rPr>
          <w:sz w:val="20"/>
          <w:szCs w:val="20"/>
          <w:color w:val="auto"/>
        </w:rPr>
      </w:pPr>
    </w:p>
    <w:p>
      <w:pPr>
        <w:jc w:val="both"/>
        <w:ind w:right="160" w:firstLine="449"/>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171" w:lineRule="exact"/>
        <w:rPr>
          <w:sz w:val="20"/>
          <w:szCs w:val="20"/>
          <w:color w:val="auto"/>
        </w:rPr>
      </w:pPr>
    </w:p>
    <w:p>
      <w:pPr>
        <w:ind w:right="380" w:firstLine="449"/>
        <w:spacing w:after="0" w:line="331"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7" w:lineRule="exact"/>
        <w:rPr>
          <w:sz w:val="20"/>
          <w:szCs w:val="20"/>
          <w:color w:val="auto"/>
        </w:rPr>
      </w:pPr>
    </w:p>
    <w:p>
      <w:pPr>
        <w:ind w:right="420" w:firstLine="449"/>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171" w:lineRule="exact"/>
        <w:rPr>
          <w:sz w:val="20"/>
          <w:szCs w:val="20"/>
          <w:color w:val="auto"/>
        </w:rPr>
      </w:pPr>
    </w:p>
    <w:p>
      <w:pPr>
        <w:ind w:right="180" w:firstLine="449"/>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171" w:lineRule="exact"/>
        <w:rPr>
          <w:sz w:val="20"/>
          <w:szCs w:val="20"/>
          <w:color w:val="auto"/>
        </w:rPr>
      </w:pPr>
    </w:p>
    <w:p>
      <w:pPr>
        <w:ind w:right="520" w:firstLine="449"/>
        <w:spacing w:after="0" w:line="268"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Aviv Efrat, Chief Financial Officer and Treasurer, 590 Madison Avenue, 15th Floor, New York, New York 10022.</w:t>
      </w:r>
    </w:p>
    <w:p>
      <w:pPr>
        <w:sectPr>
          <w:pgSz w:w="11900" w:h="16838" w:orient="portrait"/>
          <w:cols w:equalWidth="0" w:num="1">
            <w:col w:w="11240"/>
          </w:cols>
          <w:pgMar w:left="320" w:top="459" w:right="339" w:bottom="144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459" w:right="3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w:t>
      </w:r>
    </w:p>
    <w:p>
      <w:pPr>
        <w:spacing w:after="0" w:line="177"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 xml:space="preserve">We and PennantPark Investment Advisers have each adopted a code of ethics pursuant to Rule 17j-1 under the 1940 Act that establishes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is available, free of charge, on our website at </w:t>
      </w:r>
      <w:r>
        <w:rPr>
          <w:rFonts w:ascii="Arial" w:cs="Arial" w:eastAsia="Arial" w:hAnsi="Arial"/>
          <w:sz w:val="16"/>
          <w:szCs w:val="16"/>
          <w:u w:val="single" w:color="auto"/>
          <w:color w:val="auto"/>
        </w:rPr>
        <w:t>www.pennantpark.com</w:t>
      </w:r>
      <w:r>
        <w:rPr>
          <w:rFonts w:ascii="Arial" w:cs="Arial" w:eastAsia="Arial" w:hAnsi="Arial"/>
          <w:sz w:val="16"/>
          <w:szCs w:val="16"/>
          <w:color w:val="auto"/>
        </w:rPr>
        <w:t xml:space="preserve">. You may read and copy the joint code of ethics at the SEC’s Public Reference Room in Washington, D.C. You may obtain information on the operation of the Public Reference Room by calling the SEC at (202) 551-8090. In addition, the joint code of ethics is attached as an exhibit to this Report and is available on the EDGAR Database on the SEC’s Internet site at </w:t>
      </w:r>
      <w:r>
        <w:rPr>
          <w:rFonts w:ascii="Arial" w:cs="Arial" w:eastAsia="Arial" w:hAnsi="Arial"/>
          <w:sz w:val="16"/>
          <w:szCs w:val="16"/>
          <w:u w:val="single" w:color="auto"/>
          <w:color w:val="auto"/>
        </w:rPr>
        <w:t>www.sec.gov</w:t>
      </w:r>
      <w:r>
        <w:rPr>
          <w:rFonts w:ascii="Arial" w:cs="Arial" w:eastAsia="Arial" w:hAnsi="Arial"/>
          <w:sz w:val="16"/>
          <w:szCs w:val="16"/>
          <w:color w:val="auto"/>
        </w:rPr>
        <w:t>. You may also obtain copies of our joint code of ethics, after paying a duplicating fee, by electronic request at the following Email address: publicinfo@sec.gov, or by writing the SEC’s Public Reference Section, 100 F Street, N.E., Washington, D.C. 20549.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177" w:lineRule="exact"/>
        <w:rPr>
          <w:sz w:val="20"/>
          <w:szCs w:val="20"/>
          <w:color w:val="auto"/>
        </w:rPr>
      </w:pPr>
    </w:p>
    <w:p>
      <w:pPr>
        <w:jc w:val="both"/>
        <w:ind w:right="60" w:firstLine="449"/>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jc w:val="both"/>
        <w:ind w:right="160" w:firstLine="449"/>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6" w:lineRule="exact"/>
        <w:rPr>
          <w:sz w:val="20"/>
          <w:szCs w:val="20"/>
          <w:color w:val="auto"/>
        </w:rPr>
      </w:pPr>
    </w:p>
    <w:p>
      <w:pPr>
        <w:jc w:val="both"/>
        <w:ind w:right="120" w:firstLine="449"/>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40" w:lineRule="exact"/>
        <w:rPr>
          <w:sz w:val="20"/>
          <w:szCs w:val="20"/>
          <w:color w:val="auto"/>
        </w:rPr>
      </w:pPr>
    </w:p>
    <w:p>
      <w:pPr>
        <w:ind w:right="180" w:firstLine="449"/>
        <w:spacing w:after="0" w:line="306" w:lineRule="auto"/>
        <w:rPr>
          <w:sz w:val="20"/>
          <w:szCs w:val="20"/>
          <w:color w:val="auto"/>
        </w:rPr>
      </w:pPr>
      <w:r>
        <w:rPr>
          <w:rFonts w:ascii="Arial" w:cs="Arial" w:eastAsia="Arial" w:hAnsi="Arial"/>
          <w:sz w:val="16"/>
          <w:szCs w:val="16"/>
          <w:color w:val="auto"/>
        </w:rPr>
        <w:t xml:space="preserve">Our privacy policy is available, free of charge, on our website at </w:t>
      </w:r>
      <w:r>
        <w:rPr>
          <w:rFonts w:ascii="Arial" w:cs="Arial" w:eastAsia="Arial" w:hAnsi="Arial"/>
          <w:sz w:val="16"/>
          <w:szCs w:val="16"/>
          <w:u w:val="single" w:color="auto"/>
          <w:color w:val="auto"/>
        </w:rPr>
        <w:t>www.pennantpark.com</w:t>
      </w:r>
      <w:r>
        <w:rPr>
          <w:rFonts w:ascii="Arial" w:cs="Arial" w:eastAsia="Arial" w:hAnsi="Arial"/>
          <w:sz w:val="16"/>
          <w:szCs w:val="16"/>
          <w:color w:val="auto"/>
        </w:rPr>
        <w:t xml:space="preserve">. In addition, the privacy policy is available on the EDGAR Database on the SEC’s Internet site at </w:t>
      </w:r>
      <w:r>
        <w:rPr>
          <w:rFonts w:ascii="Arial" w:cs="Arial" w:eastAsia="Arial" w:hAnsi="Arial"/>
          <w:sz w:val="16"/>
          <w:szCs w:val="16"/>
          <w:u w:val="single" w:color="auto"/>
          <w:color w:val="auto"/>
        </w:rPr>
        <w:t>www.sec.gov</w:t>
      </w:r>
      <w:r>
        <w:rPr>
          <w:rFonts w:ascii="Arial" w:cs="Arial" w:eastAsia="Arial" w:hAnsi="Arial"/>
          <w:sz w:val="16"/>
          <w:szCs w:val="16"/>
          <w:color w:val="auto"/>
        </w:rPr>
        <w:t>. You may also obtain copies of our privacy policy, after paying a duplicating fee, by electronic request at the following Email address: publicinfo@sec.gov, or by writing the SEC’s Public Reference Section, 100 F Street, N.E., Washington, D.C. 20549.</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7" w:lineRule="exact"/>
        <w:rPr>
          <w:sz w:val="20"/>
          <w:szCs w:val="20"/>
          <w:color w:val="auto"/>
        </w:rPr>
      </w:pPr>
    </w:p>
    <w:p>
      <w:pPr>
        <w:ind w:right="160" w:firstLine="449"/>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directors who are not interested persons and, in some cases, prior approval by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We are required by law to provide and maintain a bond issued by a reputable fidelity insurance company to protect us against larceny and embezzlement. Furthermore, as a business development company,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43" w:lineRule="exact"/>
        <w:rPr>
          <w:sz w:val="20"/>
          <w:szCs w:val="20"/>
          <w:color w:val="auto"/>
        </w:rPr>
      </w:pPr>
    </w:p>
    <w:p>
      <w:pPr>
        <w:ind w:right="100" w:firstLine="449"/>
        <w:spacing w:after="0" w:line="306" w:lineRule="auto"/>
        <w:rPr>
          <w:sz w:val="20"/>
          <w:szCs w:val="20"/>
          <w:color w:val="auto"/>
        </w:rPr>
      </w:pPr>
      <w:r>
        <w:rPr>
          <w:rFonts w:ascii="Arial" w:cs="Arial" w:eastAsia="Arial" w:hAnsi="Arial"/>
          <w:sz w:val="16"/>
          <w:szCs w:val="16"/>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177" w:lineRule="exact"/>
        <w:rPr>
          <w:sz w:val="20"/>
          <w:szCs w:val="20"/>
          <w:color w:val="auto"/>
        </w:rPr>
      </w:pPr>
    </w:p>
    <w:p>
      <w:pPr>
        <w:ind w:right="280" w:firstLine="449"/>
        <w:spacing w:after="0" w:line="268" w:lineRule="auto"/>
        <w:rPr>
          <w:sz w:val="20"/>
          <w:szCs w:val="20"/>
          <w:color w:val="auto"/>
        </w:rPr>
      </w:pPr>
      <w:r>
        <w:rPr>
          <w:rFonts w:ascii="Arial" w:cs="Arial" w:eastAsia="Arial" w:hAnsi="Arial"/>
          <w:sz w:val="18"/>
          <w:szCs w:val="18"/>
          <w:color w:val="auto"/>
        </w:rPr>
        <w:t>The Sarbanes-Oxley Act of 2002 imposes several regulatory requirements on publicly held companies and their insiders. Many of these requirements affect us. For example:</w:t>
      </w:r>
    </w:p>
    <w:p>
      <w:pPr>
        <w:spacing w:after="0" w:line="51" w:lineRule="exact"/>
        <w:rPr>
          <w:sz w:val="20"/>
          <w:szCs w:val="20"/>
          <w:color w:val="auto"/>
        </w:rPr>
      </w:pPr>
    </w:p>
    <w:p>
      <w:pPr>
        <w:ind w:left="880" w:right="220" w:hanging="319"/>
        <w:spacing w:after="0" w:line="268"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50" w:lineRule="exact"/>
        <w:rPr>
          <w:rFonts w:ascii="Arial" w:cs="Arial" w:eastAsia="Arial" w:hAnsi="Arial"/>
          <w:sz w:val="18"/>
          <w:szCs w:val="18"/>
          <w:color w:val="auto"/>
        </w:rPr>
      </w:pPr>
    </w:p>
    <w:p>
      <w:pPr>
        <w:ind w:left="880" w:right="160" w:hanging="319"/>
        <w:spacing w:after="0" w:line="268"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50" w:lineRule="exact"/>
        <w:rPr>
          <w:rFonts w:ascii="Arial" w:cs="Arial" w:eastAsia="Arial" w:hAnsi="Arial"/>
          <w:sz w:val="18"/>
          <w:szCs w:val="18"/>
          <w:color w:val="auto"/>
        </w:rPr>
      </w:pPr>
    </w:p>
    <w:p>
      <w:pPr>
        <w:ind w:left="880" w:hanging="319"/>
        <w:spacing w:after="0" w:line="268"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which must be audited by our independent registered public accounting firm; and</w:t>
      </w:r>
    </w:p>
    <w:p>
      <w:pPr>
        <w:spacing w:after="0" w:line="50" w:lineRule="exact"/>
        <w:rPr>
          <w:rFonts w:ascii="Arial" w:cs="Arial" w:eastAsia="Arial" w:hAnsi="Arial"/>
          <w:sz w:val="18"/>
          <w:szCs w:val="18"/>
          <w:color w:val="auto"/>
        </w:rPr>
      </w:pPr>
    </w:p>
    <w:p>
      <w:pPr>
        <w:ind w:left="880" w:right="220" w:hanging="319"/>
        <w:spacing w:after="0" w:line="306" w:lineRule="auto"/>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6"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ectPr>
          <w:pgSz w:w="11900" w:h="16838" w:orient="portrait"/>
          <w:cols w:equalWidth="0" w:num="1">
            <w:col w:w="11220"/>
          </w:cols>
          <w:pgMar w:left="320" w:top="459" w:right="359" w:bottom="1440" w:gutter="0" w:footer="0" w:header="0"/>
        </w:sectPr>
      </w:pP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20"/>
          </w:cols>
          <w:pgMar w:left="320" w:top="459" w:right="3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177"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For a short period ending April 30, 2007, we were not a RIC and were subject to corporate-level income tax. To maintain RIC tax benefits,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(the “Annual Distribution Requirement”).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 of our realized net short-term capital gains for the one-year period ending on October 31 of the calendar year and (3) any ordinary income and net capital gains for preceding years that were not distributed during such years (the “Excise Tax Avoidance Requirement”). In addition, although we may distribute realized net capital gains (i.e., net long-term capital gains in excess of short-term capital losses), if any, at least annually, out of the assets legally available for such distributions, we may decide to retain such net capital gains or ordinary income to provide us with additional liquidity.</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880" w:hanging="31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an election to be treated as a business development company under the 1940 Act at all times during each taxable year;</w:t>
      </w:r>
    </w:p>
    <w:p>
      <w:pPr>
        <w:spacing w:after="0" w:line="90" w:lineRule="exact"/>
        <w:rPr>
          <w:rFonts w:ascii="Arial" w:cs="Arial" w:eastAsia="Arial" w:hAnsi="Arial"/>
          <w:sz w:val="18"/>
          <w:szCs w:val="18"/>
          <w:color w:val="auto"/>
        </w:rPr>
      </w:pPr>
    </w:p>
    <w:p>
      <w:pPr>
        <w:ind w:left="880" w:hanging="319"/>
        <w:spacing w:after="0" w:line="259"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8" w:lineRule="exact"/>
        <w:rPr>
          <w:rFonts w:ascii="Arial" w:cs="Arial" w:eastAsia="Arial" w:hAnsi="Arial"/>
          <w:sz w:val="18"/>
          <w:szCs w:val="18"/>
          <w:color w:val="auto"/>
        </w:rPr>
      </w:pPr>
    </w:p>
    <w:p>
      <w:pPr>
        <w:ind w:left="880" w:hanging="31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880" w:right="60" w:hanging="319"/>
        <w:spacing w:after="0" w:line="259"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8" w:lineRule="exact"/>
        <w:rPr>
          <w:rFonts w:ascii="Arial" w:cs="Arial" w:eastAsia="Arial" w:hAnsi="Arial"/>
          <w:sz w:val="18"/>
          <w:szCs w:val="18"/>
          <w:color w:val="auto"/>
        </w:rPr>
      </w:pPr>
    </w:p>
    <w:p>
      <w:pPr>
        <w:ind w:left="880" w:right="100" w:hanging="319"/>
        <w:spacing w:after="0" w:line="306" w:lineRule="auto"/>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177" w:lineRule="exact"/>
        <w:rPr>
          <w:sz w:val="20"/>
          <w:szCs w:val="20"/>
          <w:color w:val="auto"/>
        </w:rPr>
      </w:pPr>
    </w:p>
    <w:p>
      <w:pPr>
        <w:ind w:right="80" w:firstLine="449"/>
        <w:spacing w:after="0" w:line="256"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43"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20" w:lineRule="exact"/>
        <w:rPr>
          <w:sz w:val="20"/>
          <w:szCs w:val="20"/>
          <w:color w:val="auto"/>
        </w:rPr>
      </w:pPr>
    </w:p>
    <w:p>
      <w:pPr>
        <w:ind w:right="120" w:firstLine="449"/>
        <w:spacing w:after="0" w:line="331"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8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ectPr>
          <w:pgSz w:w="11900" w:h="16838" w:orient="portrait"/>
          <w:cols w:equalWidth="0" w:num="1">
            <w:col w:w="11220"/>
          </w:cols>
          <w:pgMar w:left="320" w:top="459"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Failure to Qualify as a RIC</w:t>
      </w:r>
    </w:p>
    <w:p>
      <w:pPr>
        <w:spacing w:after="0" w:line="177"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If we fail to satisfy the Annual Distribution Requirement or fail to qualify as a RIC in any taxable year,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w:t>
      </w:r>
    </w:p>
    <w:p>
      <w:pPr>
        <w:spacing w:after="0" w:line="11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dividends paid by us to corporate distributees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320" w:top="125"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Form 10-K,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and you may lose all or part of your investment.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jc w:val="both"/>
        <w:ind w:right="340"/>
        <w:spacing w:after="0" w:line="378" w:lineRule="auto"/>
        <w:rPr>
          <w:sz w:val="20"/>
          <w:szCs w:val="20"/>
          <w:color w:val="auto"/>
        </w:rPr>
      </w:pPr>
      <w:r>
        <w:rPr>
          <w:rFonts w:ascii="Arial" w:cs="Arial" w:eastAsia="Arial" w:hAnsi="Arial"/>
          <w:sz w:val="15"/>
          <w:szCs w:val="15"/>
          <w:b w:val="1"/>
          <w:bCs w:val="1"/>
          <w:color w:val="auto"/>
        </w:rPr>
        <w:t>Global capital markets have entered a period of severe disruption and instability. These market conditions have materially and adversely affected debt and equity capital markets in the United States, which has had, and may continue to have, a negative impact on our business and operations.</w:t>
      </w:r>
    </w:p>
    <w:p>
      <w:pPr>
        <w:spacing w:after="0" w:line="57" w:lineRule="exact"/>
        <w:rPr>
          <w:sz w:val="20"/>
          <w:szCs w:val="20"/>
          <w:color w:val="auto"/>
        </w:rPr>
      </w:pPr>
    </w:p>
    <w:p>
      <w:pPr>
        <w:ind w:right="120" w:firstLine="449"/>
        <w:spacing w:after="0" w:line="290" w:lineRule="auto"/>
        <w:rPr>
          <w:sz w:val="20"/>
          <w:szCs w:val="20"/>
          <w:color w:val="auto"/>
        </w:rPr>
      </w:pPr>
      <w:r>
        <w:rPr>
          <w:rFonts w:ascii="Arial" w:cs="Arial" w:eastAsia="Arial" w:hAnsi="Arial"/>
          <w:sz w:val="16"/>
          <w:szCs w:val="16"/>
          <w:color w:val="auto"/>
        </w:rPr>
        <w:t>Beginning in the summer of 2007 and continuing as of the date of this Report, 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As a result of these events, general economic conditions have deteriorated with material and adverse consequences for the broader financial and credit markets, and the availability of debt and equity capital for the market as a whole and financial services firms in particular has been reduced significantly. These conditions could continue for a prolonged period of time or even materially worsen in the future. While these conditions persist, we may have difficulty accessing debt and equity capital in order to grow and may suffer material adverse effects on our business,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or a prolonged disruption in the credit markets could materially damage our business.</w:t>
      </w:r>
    </w:p>
    <w:p>
      <w:pPr>
        <w:spacing w:after="0" w:line="17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adversely affect our valuations and our net asset value, even if we intend to hold respective investments to maturity. Volatility or dislocation in the capital markets may depress our stock price below our net asset value per share and create a challenging environment in which to raise debt and equity capital. As a business development company, we are generally not able to issue additional shares of our common stock at a price less than net asset value without first obtaining approval for such issuance from our stockholders and our independent directors. Additionally, our ability to incur indebtedness is limited by applicable regulations such that our asset coverage under the 1940 Act must equal at least 200% of total indebtedness immediately after each time we incur indebtedness. Shrinking portfolio values negatively impact our ability to borrow additional funds under our credit facility because our net asset value is reduced for purposes of the 200% asset leverage test. If the fair value of our assets declines substantially, we may fail to maintain the asset coverage ratios stipulated by the 1940 Act, which could, in turn, cause us to lose our status as a business development company and materially impair our business operations. A protracted disruption in the credit markets could also materially decrease demand for our investments.</w:t>
      </w:r>
    </w:p>
    <w:p>
      <w:pPr>
        <w:spacing w:after="0" w:line="122"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The significant disruption in the capital markets has had and may continue to have a negative effect on the valuations of our investments, and on the potential for liquidity events involving our investments. The debt capital that will be available to us, if at all, may be at a higher cost and on less favorable terms and conditions in the future. A prolonged inability to raise capital will require us to reduce the volume of loans we originate and/or fund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market developments may adversely affect our business and results of operations by reducing availability under our credit facility.</w:t>
      </w:r>
    </w:p>
    <w:p>
      <w:pPr>
        <w:spacing w:after="0" w:line="200"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In addition to the applicable asset coverage test that restricts our ability to borrow under our credit facility, this facility contains various covenants which, if not complied with, could accelerate repayment under the facility, thereby materially and adversely affecting our liquidity, financial condition and results of operations. Our borrowings under our credit facility are collateralized by the assets in our investment portfolio. The agreements governing the credit facility require us to comply with certain financial and operational covenants. These covenants include:</w:t>
      </w:r>
    </w:p>
    <w:p>
      <w:pPr>
        <w:spacing w:after="0" w:line="31" w:lineRule="exact"/>
        <w:rPr>
          <w:sz w:val="20"/>
          <w:szCs w:val="20"/>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requirement to maintain a minimum amount of shareholder’s equity; and</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194" w:lineRule="exact"/>
        <w:rPr>
          <w:sz w:val="20"/>
          <w:szCs w:val="20"/>
          <w:color w:val="auto"/>
        </w:rPr>
      </w:pPr>
    </w:p>
    <w:p>
      <w:pPr>
        <w:ind w:right="60" w:firstLine="449"/>
        <w:spacing w:after="0" w:line="298" w:lineRule="auto"/>
        <w:rPr>
          <w:sz w:val="20"/>
          <w:szCs w:val="20"/>
          <w:color w:val="auto"/>
        </w:rPr>
      </w:pPr>
      <w:r>
        <w:rPr>
          <w:rFonts w:ascii="Arial" w:cs="Arial" w:eastAsia="Arial" w:hAnsi="Arial"/>
          <w:sz w:val="16"/>
          <w:szCs w:val="16"/>
          <w:color w:val="auto"/>
        </w:rPr>
        <w:t>Our continued compliance with these covenants depends on many factors, some of which are beyond our control. Material net asset devaluation in connection with additional borrowings could result in an inability to comply with our obligation to restrict the level of indebtedness that we are able to incur in relation to the value of our assets or to maintain a minimum level of shareholders’ equity. This could have a material adverse effect on our operations, as it would trigger mandatory pre-payment obligations under the terms of the credit facility.</w:t>
      </w:r>
    </w:p>
    <w:p>
      <w:pPr>
        <w:spacing w:after="0" w:line="106"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We rely in part on our senior secured investments to provide us with adequate liquidity, but even these investments may face liquidity constraints under current market conditions.</w:t>
      </w:r>
    </w:p>
    <w:p>
      <w:pPr>
        <w:spacing w:after="0" w:line="126" w:lineRule="exact"/>
        <w:rPr>
          <w:sz w:val="20"/>
          <w:szCs w:val="20"/>
          <w:color w:val="auto"/>
        </w:rPr>
      </w:pPr>
    </w:p>
    <w:p>
      <w:pPr>
        <w:jc w:val="both"/>
        <w:ind w:right="500" w:firstLine="449"/>
        <w:spacing w:after="0" w:line="259" w:lineRule="auto"/>
        <w:rPr>
          <w:sz w:val="20"/>
          <w:szCs w:val="20"/>
          <w:color w:val="auto"/>
        </w:rPr>
      </w:pPr>
      <w:r>
        <w:rPr>
          <w:rFonts w:ascii="Arial" w:cs="Arial" w:eastAsia="Arial" w:hAnsi="Arial"/>
          <w:sz w:val="18"/>
          <w:szCs w:val="18"/>
          <w:color w:val="auto"/>
        </w:rPr>
        <w:t>The market for senior secured debt investments and other over-the-counter traded securities has weakened as the viability of any over-the-counter secondary market depends on the continued willingness of dealers and other participants to purchase the investments, which has decreased under current market conditions.</w:t>
      </w:r>
    </w:p>
    <w:p>
      <w:pPr>
        <w:sectPr>
          <w:pgSz w:w="11900" w:h="16838" w:orient="portrait"/>
          <w:cols w:equalWidth="0" w:num="1">
            <w:col w:w="11220"/>
          </w:cols>
          <w:pgMar w:left="320" w:top="459" w:right="359" w:bottom="1440" w:gutter="0" w:footer="0" w:header="0"/>
        </w:sectPr>
      </w:pP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20"/>
          </w:cols>
          <w:pgMar w:left="320" w:top="459" w:right="35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incurs credit risk when it loans money or commits to loan money to a portfolio company.</w:t>
      </w:r>
    </w:p>
    <w:p>
      <w:pPr>
        <w:spacing w:after="0" w:line="96" w:lineRule="exact"/>
        <w:rPr>
          <w:sz w:val="20"/>
          <w:szCs w:val="20"/>
          <w:color w:val="auto"/>
        </w:rPr>
      </w:pPr>
    </w:p>
    <w:p>
      <w:pPr>
        <w:ind w:right="80" w:firstLine="449"/>
        <w:spacing w:after="0" w:line="331" w:lineRule="auto"/>
        <w:rPr>
          <w:sz w:val="20"/>
          <w:szCs w:val="20"/>
          <w:color w:val="auto"/>
        </w:rPr>
      </w:pPr>
      <w:r>
        <w:rPr>
          <w:rFonts w:ascii="Arial" w:cs="Arial" w:eastAsia="Arial" w:hAnsi="Arial"/>
          <w:sz w:val="16"/>
          <w:szCs w:val="16"/>
          <w:color w:val="auto"/>
        </w:rPr>
        <w:t>Our primary business exposes us to credit risk, and the quality of our portfolio will have a significant impact on our earnings. Credit risk is a component part of our fair valuation of our portfolio companies. Negative credit events will lead to a decrease in the fair value of our portfolio companies.</w:t>
      </w:r>
    </w:p>
    <w:p>
      <w:pPr>
        <w:spacing w:after="0" w:line="87"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In addition, current market conditions have affected consumer confidence levels which may result in adverse changes in payment patterns. Increased delinquencies and default rates would impact our results of operations. Deterioration in the quality of our credit portfolio could have a material adverse effect on our capital, financial condition and results of operations.</w:t>
      </w:r>
    </w:p>
    <w:p>
      <w:pPr>
        <w:spacing w:after="0" w:line="134"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Any unrealized losses we experience on our investment portfolio may be an indication of future realized losses, which could reduce our income available for distribution.</w:t>
      </w:r>
    </w:p>
    <w:p>
      <w:pPr>
        <w:spacing w:after="0" w:line="126" w:lineRule="exact"/>
        <w:rPr>
          <w:sz w:val="20"/>
          <w:szCs w:val="20"/>
          <w:color w:val="auto"/>
        </w:rPr>
      </w:pPr>
    </w:p>
    <w:p>
      <w:pPr>
        <w:ind w:right="40" w:firstLine="449"/>
        <w:spacing w:after="0" w:line="253" w:lineRule="auto"/>
        <w:rPr>
          <w:sz w:val="20"/>
          <w:szCs w:val="20"/>
          <w:color w:val="auto"/>
        </w:rPr>
      </w:pPr>
      <w:r>
        <w:rPr>
          <w:rFonts w:ascii="Arial" w:cs="Arial" w:eastAsia="Arial" w:hAnsi="Arial"/>
          <w:sz w:val="18"/>
          <w:szCs w:val="18"/>
          <w:color w:val="auto"/>
        </w:rPr>
        <w:t>As a business development company, we are required to carry our investments at market value or, if no market value is ascertainable or if market value does not reflect the fair value of such investment in the bona fide determination of our board of directors, then, at fair value as determined in good faith by or under the direction of our board of directors. Decreases in the market values or fair values of our investments will be recorded as unrealized depreciation. The fair value of our portfolio companies on the whole has decreased substantially over the past three fiscal years.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w:t>
      </w:r>
    </w:p>
    <w:p>
      <w:pPr>
        <w:spacing w:after="0" w:line="14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In the past following periods of volatility in the market price of a company’s securities, securities class action litigation has often been brought against that company.</w:t>
      </w:r>
    </w:p>
    <w:p>
      <w:pPr>
        <w:spacing w:after="0" w:line="126" w:lineRule="exact"/>
        <w:rPr>
          <w:sz w:val="20"/>
          <w:szCs w:val="20"/>
          <w:color w:val="auto"/>
        </w:rPr>
      </w:pPr>
    </w:p>
    <w:p>
      <w:pPr>
        <w:ind w:right="220" w:firstLine="449"/>
        <w:spacing w:after="0" w:line="268" w:lineRule="auto"/>
        <w:rPr>
          <w:sz w:val="20"/>
          <w:szCs w:val="20"/>
          <w:color w:val="auto"/>
        </w:rPr>
      </w:pPr>
      <w:r>
        <w:rPr>
          <w:rFonts w:ascii="Arial" w:cs="Arial" w:eastAsia="Arial" w:hAnsi="Arial"/>
          <w:sz w:val="18"/>
          <w:szCs w:val="18"/>
          <w:color w:val="auto"/>
        </w:rPr>
        <w:t>If our stock price fluctuates significantly, we may be the target of securities litigation in the future. Securities litigation could result in substantial costs and divert management’s attention and resources from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177"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We make long-term loans and invest in equity securities,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its secured assets. This could trigger cross 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negative effect on our financial results.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w:t>
      </w:r>
    </w:p>
    <w:p>
      <w:pPr>
        <w:spacing w:after="0" w:line="177" w:lineRule="exact"/>
        <w:rPr>
          <w:sz w:val="20"/>
          <w:szCs w:val="20"/>
          <w:color w:val="auto"/>
        </w:rPr>
      </w:pPr>
    </w:p>
    <w:p>
      <w:pPr>
        <w:jc w:val="both"/>
        <w:ind w:firstLine="449"/>
        <w:spacing w:after="0" w:line="306" w:lineRule="auto"/>
        <w:rPr>
          <w:sz w:val="20"/>
          <w:szCs w:val="20"/>
          <w:color w:val="auto"/>
        </w:rPr>
      </w:pPr>
      <w:r>
        <w:rPr>
          <w:rFonts w:ascii="Arial" w:cs="Arial" w:eastAsia="Arial" w:hAnsi="Arial"/>
          <w:sz w:val="16"/>
          <w:szCs w:val="16"/>
          <w:color w:val="auto"/>
        </w:rPr>
        <w:t>We were incorporated in January 2007. We are subject to all of the business risks and uncertainties associated with any relatively new business, including the risk that we will not achieve our investment objectives and that the value of our common stock could decline substantially. We have used, and will continue to use, the proceeds of public offerings of securities and of borrowings under our credit facility in accordance with our investment objectives.</w:t>
      </w:r>
    </w:p>
    <w:p>
      <w:pPr>
        <w:spacing w:after="0" w:line="10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auto"/>
        </w:rPr>
        <w:t>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spacing w:after="0" w:line="138" w:lineRule="exact"/>
        <w:rPr>
          <w:sz w:val="20"/>
          <w:szCs w:val="20"/>
          <w:color w:val="auto"/>
        </w:rPr>
      </w:pPr>
    </w:p>
    <w:p>
      <w:pPr>
        <w:ind w:right="220" w:firstLine="449"/>
        <w:spacing w:after="0" w:line="291" w:lineRule="auto"/>
        <w:rPr>
          <w:sz w:val="20"/>
          <w:szCs w:val="20"/>
          <w:color w:val="auto"/>
        </w:rPr>
      </w:pPr>
      <w:r>
        <w:rPr>
          <w:rFonts w:ascii="Arial" w:cs="Arial" w:eastAsia="Arial" w:hAnsi="Arial"/>
          <w:sz w:val="16"/>
          <w:szCs w:val="16"/>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w:t>
      </w:r>
    </w:p>
    <w:p>
      <w:pPr>
        <w:sectPr>
          <w:pgSz w:w="11900" w:h="16838" w:orient="portrait"/>
          <w:cols w:equalWidth="0" w:num="1">
            <w:col w:w="11240"/>
          </w:cols>
          <w:pgMar w:left="320" w:top="45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Our financial condition and results of operation will depend on our ability to manage future growth effectively.</w:t>
      </w:r>
    </w:p>
    <w:p>
      <w:pPr>
        <w:spacing w:after="0" w:line="177"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Our ability to achieve our investment objectives will depend on our ability to grow, which will depend, in turn, on our Investment Adviser’s ability to identify, invest in and monitor companies that meet our investment criteria. Accomplishing this result on a cost-effective basis will be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we and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managerial assistance to portfolio companies and other investment vehicles which may be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177" w:lineRule="exact"/>
        <w:rPr>
          <w:sz w:val="20"/>
          <w:szCs w:val="20"/>
          <w:color w:val="auto"/>
        </w:rPr>
      </w:pPr>
    </w:p>
    <w:p>
      <w:pPr>
        <w:ind w:right="100" w:firstLine="449"/>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business development companies, commercial and investment banks, commercial financing companies,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Most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Entrants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4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PennantPark Investment may not replicate the historical performance of other investment companies with which Mr. Penn and our other investment professionals have been affiliated.</w:t>
      </w:r>
    </w:p>
    <w:p>
      <w:pPr>
        <w:spacing w:after="0" w:line="126" w:lineRule="exact"/>
        <w:rPr>
          <w:sz w:val="20"/>
          <w:szCs w:val="20"/>
          <w:color w:val="auto"/>
        </w:rPr>
      </w:pPr>
    </w:p>
    <w:p>
      <w:pPr>
        <w:ind w:right="40" w:firstLine="449"/>
        <w:spacing w:after="0" w:line="286" w:lineRule="auto"/>
        <w:rPr>
          <w:sz w:val="20"/>
          <w:szCs w:val="20"/>
          <w:color w:val="auto"/>
        </w:rPr>
      </w:pPr>
      <w:r>
        <w:rPr>
          <w:rFonts w:ascii="Arial" w:cs="Arial" w:eastAsia="Arial" w:hAnsi="Arial"/>
          <w:sz w:val="16"/>
          <w:szCs w:val="16"/>
          <w:color w:val="auto"/>
        </w:rPr>
        <w:t>The 1940 Act imposes numerous constraints on the investment activities of business development companies. For example, business development companies are required to invest at least 70% of their total assets primarily in securities of U.S. private companies or thinly traded public companies, with a market capitalization of less than $250 million, cash, cash equivalents, U.S. government securities and high-quality debt investments that mature in one year or less. These constraints may hinder our Investment Adviser’s ability to take advantage of attractive investment opportunities and to achieve our investment objectives. Mr. Penn, our Chief Executive Officer and the Managing Member of our Investment Adviser, has had more than two years of experience managing the investments of PennantPark Investment and approximately three years of experience managing another business development company. However, current market conditions and the depressed economic cycle present significant challenges to us that have not been present in recent years, if ever. In addition, the investment philosophy and techniques used by our Investment Adviser may differ from those used by other investment companies. Accordingly, we can offer no assurance that PennantPark Investment will replicate the historical performance of other investment companies with which Mr. Penn and our other investment professionals have been affiliated, and we caution that our investment returns could be substantially lower than the returns achieved by such other companies.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177" w:lineRule="exact"/>
        <w:rPr>
          <w:sz w:val="20"/>
          <w:szCs w:val="20"/>
          <w:color w:val="auto"/>
        </w:rPr>
      </w:pPr>
    </w:p>
    <w:p>
      <w:pPr>
        <w:ind w:right="320" w:firstLine="449"/>
        <w:spacing w:after="0" w:line="331" w:lineRule="auto"/>
        <w:rPr>
          <w:sz w:val="20"/>
          <w:szCs w:val="20"/>
          <w:color w:val="auto"/>
        </w:rPr>
      </w:pPr>
      <w:r>
        <w:rPr>
          <w:rFonts w:ascii="Arial" w:cs="Arial" w:eastAsia="Arial" w:hAnsi="Arial"/>
          <w:sz w:val="16"/>
          <w:szCs w:val="16"/>
          <w:color w:val="auto"/>
        </w:rPr>
        <w:t>If we do not remain a business development company, we might be regulated as a closed-end investment company under the 1940 Act, which would subject us to substantially more regulatory restrictions under the 1940 Act and correspondingly decrease our operating flexibility.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RIC tax treatment would substantially reduce net assets and income available for debt service and dividends.</w:t>
      </w:r>
    </w:p>
    <w:p>
      <w:pPr>
        <w:spacing w:after="0" w:line="177" w:lineRule="exact"/>
        <w:rPr>
          <w:sz w:val="20"/>
          <w:szCs w:val="20"/>
          <w:color w:val="auto"/>
        </w:rPr>
      </w:pPr>
    </w:p>
    <w:p>
      <w:pPr>
        <w:ind w:right="100" w:firstLine="449"/>
        <w:spacing w:after="0" w:line="287" w:lineRule="auto"/>
        <w:rPr>
          <w:sz w:val="20"/>
          <w:szCs w:val="20"/>
          <w:color w:val="auto"/>
        </w:rPr>
      </w:pPr>
      <w:r>
        <w:rPr>
          <w:rFonts w:ascii="Arial" w:cs="Arial" w:eastAsia="Arial" w:hAnsi="Arial"/>
          <w:sz w:val="16"/>
          <w:szCs w:val="16"/>
          <w:color w:val="auto"/>
        </w:rPr>
        <w:t>We have operated so as to qualify as a RIC under Subchapter M of the Code. If we meet source-of-income, quarterly asset diversification, and Annual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corporate-level income tax on the income we do not distribute. If we do not distribute at least 98% of our annual taxable income (excluding net long-term capital gains retained or deemed to be distributed) in the year earned, we generally will be required to pay an excise tax on amounts carried over and distributed to shareholders in the next year equal to 4% of the amount by which 98% of our annual taxable income available for distribution exceeds the distributions from such income for the current year.</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if we recognize income before or without receiving cash representing such income.</w:t>
      </w:r>
    </w:p>
    <w:p>
      <w:pPr>
        <w:spacing w:after="0" w:line="200"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For federal income tax purposes, we will include in income certain amounts that we have not yet received in cash, such as original issue discount or contracted payment-in-kind, or “PIK,” interest, which represents contractual interest added to the loan balance and due at the end of the loan term.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47"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ectPr>
          <w:pgSz w:w="11900" w:h="16838" w:orient="portrait"/>
          <w:cols w:equalWidth="0" w:num="1">
            <w:col w:w="11220"/>
          </w:cols>
          <w:pgMar w:left="320" w:top="459" w:right="359" w:bottom="1440" w:gutter="0" w:footer="0" w:header="0"/>
        </w:sectPr>
      </w:pPr>
    </w:p>
    <w:bookmarkStart w:id="26" w:name="page27"/>
    <w:bookmarkEnd w:id="26"/>
    <w:p>
      <w:pPr>
        <w:ind w:firstLine="449"/>
        <w:spacing w:after="0" w:line="254" w:lineRule="auto"/>
        <w:rPr>
          <w:sz w:val="20"/>
          <w:szCs w:val="20"/>
          <w:color w:val="auto"/>
        </w:rPr>
      </w:pPr>
      <w:r>
        <w:rPr>
          <w:rFonts w:ascii="Arial" w:cs="Arial" w:eastAsia="Arial" w:hAnsi="Arial"/>
          <w:sz w:val="18"/>
          <w:szCs w:val="18"/>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If we are not able to obtain cash from other sources, we may fail to qualify for RIC tax benefits and thus be subject to corporate level income tax.</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governing our operation as a business development company will affect our ability to, and the way in which we, raise additional capital.</w:t>
      </w:r>
    </w:p>
    <w:p>
      <w:pPr>
        <w:spacing w:after="0" w:line="212"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131"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right="240"/>
        <w:spacing w:after="0" w:line="335" w:lineRule="auto"/>
        <w:rPr>
          <w:sz w:val="20"/>
          <w:szCs w:val="20"/>
          <w:color w:val="auto"/>
        </w:rPr>
      </w:pPr>
      <w:r>
        <w:rPr>
          <w:rFonts w:ascii="Arial" w:cs="Arial" w:eastAsia="Arial" w:hAnsi="Arial"/>
          <w:sz w:val="15"/>
          <w:szCs w:val="15"/>
          <w:color w:val="auto"/>
        </w:rPr>
        <w:t>least 200% after such issuance or incurrence. Our ability to pay dividends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7" w:lineRule="exact"/>
        <w:rPr>
          <w:sz w:val="20"/>
          <w:szCs w:val="20"/>
          <w:color w:val="auto"/>
        </w:rPr>
      </w:pPr>
    </w:p>
    <w:p>
      <w:pPr>
        <w:ind w:left="880" w:right="40" w:hanging="319"/>
        <w:spacing w:after="0" w:line="294" w:lineRule="auto"/>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Senior Securities. </w:t>
      </w:r>
      <w:r>
        <w:rPr>
          <w:rFonts w:ascii="Arial" w:cs="Arial" w:eastAsia="Arial" w:hAnsi="Arial"/>
          <w:sz w:val="16"/>
          <w:szCs w:val="16"/>
          <w:color w:val="auto"/>
        </w:rPr>
        <w:t>As a result of issuing senior securities, we would also be exposed to typical risks associated with leverage, including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w:t>
      </w:r>
    </w:p>
    <w:p>
      <w:pPr>
        <w:spacing w:after="0" w:line="34" w:lineRule="exact"/>
        <w:rPr>
          <w:rFonts w:ascii="Arial" w:cs="Arial" w:eastAsia="Arial" w:hAnsi="Arial"/>
          <w:sz w:val="16"/>
          <w:szCs w:val="16"/>
          <w:color w:val="auto"/>
        </w:rPr>
      </w:pPr>
    </w:p>
    <w:p>
      <w:pPr>
        <w:ind w:left="880" w:hanging="319"/>
        <w:spacing w:after="0" w:line="285" w:lineRule="auto"/>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securities. As a business development company, we are generally not able to issue our common stock at a price below net asset value without first obtaining required approvals from our stockholders and our board of directors. We have obtained such approval from our shareholders in August 2009, which will remain in effect for twelve months. Also, subject to the requirements of the 1940 Act,we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a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46" w:lineRule="exact"/>
        <w:rPr>
          <w:rFonts w:ascii="Arial" w:cs="Arial" w:eastAsia="Arial" w:hAnsi="Arial"/>
          <w:sz w:val="16"/>
          <w:szCs w:val="16"/>
          <w:color w:val="auto"/>
        </w:rPr>
      </w:pPr>
    </w:p>
    <w:p>
      <w:pPr>
        <w:ind w:left="880" w:hanging="319"/>
        <w:spacing w:after="0" w:line="286" w:lineRule="auto"/>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Securitization</w:t>
      </w:r>
      <w:r>
        <w:rPr>
          <w:rFonts w:ascii="Arial" w:cs="Arial" w:eastAsia="Arial" w:hAnsi="Arial"/>
          <w:sz w:val="16"/>
          <w:szCs w:val="16"/>
          <w:color w:val="auto"/>
        </w:rPr>
        <w:t>. In addition to issuing securities to raise capital as described above, we anticipate that in the future, as market conditions permit, we</w:t>
      </w:r>
      <w:r>
        <w:rPr>
          <w:rFonts w:ascii="Arial" w:cs="Arial" w:eastAsia="Arial" w:hAnsi="Arial"/>
          <w:sz w:val="16"/>
          <w:szCs w:val="16"/>
          <w:i w:val="1"/>
          <w:iCs w:val="1"/>
          <w:color w:val="auto"/>
        </w:rPr>
        <w:t xml:space="preserve"> </w:t>
      </w:r>
      <w:r>
        <w:rPr>
          <w:rFonts w:ascii="Arial" w:cs="Arial" w:eastAsia="Arial" w:hAnsi="Arial"/>
          <w:sz w:val="16"/>
          <w:szCs w:val="16"/>
          <w:color w:val="auto"/>
        </w:rPr>
        <w:t>may securitize our loans to generate cash for funding new investments. To securitize loans, we may create a wholly owned subsidiary, contribute a pool of loans to the subsidiary and have the subsidiary issue primarily investment grade debt securities to purchasers who we would expect to be willing to accept a substantially lower interest rate than the loans earn. We would retain all or a portion of the equity in the securitized pool of loans.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would not treat the debt issued by such a subsidiary as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use borrowed funds to make investments and are exposed to the typical risks associated with leverage.</w:t>
      </w:r>
    </w:p>
    <w:p>
      <w:pPr>
        <w:spacing w:after="0" w:line="177" w:lineRule="exact"/>
        <w:rPr>
          <w:sz w:val="20"/>
          <w:szCs w:val="20"/>
          <w:color w:val="auto"/>
        </w:rPr>
      </w:pPr>
    </w:p>
    <w:p>
      <w:pPr>
        <w:ind w:right="160" w:firstLine="449"/>
        <w:spacing w:after="0" w:line="256" w:lineRule="auto"/>
        <w:rPr>
          <w:sz w:val="20"/>
          <w:szCs w:val="20"/>
          <w:color w:val="auto"/>
        </w:rPr>
      </w:pPr>
      <w:r>
        <w:rPr>
          <w:rFonts w:ascii="Arial" w:cs="Arial" w:eastAsia="Arial" w:hAnsi="Arial"/>
          <w:sz w:val="18"/>
          <w:szCs w:val="18"/>
          <w:color w:val="auto"/>
        </w:rPr>
        <w:t>Because we borrow funds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at least 200%, and any amounts that we use to service our indebtedness are not available for distribution to our common stockholders.</w:t>
      </w:r>
    </w:p>
    <w:p>
      <w:pPr>
        <w:spacing w:after="0" w:line="143" w:lineRule="exact"/>
        <w:rPr>
          <w:sz w:val="20"/>
          <w:szCs w:val="20"/>
          <w:color w:val="auto"/>
        </w:rPr>
      </w:pPr>
    </w:p>
    <w:p>
      <w:pPr>
        <w:jc w:val="both"/>
        <w:ind w:right="20" w:firstLine="449"/>
        <w:spacing w:after="0" w:line="306" w:lineRule="auto"/>
        <w:rPr>
          <w:sz w:val="20"/>
          <w:szCs w:val="20"/>
          <w:color w:val="auto"/>
        </w:rPr>
      </w:pPr>
      <w:r>
        <w:rPr>
          <w:rFonts w:ascii="Arial" w:cs="Arial" w:eastAsia="Arial" w:hAnsi="Arial"/>
          <w:sz w:val="16"/>
          <w:szCs w:val="16"/>
          <w:color w:val="auto"/>
        </w:rPr>
        <w:t>Our current and future debt is governed by the terms of our credit facility and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ectPr>
          <w:pgSz w:w="11900" w:h="16838" w:orient="portrait"/>
          <w:cols w:equalWidth="0" w:num="1">
            <w:col w:w="11220"/>
          </w:cols>
          <w:pgMar w:left="320" w:top="459" w:right="359" w:bottom="1440" w:gutter="0" w:footer="0" w:header="0"/>
        </w:sectPr>
      </w:pPr>
    </w:p>
    <w:bookmarkStart w:id="28" w:name="page29"/>
    <w:bookmarkEnd w:id="28"/>
    <w:p>
      <w:pPr>
        <w:ind w:right="540"/>
        <w:spacing w:after="0" w:line="275" w:lineRule="auto"/>
        <w:rPr>
          <w:sz w:val="20"/>
          <w:szCs w:val="20"/>
          <w:color w:val="auto"/>
        </w:rPr>
      </w:pPr>
      <w:r>
        <w:rPr>
          <w:rFonts w:ascii="Arial" w:cs="Arial" w:eastAsia="Arial" w:hAnsi="Arial"/>
          <w:sz w:val="18"/>
          <w:szCs w:val="18"/>
          <w:b w:val="1"/>
          <w:bCs w:val="1"/>
          <w:color w:val="auto"/>
        </w:rPr>
        <w:t>Market conditions may make it difficult to extend the maturity of or refinance our existing indebtedness and any failure to do so could have a material adverse effect on our business.</w:t>
      </w:r>
    </w:p>
    <w:p>
      <w:pPr>
        <w:spacing w:after="0" w:line="126"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currently utilize a revolving five-year, $300.0 million credit facility to make investments in our portfolio companies. Our credit facility expires in June 2012. The life of our investments typically exceeds the duration of our indebtedness under our credit facility. This means that we will have to extend the maturity of our credit facility or refinance our indebtedness under our credit facility in order to continue to maintain control over our portfolio assets. In addition, under current market conditions, we believe it will be difficult to renew or refinance our credit facility on terms as favorable as those in our existing credit facility. In particular, market interest rates have escalated significantly for borrowers such as us since we entered into our credit facility in June 2007. If we fail to refinance the indebtedness outstanding under our credit facility at the time it becomes due and payable, the administrative agent of the credit facility may elect to exercise various remedies, including the sale of all or a portion of the collateral securing the credit facility, subject to certain restrictions. The illiquidity of our investments may make it difficult for us to sell such investments. If we are required to sell our investments on short-term notice, we may not receive the value that we have recorded for such investments, and this could materially damage our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177" w:lineRule="exact"/>
        <w:rPr>
          <w:sz w:val="20"/>
          <w:szCs w:val="20"/>
          <w:color w:val="auto"/>
        </w:rPr>
      </w:pPr>
    </w:p>
    <w:p>
      <w:pPr>
        <w:ind w:right="40" w:firstLine="449"/>
        <w:spacing w:after="0" w:line="256" w:lineRule="auto"/>
        <w:rPr>
          <w:sz w:val="20"/>
          <w:szCs w:val="20"/>
          <w:color w:val="auto"/>
        </w:rPr>
      </w:pPr>
      <w:r>
        <w:rPr>
          <w:rFonts w:ascii="Arial" w:cs="Arial" w:eastAsia="Arial" w:hAnsi="Arial"/>
          <w:sz w:val="18"/>
          <w:szCs w:val="18"/>
          <w:color w:val="auto"/>
        </w:rPr>
        <w:t>We have indebtedness outstanding pursuant to our credit facility and expect in the future to borrow additional amounts under our credit facility and, subject to market availability, to increase the size of our credit facility. Lenders have fixed dollar claims on our assets that are superior to the claims of our common stockholders or preferred stockholders, if any, and we have granted a security interest in our assets in connection with our credit facility borrowings. In the case of a liquidation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125"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event, those lenders would receive proceeds before our stockholders. In addition, borrowings, also known as leverage, magnify the potential for gain or loss on amounts invested and, therefore, increase the risks associated with investing in our securities. Leverage is generally considered a speculative investment technique. If the value of our assets decreases, leveraging would cause the net asset value attributable to our common stock to decline more than it otherwise would have had we not leveraged.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20" w:lineRule="exact"/>
        <w:rPr>
          <w:sz w:val="20"/>
          <w:szCs w:val="20"/>
          <w:color w:val="auto"/>
        </w:rPr>
      </w:pPr>
    </w:p>
    <w:p>
      <w:pPr>
        <w:ind w:right="40" w:firstLine="449"/>
        <w:spacing w:after="0" w:line="294" w:lineRule="auto"/>
        <w:rPr>
          <w:sz w:val="20"/>
          <w:szCs w:val="20"/>
          <w:color w:val="auto"/>
        </w:rPr>
      </w:pPr>
      <w:r>
        <w:rPr>
          <w:rFonts w:ascii="Arial" w:cs="Arial" w:eastAsia="Arial" w:hAnsi="Arial"/>
          <w:sz w:val="16"/>
          <w:szCs w:val="16"/>
          <w:color w:val="auto"/>
        </w:rPr>
        <w:t>As of September 30, 2009 we had outstanding borrowings of $225.1 million under our credit facility (including a temporary draw of $7.0 million) with a weighted average annual interest rate at the time of 1.31% exclusive of the fee on undrawn commitment of 0.20%. Accordingly, to cover the annual interest on our borrowings outstanding at September 30, 2009, at the then current rate, we would have to receive an annual yield of at least 0.6%. This example is for illustrative purposes only, and actual interest rates on our credit facility borrowings are likely to fluctuate. The costs associated with our borrowings, including any increase in the management fee payable to our Investment Adviser, will be borne by our common stockholders.</w:t>
      </w:r>
    </w:p>
    <w:p>
      <w:pPr>
        <w:spacing w:after="0" w:line="115" w:lineRule="exact"/>
        <w:rPr>
          <w:sz w:val="20"/>
          <w:szCs w:val="20"/>
          <w:color w:val="auto"/>
        </w:rPr>
      </w:pPr>
    </w:p>
    <w:p>
      <w:pPr>
        <w:ind w:right="240" w:firstLine="449"/>
        <w:spacing w:after="0" w:line="256" w:lineRule="auto"/>
        <w:rPr>
          <w:sz w:val="20"/>
          <w:szCs w:val="20"/>
          <w:color w:val="auto"/>
        </w:rPr>
      </w:pPr>
      <w:r>
        <w:rPr>
          <w:rFonts w:ascii="Arial" w:cs="Arial" w:eastAsia="Arial" w:hAnsi="Arial"/>
          <w:sz w:val="18"/>
          <w:szCs w:val="18"/>
          <w:color w:val="auto"/>
        </w:rPr>
        <w:t>As a business development company, we generally are required to meet a coverage ratio of total assets to total borrowings and other senior securities, which include all of our borrowings and any preferred stock we may issue in the future, of at least 200% of total indebtedness. If this ratio declines below 200%, we may not be able to incur additional debt and may need to sell a portion of our investments to repay some debt when it is disadvantageous to do so, and we may not be able to make distributions.</w:t>
      </w:r>
    </w:p>
    <w:p>
      <w:pPr>
        <w:spacing w:after="0" w:line="143" w:lineRule="exact"/>
        <w:rPr>
          <w:sz w:val="20"/>
          <w:szCs w:val="20"/>
          <w:color w:val="auto"/>
        </w:rPr>
      </w:pPr>
    </w:p>
    <w:p>
      <w:pPr>
        <w:ind w:right="60" w:firstLine="449"/>
        <w:spacing w:after="0" w:line="298" w:lineRule="auto"/>
        <w:rPr>
          <w:sz w:val="20"/>
          <w:szCs w:val="20"/>
          <w:color w:val="auto"/>
        </w:rPr>
      </w:pPr>
      <w:r>
        <w:rPr>
          <w:rFonts w:ascii="Arial" w:cs="Arial" w:eastAsia="Arial" w:hAnsi="Arial"/>
          <w:sz w:val="16"/>
          <w:szCs w:val="16"/>
          <w:color w:val="auto"/>
        </w:rPr>
        <w:t>The following table is designed to illustrate the effect on return to a holder of our common stock of the leverage created by our use of borrowing at September 30, 2009 of 34% of total assets (including such borrowed funds), at a weighted average rate at the time of 1.31%, and assuming hypothetical annual returns on our portfolio of minus 10 to plus 10 percent.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1"/>
                <w:szCs w:val="11"/>
                <w:color w:val="auto"/>
              </w:rPr>
              <w:t>(1)</w:t>
            </w:r>
          </w:p>
        </w:tc>
        <w:tc>
          <w:tcPr>
            <w:tcW w:w="3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6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3040" w:type="dxa"/>
            <w:vAlign w:val="bottom"/>
          </w:tcPr>
          <w:p>
            <w:pPr>
              <w:jc w:val="right"/>
              <w:ind w:right="12"/>
              <w:spacing w:after="0"/>
              <w:rPr>
                <w:sz w:val="20"/>
                <w:szCs w:val="20"/>
                <w:color w:val="auto"/>
              </w:rPr>
            </w:pPr>
            <w:r>
              <w:rPr>
                <w:rFonts w:ascii="Arial" w:cs="Arial" w:eastAsia="Arial" w:hAnsi="Arial"/>
                <w:sz w:val="18"/>
                <w:szCs w:val="18"/>
                <w:color w:val="auto"/>
              </w:rPr>
              <w:t>-18.0%</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-9.5%</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560" w:type="dxa"/>
            <w:vAlign w:val="bottom"/>
          </w:tcPr>
          <w:p>
            <w:pPr>
              <w:jc w:val="right"/>
              <w:spacing w:after="0"/>
              <w:rPr>
                <w:sz w:val="20"/>
                <w:szCs w:val="20"/>
                <w:color w:val="auto"/>
              </w:rPr>
            </w:pPr>
            <w:r>
              <w:rPr>
                <w:rFonts w:ascii="Arial" w:cs="Arial" w:eastAsia="Arial" w:hAnsi="Arial"/>
                <w:sz w:val="18"/>
                <w:szCs w:val="18"/>
                <w:color w:val="auto"/>
              </w:rPr>
              <w:t>16.1%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12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assumed portfolio return is required by regulation of the SEC and is not a prediction of, and does not represent, our projected or actual performance.</w:t>
      </w:r>
    </w:p>
    <w:p>
      <w:pPr>
        <w:spacing w:after="0" w:line="49" w:lineRule="exact"/>
        <w:rPr>
          <w:rFonts w:ascii="Arial" w:cs="Arial" w:eastAsia="Arial" w:hAnsi="Arial"/>
          <w:sz w:val="15"/>
          <w:szCs w:val="15"/>
          <w:color w:val="auto"/>
        </w:rPr>
      </w:pPr>
    </w:p>
    <w:p>
      <w:pPr>
        <w:ind w:left="460" w:right="120" w:hanging="452"/>
        <w:spacing w:after="0" w:line="295"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also assumes that we will maintain a constant level of leverage. The amount of leverage that we use will vary from time to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risks associated with changes in interest rates that may affect our cost of capital and net investment income.</w:t>
      </w:r>
    </w:p>
    <w:p>
      <w:pPr>
        <w:spacing w:after="0" w:line="177" w:lineRule="exact"/>
        <w:rPr>
          <w:sz w:val="20"/>
          <w:szCs w:val="20"/>
          <w:color w:val="auto"/>
        </w:rPr>
      </w:pPr>
    </w:p>
    <w:p>
      <w:pPr>
        <w:ind w:right="100" w:firstLine="449"/>
        <w:spacing w:after="0" w:line="287"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25, 2007, when we executed our credit facility, through September 30, 2009, the applicable LIBOR rate has decreased from 5.3% to 0.3%. In periods of rising interest rates, our cost of funds will increase, which could reduce our net investment income. We may use interest rate risk management techniques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Conditions and Results of Operations—Quantitative and Qualitative Disclosures about Market Risk.”</w:t>
      </w:r>
    </w:p>
    <w:p>
      <w:pPr>
        <w:spacing w:after="0" w:line="122" w:lineRule="exact"/>
        <w:rPr>
          <w:sz w:val="20"/>
          <w:szCs w:val="20"/>
          <w:color w:val="auto"/>
        </w:rPr>
      </w:pPr>
    </w:p>
    <w:p>
      <w:pPr>
        <w:ind w:right="100" w:firstLine="449"/>
        <w:spacing w:after="0" w:line="306"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ectPr>
          <w:pgSz w:w="11900" w:h="16838" w:orient="portrait"/>
          <w:cols w:equalWidth="0" w:num="1">
            <w:col w:w="11240"/>
          </w:cols>
          <w:pgMar w:left="320" w:top="459" w:right="339" w:bottom="1440" w:gutter="0" w:footer="0" w:header="0"/>
        </w:sectPr>
      </w:pPr>
    </w:p>
    <w:bookmarkStart w:id="30" w:name="page31"/>
    <w:bookmarkEnd w:id="30"/>
    <w:p>
      <w:pPr>
        <w:ind w:right="60" w:firstLine="449"/>
        <w:spacing w:after="0" w:line="291"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including subordinated loans, senior and junior secured and unsecured debt securities and loans and high-yield bonds,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14"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126"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31"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06"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126"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As a result of an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preferred stock and/or debt securities, the net asset value and market value of our common stock may become more volatile.</w:t>
      </w:r>
    </w:p>
    <w:p>
      <w:pPr>
        <w:spacing w:after="0" w:line="200"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19"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which may be required by the preferred stock and/or debt securities or of a downgrade in the ratings of the preferred stock and/or debt securities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112"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Holders of any preferred stock that we may issue will have the right to elect members of the board of directors and have class voting rights on certain matters.</w:t>
      </w:r>
    </w:p>
    <w:p>
      <w:pPr>
        <w:spacing w:after="0" w:line="126"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market or market value of any publicly issued debt securities may be volatile.</w:t>
      </w:r>
    </w:p>
    <w:p>
      <w:pPr>
        <w:spacing w:after="0" w:line="177" w:lineRule="exact"/>
        <w:rPr>
          <w:sz w:val="20"/>
          <w:szCs w:val="20"/>
          <w:color w:val="auto"/>
        </w:rPr>
      </w:pPr>
    </w:p>
    <w:p>
      <w:pPr>
        <w:ind w:right="120" w:firstLine="449"/>
        <w:spacing w:after="0" w:line="306" w:lineRule="auto"/>
        <w:rPr>
          <w:sz w:val="20"/>
          <w:szCs w:val="20"/>
          <w:color w:val="auto"/>
        </w:rPr>
      </w:pPr>
      <w:r>
        <w:rPr>
          <w:rFonts w:ascii="Arial" w:cs="Arial" w:eastAsia="Arial" w:hAnsi="Arial"/>
          <w:sz w:val="16"/>
          <w:szCs w:val="16"/>
          <w:color w:val="auto"/>
        </w:rPr>
        <w:t>If we publicly issue debt securities, they may or may not have an established trading market. We cannot assure investors that a trading market for our publicly issued debt securities would develop or be maintained if developed. In addition to our creditworthiness, many factors may materially adversely affect the trading market for, and market value of, our publicly issued debt securities. These factors include the following:</w:t>
      </w:r>
    </w:p>
    <w:p>
      <w:pPr>
        <w:spacing w:after="0" w:line="25" w:lineRule="exact"/>
        <w:rPr>
          <w:sz w:val="20"/>
          <w:szCs w:val="20"/>
          <w:color w:val="auto"/>
        </w:rPr>
      </w:pPr>
    </w:p>
    <w:p>
      <w:pPr>
        <w:ind w:left="880" w:hanging="31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redemption or repayment features, if any, of these debt securities;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 and</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71" w:lineRule="exact"/>
        <w:rPr>
          <w:sz w:val="20"/>
          <w:szCs w:val="20"/>
          <w:color w:val="auto"/>
        </w:rPr>
      </w:pPr>
    </w:p>
    <w:p>
      <w:pPr>
        <w:ind w:right="140" w:firstLine="449"/>
        <w:spacing w:after="0" w:line="268" w:lineRule="auto"/>
        <w:rPr>
          <w:sz w:val="20"/>
          <w:szCs w:val="20"/>
          <w:color w:val="auto"/>
        </w:rPr>
      </w:pPr>
      <w:r>
        <w:rPr>
          <w:rFonts w:ascii="Arial" w:cs="Arial" w:eastAsia="Arial" w:hAnsi="Arial"/>
          <w:sz w:val="18"/>
          <w:szCs w:val="18"/>
          <w:color w:val="auto"/>
        </w:rPr>
        <w:t>There also may be a limited number of buyers for our debt securities. This too may materially adversely affect the market value of the debt securities or the trading market for the debt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credit ratings may not reflect all risks of an investment in debt securities.</w:t>
      </w:r>
    </w:p>
    <w:p>
      <w:pPr>
        <w:spacing w:after="0" w:line="177" w:lineRule="exact"/>
        <w:rPr>
          <w:sz w:val="20"/>
          <w:szCs w:val="20"/>
          <w:color w:val="auto"/>
        </w:rPr>
      </w:pPr>
    </w:p>
    <w:p>
      <w:pPr>
        <w:ind w:right="280" w:firstLine="449"/>
        <w:spacing w:after="0" w:line="306" w:lineRule="auto"/>
        <w:rPr>
          <w:sz w:val="20"/>
          <w:szCs w:val="20"/>
          <w:color w:val="auto"/>
        </w:rPr>
      </w:pPr>
      <w:r>
        <w:rPr>
          <w:rFonts w:ascii="Arial" w:cs="Arial" w:eastAsia="Arial" w:hAnsi="Arial"/>
          <w:sz w:val="16"/>
          <w:szCs w:val="16"/>
          <w:color w:val="auto"/>
        </w:rPr>
        <w:t>Our credit ratings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ectPr>
          <w:pgSz w:w="11900" w:h="16838" w:orient="portrait"/>
          <w:cols w:equalWidth="0" w:num="1">
            <w:col w:w="11240"/>
          </w:cols>
          <w:pgMar w:left="320" w:top="459" w:right="339" w:bottom="1081" w:gutter="0" w:footer="0" w:header="0"/>
        </w:sectPr>
      </w:pP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459" w:right="339" w:bottom="1081"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relating to redemption may materially adversely affect the return on any debt securities.</w:t>
      </w:r>
    </w:p>
    <w:p>
      <w:pPr>
        <w:spacing w:after="0" w:line="17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subscription rights or warrants for our common stock, your interest in us may be diluted as a result of such rights or warrants offering.</w:t>
      </w:r>
    </w:p>
    <w:p>
      <w:pPr>
        <w:spacing w:after="0" w:line="200" w:lineRule="exact"/>
        <w:rPr>
          <w:sz w:val="20"/>
          <w:szCs w:val="20"/>
          <w:color w:val="auto"/>
        </w:rPr>
      </w:pPr>
    </w:p>
    <w:p>
      <w:pPr>
        <w:jc w:val="both"/>
        <w:ind w:right="20" w:firstLine="449"/>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the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43" w:lineRule="exact"/>
        <w:rPr>
          <w:sz w:val="20"/>
          <w:szCs w:val="20"/>
          <w:color w:val="auto"/>
        </w:rPr>
      </w:pPr>
    </w:p>
    <w:p>
      <w:pPr>
        <w:ind w:right="140" w:firstLine="449"/>
        <w:spacing w:after="0" w:line="298" w:lineRule="auto"/>
        <w:rPr>
          <w:sz w:val="20"/>
          <w:szCs w:val="20"/>
          <w:color w:val="auto"/>
        </w:rPr>
      </w:pPr>
      <w:r>
        <w:rPr>
          <w:rFonts w:ascii="Arial" w:cs="Arial" w:eastAsia="Arial" w:hAnsi="Arial"/>
          <w:sz w:val="16"/>
          <w:szCs w:val="16"/>
          <w:color w:val="auto"/>
        </w:rPr>
        <w:t>In addition, if the subscription price or warrant price is less than our net asset value per share of common stock at the time of such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price or net asset value per share will be on the expiration date of such rights offering or what proportion of our common stock will be purchased as a result of any such offering.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17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As a result of these factors, results for any period should not be relied upon as being indicative of performance in future periods.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177" w:lineRule="exact"/>
        <w:rPr>
          <w:sz w:val="20"/>
          <w:szCs w:val="20"/>
          <w:color w:val="auto"/>
        </w:rPr>
      </w:pPr>
    </w:p>
    <w:p>
      <w:pPr>
        <w:ind w:right="20" w:firstLine="449"/>
        <w:spacing w:after="0" w:line="294" w:lineRule="auto"/>
        <w:rPr>
          <w:sz w:val="20"/>
          <w:szCs w:val="20"/>
          <w:color w:val="auto"/>
        </w:rPr>
      </w:pPr>
      <w:r>
        <w:rPr>
          <w:rFonts w:ascii="Arial" w:cs="Arial" w:eastAsia="Arial" w:hAnsi="Arial"/>
          <w:sz w:val="16"/>
          <w:szCs w:val="16"/>
          <w:color w:val="auto"/>
        </w:rPr>
        <w:t>The professionals of our Investment Adviser and Administrator may serve as officers, directors or principals of entities that operate in the same or a related line of business as we do or of investment funds managed by affiliates of PennantPark Investment that may be formed in the future. The Investment Adviser and Administrator has not yet undertaken any such services, but may do so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w:t>
      </w:r>
    </w:p>
    <w:p>
      <w:pPr>
        <w:spacing w:after="0" w:line="115" w:lineRule="exact"/>
        <w:rPr>
          <w:sz w:val="20"/>
          <w:szCs w:val="20"/>
          <w:color w:val="auto"/>
        </w:rPr>
      </w:pPr>
    </w:p>
    <w:p>
      <w:pPr>
        <w:ind w:right="40" w:firstLine="449"/>
        <w:spacing w:after="0" w:line="298" w:lineRule="auto"/>
        <w:rPr>
          <w:sz w:val="20"/>
          <w:szCs w:val="20"/>
          <w:color w:val="auto"/>
        </w:rPr>
      </w:pPr>
      <w:r>
        <w:rPr>
          <w:rFonts w:ascii="Arial" w:cs="Arial" w:eastAsia="Arial" w:hAnsi="Arial"/>
          <w:sz w:val="16"/>
          <w:szCs w:val="16"/>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12"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color w:val="auto"/>
        </w:rPr>
        <w:t>We have entered into a license agreement (the “License Agreement”) with PennantPark Investment Advisers, pursuant to which our Investment Adviser has agreed to grant us a royalty-free non-exclusive license to use the name “PennantPark.” Under the License Agreement, we will have the right to use the “PennantPark” name for so long as the Investment Adviser or one of its affiliates remains our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our Administration Agreement, including rent and our allocable portion of the cost of our chief financial officer and chief compliance officer and their respective staffs. These arrangements may create conflicts of interest that our board of directors must monitor.</w:t>
      </w:r>
    </w:p>
    <w:p>
      <w:pPr>
        <w:sectPr>
          <w:pgSz w:w="11900" w:h="16838" w:orient="portrait"/>
          <w:cols w:equalWidth="0" w:num="1">
            <w:col w:w="11200"/>
          </w:cols>
          <w:pgMar w:left="320" w:top="459"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177" w:lineRule="exact"/>
        <w:rPr>
          <w:sz w:val="20"/>
          <w:szCs w:val="20"/>
          <w:color w:val="auto"/>
        </w:rPr>
      </w:pPr>
    </w:p>
    <w:p>
      <w:pPr>
        <w:ind w:right="200" w:firstLine="449"/>
        <w:spacing w:after="0" w:line="369" w:lineRule="auto"/>
        <w:rPr>
          <w:sz w:val="20"/>
          <w:szCs w:val="20"/>
          <w:color w:val="auto"/>
        </w:rPr>
      </w:pPr>
      <w:r>
        <w:rPr>
          <w:rFonts w:ascii="Arial" w:cs="Arial" w:eastAsia="Arial" w:hAnsi="Arial"/>
          <w:sz w:val="15"/>
          <w:szCs w:val="15"/>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200"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We invest in illiquid assets, and our valuation procedures with respect to such assets may result in our recording values that are materially different than the values we ultimately receive upon disposition of such assets.</w:t>
      </w:r>
    </w:p>
    <w:p>
      <w:pPr>
        <w:spacing w:after="0" w:line="45"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 xml:space="preserve">All of our investments are recorded using broker/dealers quotes, or at fair value as determined in good faith by our board of directors. We expect that primarily most, if not all, of our investments (other than cash and cash equivalents) and credit facility borrowings will be classified as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under ASC 820 (formerly known as SFAS No. 157). This means that our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materially reduces the reliability of such information.</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320" w:top="125" w:right="3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 w:firstLine="449"/>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adjust quarterly the valuation of our portfolio to reflect our board of directors’ determination of the fair value of each investment in our portfolio.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Any changes in fair value are recorded in our statement of operations as net change in unrealized appreciation or depreciation.</w:t>
      </w:r>
    </w:p>
    <w:p>
      <w:pPr>
        <w:spacing w:after="0" w:line="165" w:lineRule="exact"/>
        <w:rPr>
          <w:sz w:val="20"/>
          <w:szCs w:val="20"/>
          <w:color w:val="auto"/>
        </w:rPr>
      </w:pPr>
    </w:p>
    <w:p>
      <w:pPr>
        <w:ind w:right="120" w:firstLine="449"/>
        <w:spacing w:after="0" w:line="288" w:lineRule="auto"/>
        <w:rPr>
          <w:sz w:val="20"/>
          <w:szCs w:val="20"/>
          <w:color w:val="auto"/>
        </w:rPr>
      </w:pPr>
      <w:r>
        <w:rPr>
          <w:rFonts w:ascii="Arial" w:cs="Arial" w:eastAsia="Arial" w:hAnsi="Arial"/>
          <w:sz w:val="16"/>
          <w:szCs w:val="16"/>
          <w:color w:val="auto"/>
        </w:rPr>
        <w:t>At September 30, 2009, most of our portfolio assets were recorded at fair value as determined in good faith by our board of directors. As we invest a greater percentage of our total assets in core assets,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values that would have been used if a ready market for these securities existed.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177" w:lineRule="exact"/>
        <w:rPr>
          <w:sz w:val="20"/>
          <w:szCs w:val="20"/>
          <w:color w:val="auto"/>
        </w:rPr>
      </w:pPr>
    </w:p>
    <w:p>
      <w:pPr>
        <w:jc w:val="both"/>
        <w:ind w:right="60" w:firstLine="449"/>
        <w:spacing w:after="0" w:line="306" w:lineRule="auto"/>
        <w:rPr>
          <w:sz w:val="20"/>
          <w:szCs w:val="20"/>
          <w:color w:val="auto"/>
        </w:rPr>
      </w:pPr>
      <w:r>
        <w:rPr>
          <w:rFonts w:ascii="Arial" w:cs="Arial" w:eastAsia="Arial" w:hAnsi="Arial"/>
          <w:sz w:val="16"/>
          <w:szCs w:val="16"/>
          <w:color w:val="auto"/>
        </w:rPr>
        <w:t>We may acquire our core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recapitalization, or initial public offering of the company, but we are not required to do so.</w:t>
      </w:r>
    </w:p>
    <w:p>
      <w:pPr>
        <w:spacing w:after="0" w:line="106"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The illiquidity of our investments may make it difficult or impossible for us to sell such investments if the need arises, particularly in light of current market developments in which investor appetite for illiquid securities has substantially diminished. In addition, if we are required to liquidate all or a portion of our portfolio quickly, we may realize significantly less than the value at which we have previously recorded our investments. In addition, we may face other restrictions on our ability to liquidate an investment in a portfolio company to the extent that we have material non-public information regarding such portfolio company.</w:t>
      </w:r>
    </w:p>
    <w:p>
      <w:pPr>
        <w:spacing w:after="0" w:line="147" w:lineRule="exact"/>
        <w:rPr>
          <w:sz w:val="20"/>
          <w:szCs w:val="20"/>
          <w:color w:val="auto"/>
        </w:rPr>
      </w:pPr>
    </w:p>
    <w:p>
      <w:pPr>
        <w:ind w:right="160" w:firstLine="449"/>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disruption in the credit markets could materially damage our business.</w:t>
      </w:r>
    </w:p>
    <w:p>
      <w:pPr>
        <w:spacing w:after="0" w:line="177"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liability maturities. Our borrowings under our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2" w:lineRule="exact"/>
        <w:rPr>
          <w:sz w:val="20"/>
          <w:szCs w:val="20"/>
          <w:color w:val="auto"/>
        </w:rPr>
      </w:pPr>
    </w:p>
    <w:p>
      <w:pPr>
        <w:jc w:val="both"/>
        <w:ind w:right="280" w:firstLine="449"/>
        <w:spacing w:after="0" w:line="294" w:lineRule="auto"/>
        <w:rPr>
          <w:sz w:val="20"/>
          <w:szCs w:val="20"/>
          <w:color w:val="auto"/>
        </w:rPr>
      </w:pPr>
      <w:r>
        <w:rPr>
          <w:rFonts w:ascii="Arial" w:cs="Arial" w:eastAsia="Arial" w:hAnsi="Arial"/>
          <w:sz w:val="16"/>
          <w:szCs w:val="16"/>
          <w:color w:val="auto"/>
        </w:rPr>
        <w:t>If the fair value of our assets declines substantially, we may fail to maintain the asset coverage ratios stipulated by the 1940 Act, which could, in turn, cause us to lose our status as a business development company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ectPr>
          <w:pgSz w:w="11900" w:h="16838" w:orient="portrait"/>
          <w:cols w:equalWidth="0" w:num="1">
            <w:col w:w="11240"/>
          </w:cols>
          <w:pgMar w:left="320" w:top="459" w:right="339" w:bottom="1440" w:gutter="0" w:footer="0" w:header="0"/>
        </w:sectPr>
      </w:pPr>
    </w:p>
    <w:bookmarkStart w:id="35" w:name="page36"/>
    <w:bookmarkEnd w:id="35"/>
    <w:p>
      <w:pPr>
        <w:spacing w:after="0" w:line="275" w:lineRule="auto"/>
        <w:rPr>
          <w:sz w:val="20"/>
          <w:szCs w:val="20"/>
          <w:color w:val="auto"/>
        </w:rPr>
      </w:pPr>
      <w:r>
        <w:rPr>
          <w:rFonts w:ascii="Arial" w:cs="Arial" w:eastAsia="Arial" w:hAnsi="Arial"/>
          <w:sz w:val="18"/>
          <w:szCs w:val="18"/>
          <w:b w:val="1"/>
          <w:bCs w:val="1"/>
          <w:color w:val="auto"/>
        </w:rPr>
        <w:t>We rely in part on our senior secured securities to provide us with adequate liquidity, but even these securities face liquidity constraints under current market conditions.</w:t>
      </w:r>
    </w:p>
    <w:p>
      <w:pPr>
        <w:spacing w:after="0" w:line="126"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The market for senior secured debt securities and other over-the-counter traded securities has weakened as the viability of any over-the-counter secondary market depends on the continued willingness of dealers and other participants to purchase the securities. This demand has slackened under current market conditions.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invest primarily in mezzanine debt, senior secured loans and selected equity investments issued by U.S. middle-market companies.</w:t>
      </w:r>
    </w:p>
    <w:p>
      <w:pPr>
        <w:spacing w:after="0" w:line="113" w:lineRule="exact"/>
        <w:rPr>
          <w:sz w:val="20"/>
          <w:szCs w:val="20"/>
          <w:color w:val="auto"/>
        </w:rPr>
      </w:pPr>
    </w:p>
    <w:p>
      <w:pPr>
        <w:ind w:left="880" w:right="40" w:hanging="319"/>
        <w:spacing w:after="0" w:line="294" w:lineRule="auto"/>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Mezzanine Debt: </w:t>
      </w:r>
      <w:r>
        <w:rPr>
          <w:rFonts w:ascii="Arial" w:cs="Arial" w:eastAsia="Arial" w:hAnsi="Arial"/>
          <w:sz w:val="16"/>
          <w:szCs w:val="16"/>
          <w:color w:val="auto"/>
        </w:rPr>
        <w:t>Our mezzanine debt investments will generally be subordinated to senior secured loans and will generally be unsecured. This</w:t>
      </w:r>
      <w:r>
        <w:rPr>
          <w:rFonts w:ascii="Arial" w:cs="Arial" w:eastAsia="Arial" w:hAnsi="Arial"/>
          <w:sz w:val="16"/>
          <w:szCs w:val="16"/>
          <w:i w:val="1"/>
          <w:iCs w:val="1"/>
          <w:color w:val="auto"/>
        </w:rPr>
        <w:t xml:space="preserve"> </w:t>
      </w:r>
      <w:r>
        <w:rPr>
          <w:rFonts w:ascii="Arial" w:cs="Arial" w:eastAsia="Arial" w:hAnsi="Arial"/>
          <w:sz w:val="16"/>
          <w:szCs w:val="16"/>
          <w:color w:val="auto"/>
        </w:rPr>
        <w:t>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cash prior to the maturity of some of our mezzanine debt investments, such investments may be of greater risk than cash paying loans.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right="80" w:hanging="319"/>
        <w:spacing w:after="0" w:line="288" w:lineRule="auto"/>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Senior Secured Loans: </w:t>
      </w:r>
      <w:r>
        <w:rPr>
          <w:rFonts w:ascii="Arial" w:cs="Arial" w:eastAsia="Arial" w:hAnsi="Arial"/>
          <w:sz w:val="16"/>
          <w:szCs w:val="16"/>
          <w:color w:val="auto"/>
        </w:rPr>
        <w:t>When we extend senior secured loans, we will generally take a security interest in the available assets of these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37" w:lineRule="exact"/>
        <w:rPr>
          <w:rFonts w:ascii="Arial" w:cs="Arial" w:eastAsia="Arial" w:hAnsi="Arial"/>
          <w:sz w:val="16"/>
          <w:szCs w:val="16"/>
          <w:color w:val="auto"/>
        </w:rPr>
      </w:pPr>
    </w:p>
    <w:p>
      <w:pPr>
        <w:ind w:left="880" w:hanging="319"/>
        <w:spacing w:after="0" w:line="294" w:lineRule="auto"/>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Equity Investments</w:t>
      </w:r>
      <w:r>
        <w:rPr>
          <w:rFonts w:ascii="Arial" w:cs="Arial" w:eastAsia="Arial" w:hAnsi="Arial"/>
          <w:sz w:val="16"/>
          <w:szCs w:val="16"/>
          <w:color w:val="auto"/>
        </w:rPr>
        <w:t>: We have made and expect to continue to make selected equity investments. In addition, when we invest in senior secured loans</w:t>
      </w:r>
      <w:r>
        <w:rPr>
          <w:rFonts w:ascii="Arial" w:cs="Arial" w:eastAsia="Arial" w:hAnsi="Arial"/>
          <w:sz w:val="16"/>
          <w:szCs w:val="16"/>
          <w:i w:val="1"/>
          <w:iCs w:val="1"/>
          <w:color w:val="auto"/>
        </w:rPr>
        <w:t xml:space="preserve"> </w:t>
      </w:r>
      <w:r>
        <w:rPr>
          <w:rFonts w:ascii="Arial" w:cs="Arial" w:eastAsia="Arial" w:hAnsi="Arial"/>
          <w:sz w:val="16"/>
          <w:szCs w:val="16"/>
          <w:color w:val="auto"/>
        </w:rPr>
        <w:t>or 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90" w:lineRule="exact"/>
        <w:rPr>
          <w:sz w:val="20"/>
          <w:szCs w:val="20"/>
          <w:color w:val="auto"/>
        </w:rPr>
      </w:pPr>
    </w:p>
    <w:p>
      <w:pPr>
        <w:jc w:val="both"/>
        <w:ind w:left="880" w:right="20" w:hanging="319"/>
        <w:spacing w:after="0" w:line="259"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8" w:lineRule="exact"/>
        <w:rPr>
          <w:rFonts w:ascii="Arial" w:cs="Arial" w:eastAsia="Arial" w:hAnsi="Arial"/>
          <w:sz w:val="18"/>
          <w:szCs w:val="18"/>
          <w:color w:val="auto"/>
        </w:rPr>
      </w:pPr>
    </w:p>
    <w:p>
      <w:pPr>
        <w:ind w:left="880" w:right="80" w:hanging="319"/>
        <w:spacing w:after="0" w:line="331" w:lineRule="auto"/>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5" w:lineRule="exact"/>
        <w:rPr>
          <w:rFonts w:ascii="Arial" w:cs="Arial" w:eastAsia="Arial" w:hAnsi="Arial"/>
          <w:sz w:val="16"/>
          <w:szCs w:val="16"/>
          <w:color w:val="auto"/>
        </w:rPr>
      </w:pPr>
    </w:p>
    <w:p>
      <w:pPr>
        <w:ind w:left="880" w:right="300" w:hanging="319"/>
        <w:spacing w:after="0" w:line="331" w:lineRule="auto"/>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5" w:lineRule="exact"/>
        <w:rPr>
          <w:rFonts w:ascii="Arial" w:cs="Arial" w:eastAsia="Arial" w:hAnsi="Arial"/>
          <w:sz w:val="16"/>
          <w:szCs w:val="16"/>
          <w:color w:val="auto"/>
        </w:rPr>
      </w:pPr>
    </w:p>
    <w:p>
      <w:pPr>
        <w:ind w:left="880" w:right="280" w:hanging="319"/>
        <w:spacing w:after="0" w:line="298" w:lineRule="auto"/>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31" w:lineRule="exact"/>
        <w:rPr>
          <w:rFonts w:ascii="Arial" w:cs="Arial" w:eastAsia="Arial" w:hAnsi="Arial"/>
          <w:sz w:val="16"/>
          <w:szCs w:val="16"/>
          <w:color w:val="auto"/>
        </w:rPr>
      </w:pPr>
    </w:p>
    <w:p>
      <w:pPr>
        <w:ind w:left="880" w:right="720" w:hanging="319"/>
        <w:spacing w:after="0" w:line="268"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126" w:lineRule="exact"/>
        <w:rPr>
          <w:sz w:val="20"/>
          <w:szCs w:val="20"/>
          <w:color w:val="auto"/>
        </w:rPr>
      </w:pPr>
    </w:p>
    <w:p>
      <w:pPr>
        <w:ind w:right="100"/>
        <w:spacing w:after="0" w:line="378" w:lineRule="auto"/>
        <w:rPr>
          <w:sz w:val="20"/>
          <w:szCs w:val="20"/>
          <w:color w:val="auto"/>
        </w:rPr>
      </w:pPr>
      <w:r>
        <w:rPr>
          <w:rFonts w:ascii="Arial" w:cs="Arial" w:eastAsia="Arial" w:hAnsi="Arial"/>
          <w:sz w:val="15"/>
          <w:szCs w:val="15"/>
          <w:b w:val="1"/>
          <w:bCs w:val="1"/>
          <w:color w:val="auto"/>
        </w:rPr>
        <w:t>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spacing w:after="0" w:line="57"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As a business development company,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items, government securities and high quality debt securities maturing in one year or less from the time of investment.</w:t>
      </w:r>
    </w:p>
    <w:p>
      <w:pPr>
        <w:spacing w:after="0" w:line="147"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We believe that most of our senior secured loans and mezzanine debt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ectPr>
          <w:pgSz w:w="11900" w:h="16838" w:orient="portrait"/>
          <w:cols w:equalWidth="0" w:num="1">
            <w:col w:w="11240"/>
          </w:cols>
          <w:pgMar w:left="320" w:top="459" w:right="339" w:bottom="1440" w:gutter="0" w:footer="0" w:header="0"/>
        </w:sectPr>
      </w:pPr>
    </w:p>
    <w:bookmarkStart w:id="37" w:name="page38"/>
    <w:bookmarkEnd w:id="37"/>
    <w:p>
      <w:pPr>
        <w:ind w:right="48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126"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stake holdings in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17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are in a prolonged recession. 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20" w:lineRule="exact"/>
        <w:rPr>
          <w:sz w:val="20"/>
          <w:szCs w:val="20"/>
          <w:color w:val="auto"/>
        </w:rPr>
      </w:pPr>
    </w:p>
    <w:p>
      <w:pPr>
        <w:ind w:right="120" w:firstLine="449"/>
        <w:spacing w:after="0" w:line="256" w:lineRule="auto"/>
        <w:rPr>
          <w:sz w:val="20"/>
          <w:szCs w:val="20"/>
          <w:color w:val="auto"/>
        </w:rPr>
      </w:pPr>
      <w:r>
        <w:rPr>
          <w:rFonts w:ascii="Arial" w:cs="Arial" w:eastAsia="Arial" w:hAnsi="Arial"/>
          <w:sz w:val="18"/>
          <w:szCs w:val="18"/>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even though we may have structured our investment as senior secured loans.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impair the value of our portfolio.</w:t>
      </w:r>
    </w:p>
    <w:p>
      <w:pPr>
        <w:spacing w:after="0" w:line="177" w:lineRule="exact"/>
        <w:rPr>
          <w:sz w:val="20"/>
          <w:szCs w:val="20"/>
          <w:color w:val="auto"/>
        </w:rPr>
      </w:pPr>
    </w:p>
    <w:p>
      <w:pPr>
        <w:ind w:right="220" w:firstLine="449"/>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880" w:hanging="31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880" w:right="120" w:hanging="319"/>
        <w:spacing w:after="0" w:line="268"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 We may elect not to make follow-on investments or otherwise lack sufficient funds to make those investments.</w:t>
      </w:r>
    </w:p>
    <w:p>
      <w:pPr>
        <w:spacing w:after="0" w:line="132" w:lineRule="exact"/>
        <w:rPr>
          <w:sz w:val="20"/>
          <w:szCs w:val="20"/>
          <w:color w:val="auto"/>
        </w:rPr>
      </w:pPr>
    </w:p>
    <w:p>
      <w:pPr>
        <w:ind w:right="140" w:firstLine="449"/>
        <w:spacing w:after="0" w:line="294" w:lineRule="auto"/>
        <w:rPr>
          <w:sz w:val="20"/>
          <w:szCs w:val="20"/>
          <w:color w:val="auto"/>
        </w:rPr>
      </w:pPr>
      <w:r>
        <w:rPr>
          <w:rFonts w:ascii="Arial" w:cs="Arial" w:eastAsia="Arial" w:hAnsi="Arial"/>
          <w:sz w:val="16"/>
          <w:szCs w:val="16"/>
          <w:color w:val="auto"/>
        </w:rPr>
        <w:t>We have the discretion to make any follow-on investments, subject to the availability of capital resources.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w:t>
      </w:r>
    </w:p>
    <w:p>
      <w:pPr>
        <w:spacing w:after="0" w:line="109" w:lineRule="exact"/>
        <w:rPr>
          <w:sz w:val="20"/>
          <w:szCs w:val="20"/>
          <w:color w:val="auto"/>
        </w:rPr>
      </w:pPr>
    </w:p>
    <w:p>
      <w:pPr>
        <w:ind w:right="440"/>
        <w:spacing w:after="0" w:line="339" w:lineRule="auto"/>
        <w:rPr>
          <w:sz w:val="20"/>
          <w:szCs w:val="20"/>
          <w:color w:val="auto"/>
        </w:rPr>
      </w:pPr>
      <w:r>
        <w:rPr>
          <w:rFonts w:ascii="Arial" w:cs="Arial" w:eastAsia="Arial" w:hAnsi="Arial"/>
          <w:sz w:val="16"/>
          <w:szCs w:val="16"/>
          <w:b w:val="1"/>
          <w:bCs w:val="1"/>
          <w:color w:val="auto"/>
        </w:rPr>
        <w:t>Because we do not generally hold controlling equity interests in our portfolio companies, we may not be in a position to exercise control over our portfolio companies or to prevent decisions by management of our portfolio companies that could decrease the value of our investments.</w:t>
      </w:r>
    </w:p>
    <w:p>
      <w:pPr>
        <w:spacing w:after="0" w:line="80"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Although we may do so in the future, we do not currently have controlling equity positions in our portfolio companies. As a result,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4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presents certain challenges, including the lack of available information about these companies, a dependence on the talents and efforts of only a few key portfolio company personnel and a greater vulnerability to economic downturns.</w:t>
      </w:r>
    </w:p>
    <w:p>
      <w:pPr>
        <w:spacing w:after="0" w:line="138"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money on our investments. Also, privately held companies frequently have less diverse product lines and smaller market presence than larger competitors. These factors could materially adversely affect our investment returns as compared to companies investing primarily in the securities of public companies.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177"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invest primarily in mezzanine debt, senior secured loans and equity investments issued by our portfolio companies. The portfolio companies usually will have, or may be permitted to incur, other debt that ranks equally with, or senior to, the debt securities in which we invest.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ectPr>
          <w:pgSz w:w="11900" w:h="16838" w:orient="portrait"/>
          <w:cols w:equalWidth="0" w:num="1">
            <w:col w:w="11220"/>
          </w:cols>
          <w:pgMar w:left="320" w:top="459"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177"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13"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We may make investments that cause our shareholders to bear investment advisory fees and other expenses on such investments in addition to our management fees and expenses.</w:t>
      </w:r>
    </w:p>
    <w:p>
      <w:pPr>
        <w:spacing w:after="0" w:line="126"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our Investment Adviser incentive compensation even if we incur a loss.</w:t>
      </w:r>
    </w:p>
    <w:p>
      <w:pPr>
        <w:spacing w:after="0" w:line="177" w:lineRule="exact"/>
        <w:rPr>
          <w:sz w:val="20"/>
          <w:szCs w:val="20"/>
          <w:color w:val="auto"/>
        </w:rPr>
      </w:pPr>
    </w:p>
    <w:p>
      <w:pPr>
        <w:ind w:right="200" w:firstLine="449"/>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statement of operations for that quarter. Thus, we may be required to pay our manager incentive compensation for a fiscal quarter even if there is a decline in the value of our portfolio or we incur a net loss for that quarter.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debt securities may involve significant risks in addition to the risks inherent in U.S. investments.</w:t>
      </w:r>
    </w:p>
    <w:p>
      <w:pPr>
        <w:spacing w:after="0" w:line="177" w:lineRule="exact"/>
        <w:rPr>
          <w:sz w:val="20"/>
          <w:szCs w:val="20"/>
          <w:color w:val="auto"/>
        </w:rPr>
      </w:pPr>
    </w:p>
    <w:p>
      <w:pPr>
        <w:ind w:right="40" w:firstLine="449"/>
        <w:spacing w:after="0" w:line="294"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15"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177" w:lineRule="exact"/>
        <w:rPr>
          <w:sz w:val="20"/>
          <w:szCs w:val="20"/>
          <w:color w:val="auto"/>
        </w:rPr>
      </w:pPr>
    </w:p>
    <w:p>
      <w:pPr>
        <w:ind w:right="80" w:firstLine="449"/>
        <w:spacing w:after="0" w:line="288"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24" w:lineRule="exact"/>
        <w:rPr>
          <w:sz w:val="20"/>
          <w:szCs w:val="20"/>
          <w:color w:val="auto"/>
        </w:rPr>
      </w:pPr>
    </w:p>
    <w:p>
      <w:pPr>
        <w:ind w:right="80" w:firstLine="449"/>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12"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126" w:lineRule="exact"/>
        <w:rPr>
          <w:sz w:val="20"/>
          <w:szCs w:val="20"/>
          <w:color w:val="auto"/>
        </w:rPr>
      </w:pPr>
    </w:p>
    <w:p>
      <w:pPr>
        <w:ind w:right="100" w:firstLine="449"/>
        <w:spacing w:after="0" w:line="288"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Investment or the removal of our directors. We are subject to the Maryland Business Combination Act, the application of which is subject to any applicable requirements of the 1940 Act. Our board of directors has adopted a resolution exempting us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common stock by any person. If we amend our bylaws to repeal the exemption from the Control Share Acquisition Act, the Control Share Acquisition Act also may make it more difficult for a third party to obtain control of us and increase the difficulty of consummating such an offer.</w:t>
      </w:r>
    </w:p>
    <w:p>
      <w:pPr>
        <w:sectPr>
          <w:pgSz w:w="11900" w:h="16838" w:orient="portrait"/>
          <w:cols w:equalWidth="0" w:num="1">
            <w:col w:w="11220"/>
          </w:cols>
          <w:pgMar w:left="320" w:top="459" w:right="359" w:bottom="1440" w:gutter="0" w:footer="0" w:header="0"/>
        </w:sectPr>
      </w:pPr>
    </w:p>
    <w:bookmarkStart w:id="41" w:name="page42"/>
    <w:bookmarkEnd w:id="41"/>
    <w:p>
      <w:pPr>
        <w:ind w:firstLine="449"/>
        <w:spacing w:after="0" w:line="294" w:lineRule="auto"/>
        <w:rPr>
          <w:sz w:val="20"/>
          <w:szCs w:val="20"/>
          <w:color w:val="auto"/>
        </w:rPr>
      </w:pPr>
      <w:r>
        <w:rPr>
          <w:rFonts w:ascii="Arial" w:cs="Arial" w:eastAsia="Arial" w:hAnsi="Arial"/>
          <w:sz w:val="16"/>
          <w:szCs w:val="16"/>
          <w:color w:val="auto"/>
        </w:rPr>
        <w:t>We have also adopted other measures that may make it difficult for a third party to obtain control of us, including provisions of our charter classifying our board of directors in three classes serving staggered three-year terms, and provisions of our charter authorizing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60"/>
          </w:cols>
          <w:pgMar w:left="320" w:top="131"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We have obtained and may again obtain, the approval of our stockholders to issue shares of our common stock at prices below the then current net asset value per share of our common stock. We have also issued, and in the future we may again issue shares of our common stock at a price below the then current net asset value per share of common stock. Any such issuance could materially dilute your interest in our common stock and reduce our net asset value per share.</w:t>
      </w:r>
    </w:p>
    <w:p>
      <w:pPr>
        <w:spacing w:after="0" w:line="61"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On August 25, 2009, our stockholders approved a proposal that authorizes us to sell shares of our common stock below the then current net asset value per share of our common stock in one or more offerings for a 12-month period. On September 29, 2009, we sold shares of our common stock below the then current net asset value per share of common stock. This proposal has allowed and will continue to allow us to access the capital markets in a way that we were previously unable to as a result of restrictions that, absent stockholder approval, apply to business development companies under the 1940 Act. Any decision to sell shares of our common stock below the then current net asset value per share of our common stock in one or more offerings is subject to the determination by our board of directors that such issuance and sale is in our and our stockholders’ best interests.</w:t>
      </w:r>
    </w:p>
    <w:p>
      <w:pPr>
        <w:spacing w:after="0" w:line="120"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Any sale or other issuance of shares of our common stock at a price below net asset value per share has resulted and will continue to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 and we undertake to describe all the material risks and dilutive effects of any offering that we make at a price below our then current net asset value in the future in a prospectus supplement issued in connection with any such offering.</w:t>
      </w:r>
    </w:p>
    <w:p>
      <w:pPr>
        <w:spacing w:after="0" w:line="138" w:lineRule="exact"/>
        <w:rPr>
          <w:sz w:val="20"/>
          <w:szCs w:val="20"/>
          <w:color w:val="auto"/>
        </w:rPr>
      </w:pPr>
    </w:p>
    <w:p>
      <w:pPr>
        <w:jc w:val="both"/>
        <w:ind w:right="300"/>
        <w:spacing w:after="0" w:line="378" w:lineRule="auto"/>
        <w:rPr>
          <w:sz w:val="20"/>
          <w:szCs w:val="20"/>
          <w:color w:val="auto"/>
        </w:rPr>
      </w:pPr>
      <w:r>
        <w:rPr>
          <w:rFonts w:ascii="Arial" w:cs="Arial" w:eastAsia="Arial" w:hAnsi="Arial"/>
          <w:sz w:val="15"/>
          <w:szCs w:val="15"/>
          <w:b w:val="1"/>
          <w:b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spacing w:after="0" w:line="57"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business development company, we generally are required to meet a coverage ratio of total assets to total senior securities, which includes all of our borrowings and any preferred stock we may issue in the future, of at least 200% of indebtedness.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177" w:lineRule="exact"/>
        <w:rPr>
          <w:sz w:val="20"/>
          <w:szCs w:val="20"/>
          <w:color w:val="auto"/>
        </w:rPr>
      </w:pPr>
    </w:p>
    <w:p>
      <w:pPr>
        <w:ind w:firstLine="449"/>
        <w:spacing w:after="0" w:line="312" w:lineRule="auto"/>
        <w:rPr>
          <w:sz w:val="20"/>
          <w:szCs w:val="20"/>
          <w:color w:val="auto"/>
        </w:rPr>
      </w:pPr>
      <w:r>
        <w:rPr>
          <w:rFonts w:ascii="Arial" w:cs="Arial" w:eastAsia="Arial" w:hAnsi="Arial"/>
          <w:sz w:val="15"/>
          <w:szCs w:val="15"/>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business development company,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177" w:lineRule="exact"/>
        <w:rPr>
          <w:sz w:val="20"/>
          <w:szCs w:val="20"/>
          <w:color w:val="auto"/>
        </w:rPr>
      </w:pPr>
    </w:p>
    <w:p>
      <w:pPr>
        <w:jc w:val="both"/>
        <w:ind w:right="180" w:firstLine="449"/>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common stockholders may receive our stock as dividends.</w:t>
      </w:r>
    </w:p>
    <w:p>
      <w:pPr>
        <w:spacing w:after="0" w:line="177"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In January 2009, the Internal Revenue Service issued a revenue procedure that temporarily allows a regulated investment company to distribute its own stock as a dividend for the purpose of fulfilling its distribution requirements. Pursuant to this revenue procedure, a regulated investment company may treat a distribution of its own stock as a dividend if (1) the stock is publicly traded on an established securities market, (2) the distribution is declared with respect to a taxable year ending on or before December 31, 2009 and (3) each shareholder may elect to receive his or her entire distribution in either cash or stock of the regulated investment company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w:t>
      </w:r>
    </w:p>
    <w:p>
      <w:pPr>
        <w:spacing w:after="0" w:line="124" w:lineRule="exact"/>
        <w:rPr>
          <w:sz w:val="20"/>
          <w:szCs w:val="20"/>
          <w:color w:val="auto"/>
        </w:rPr>
      </w:pPr>
    </w:p>
    <w:p>
      <w:pPr>
        <w:jc w:val="both"/>
        <w:ind w:right="80" w:firstLine="449"/>
        <w:spacing w:after="0" w:line="259" w:lineRule="auto"/>
        <w:rPr>
          <w:sz w:val="20"/>
          <w:szCs w:val="20"/>
          <w:color w:val="auto"/>
        </w:rPr>
      </w:pPr>
      <w:r>
        <w:rPr>
          <w:rFonts w:ascii="Arial" w:cs="Arial" w:eastAsia="Arial" w:hAnsi="Arial"/>
          <w:sz w:val="18"/>
          <w:szCs w:val="18"/>
          <w:color w:val="auto"/>
        </w:rPr>
        <w:t>If we distribute our common stock as a dividend of our taxable income, a shareholder could receive up to 90% of the amount of the dividend declared in shares of our common stock with the remaining amount in cash. The total dividend declared would be taxable income to a shareholder although he or she may only receive 10% of the dividend in cash to pay any taxes due on the dividend.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an offering in ways with which you may not agree.</w:t>
      </w:r>
    </w:p>
    <w:p>
      <w:pPr>
        <w:spacing w:after="0" w:line="177" w:lineRule="exact"/>
        <w:rPr>
          <w:sz w:val="20"/>
          <w:szCs w:val="20"/>
          <w:color w:val="auto"/>
        </w:rPr>
      </w:pPr>
    </w:p>
    <w:p>
      <w:pPr>
        <w:ind w:right="220" w:firstLine="449"/>
        <w:spacing w:after="0" w:line="268" w:lineRule="auto"/>
        <w:rPr>
          <w:sz w:val="20"/>
          <w:szCs w:val="20"/>
          <w:color w:val="auto"/>
        </w:rPr>
      </w:pPr>
      <w:r>
        <w:rPr>
          <w:rFonts w:ascii="Arial" w:cs="Arial" w:eastAsia="Arial" w:hAnsi="Arial"/>
          <w:sz w:val="18"/>
          <w:szCs w:val="18"/>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discounts from net asset value or at premiums that are unsustainable over the long term.</w:t>
      </w:r>
    </w:p>
    <w:p>
      <w:pPr>
        <w:spacing w:after="0" w:line="17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Shares of business development companies may trade at a market price that is less than the net asset value that is attributable to those shares. Our shares have traded above and below our NAV. Our shares traded on NASDAQ Global Select Market at $8.11 and $7.41 as of September 30, 2009 and 2008, respectively. Our NAV</w:t>
      </w:r>
    </w:p>
    <w:p>
      <w:pPr>
        <w:sectPr>
          <w:pgSz w:w="11900" w:h="16838" w:orient="portrait"/>
          <w:cols w:equalWidth="0" w:num="1">
            <w:col w:w="11240"/>
          </w:cols>
          <w:pgMar w:left="320" w:top="459" w:right="339" w:bottom="0" w:gutter="0" w:footer="0" w:header="0"/>
        </w:sectPr>
      </w:pPr>
    </w:p>
    <w:bookmarkStart w:id="43" w:name="page44"/>
    <w:bookmarkEnd w:id="43"/>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019"/>
          </w:cols>
          <w:pgMar w:left="1440" w:top="131"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was $11.85 and $10.00, as of September 30, 2009 and 2008,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177" w:lineRule="exact"/>
        <w:rPr>
          <w:sz w:val="20"/>
          <w:szCs w:val="20"/>
          <w:color w:val="auto"/>
        </w:rPr>
      </w:pPr>
    </w:p>
    <w:p>
      <w:pPr>
        <w:ind w:right="460" w:firstLine="449"/>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880" w:right="340" w:hanging="319"/>
        <w:spacing w:after="0" w:line="268"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880" w:hanging="319"/>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business development companies;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loss of RIC status;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880" w:right="540" w:hanging="319"/>
        <w:spacing w:after="0" w:line="268"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50" w:lineRule="exact"/>
        <w:rPr>
          <w:rFonts w:ascii="Arial" w:cs="Arial" w:eastAsia="Arial" w:hAnsi="Arial"/>
          <w:sz w:val="18"/>
          <w:szCs w:val="18"/>
          <w:color w:val="auto"/>
        </w:rPr>
      </w:pPr>
    </w:p>
    <w:p>
      <w:pPr>
        <w:ind w:left="880" w:hanging="319"/>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71" w:lineRule="exact"/>
        <w:rPr>
          <w:sz w:val="20"/>
          <w:szCs w:val="20"/>
          <w:color w:val="auto"/>
        </w:rPr>
      </w:pPr>
    </w:p>
    <w:p>
      <w:pPr>
        <w:ind w:right="480" w:firstLine="449"/>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126"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We may be unable to invest the net proceeds raised from offerings on acceptable terms, which would harm our financial condition and operating results.</w:t>
      </w:r>
    </w:p>
    <w:p>
      <w:pPr>
        <w:spacing w:after="0" w:line="126" w:lineRule="exact"/>
        <w:rPr>
          <w:sz w:val="20"/>
          <w:szCs w:val="20"/>
          <w:color w:val="auto"/>
        </w:rPr>
      </w:pPr>
    </w:p>
    <w:p>
      <w:pPr>
        <w:ind w:right="100" w:firstLine="449"/>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substantial amounts of our securities may have an adverse effect on the market price of our securities.</w:t>
      </w:r>
    </w:p>
    <w:p>
      <w:pPr>
        <w:spacing w:after="0" w:line="177" w:lineRule="exact"/>
        <w:rPr>
          <w:sz w:val="20"/>
          <w:szCs w:val="20"/>
          <w:color w:val="auto"/>
        </w:rPr>
      </w:pPr>
    </w:p>
    <w:p>
      <w:pPr>
        <w:ind w:right="300" w:firstLine="449"/>
        <w:spacing w:after="0" w:line="331"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1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177" w:lineRule="exact"/>
        <w:rPr>
          <w:sz w:val="20"/>
          <w:szCs w:val="20"/>
          <w:color w:val="auto"/>
        </w:rPr>
      </w:pPr>
    </w:p>
    <w:p>
      <w:pPr>
        <w:ind w:right="280" w:firstLine="449"/>
        <w:spacing w:after="0" w:line="331" w:lineRule="auto"/>
        <w:rPr>
          <w:sz w:val="20"/>
          <w:szCs w:val="20"/>
          <w:color w:val="auto"/>
        </w:rPr>
      </w:pPr>
      <w:r>
        <w:rPr>
          <w:rFonts w:ascii="Arial" w:cs="Arial" w:eastAsia="Arial" w:hAnsi="Arial"/>
          <w:sz w:val="16"/>
          <w:szCs w:val="16"/>
          <w:color w:val="auto"/>
        </w:rPr>
        <w:t>As of September 30, 2009, we do not own any real estate or other physical properties materially important to our operation. We believe that the office facilities of the Investment Adviser are suitable and adequate for our business as it is contemplated to be conducted.</w:t>
      </w:r>
    </w:p>
    <w:p>
      <w:pPr>
        <w:spacing w:after="0" w:line="1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7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Neither our Investment Adviser, our Administrator or us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of results of operations.</w:t>
      </w:r>
    </w:p>
    <w:p>
      <w:pPr>
        <w:spacing w:after="0" w:line="15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177" w:lineRule="exact"/>
        <w:rPr>
          <w:sz w:val="20"/>
          <w:szCs w:val="20"/>
          <w:color w:val="auto"/>
        </w:rPr>
      </w:pPr>
    </w:p>
    <w:p>
      <w:pPr>
        <w:ind w:right="80" w:firstLine="449"/>
        <w:spacing w:after="0" w:line="317" w:lineRule="auto"/>
        <w:rPr>
          <w:sz w:val="20"/>
          <w:szCs w:val="20"/>
          <w:color w:val="auto"/>
        </w:rPr>
      </w:pPr>
      <w:r>
        <w:rPr>
          <w:rFonts w:ascii="Arial" w:cs="Arial" w:eastAsia="Arial" w:hAnsi="Arial"/>
          <w:sz w:val="15"/>
          <w:szCs w:val="15"/>
          <w:color w:val="auto"/>
        </w:rPr>
        <w:t>On August 25, 2009, PennantPark Investment Corporation held a special meeting of stockholders in New York, NY for the purpose of considering and voting upon the approval to authorize us, with approval of our board of directors, to sell shares of our common stock at a price below our then current net asset value per share in one or more offerings, subject to certain conditions as set forth in the proxy statement filed on July 20, 2009, and approval to authorize us to sell or otherwise issue warrants or securities to subscribe for or convertible into shares of our common stock subject to certain limitations, also as set forth in the proxy statement filed July 20, 2009. The table below shows the votes casted as a percentage of shares outstanding and in terms of votes cast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Proposals:</w:t>
            </w:r>
          </w:p>
        </w:tc>
        <w:tc>
          <w:tcPr>
            <w:tcW w:w="6260" w:type="dxa"/>
            <w:vAlign w:val="bottom"/>
          </w:tcPr>
          <w:p>
            <w:pPr>
              <w:spacing w:after="0"/>
              <w:rPr>
                <w:sz w:val="14"/>
                <w:szCs w:val="14"/>
                <w:color w:val="auto"/>
              </w:rPr>
            </w:pPr>
          </w:p>
        </w:tc>
        <w:tc>
          <w:tcPr>
            <w:tcW w:w="1820" w:type="dxa"/>
            <w:vAlign w:val="bottom"/>
            <w:tcBorders>
              <w:bottom w:val="single" w:sz="8" w:color="auto"/>
            </w:tcBorders>
            <w:gridSpan w:val="3"/>
          </w:tcPr>
          <w:p>
            <w:pPr>
              <w:ind w:left="480"/>
              <w:spacing w:after="0"/>
              <w:rPr>
                <w:sz w:val="20"/>
                <w:szCs w:val="20"/>
                <w:color w:val="auto"/>
              </w:rPr>
            </w:pPr>
            <w:r>
              <w:rPr>
                <w:rFonts w:ascii="Arial" w:cs="Arial" w:eastAsia="Arial" w:hAnsi="Arial"/>
                <w:sz w:val="13"/>
                <w:szCs w:val="13"/>
                <w:b w:val="1"/>
                <w:bCs w:val="1"/>
                <w:color w:val="auto"/>
              </w:rPr>
              <w:t>With Affiliates</w:t>
            </w:r>
          </w:p>
        </w:tc>
        <w:tc>
          <w:tcPr>
            <w:tcW w:w="500" w:type="dxa"/>
            <w:vAlign w:val="bottom"/>
          </w:tcPr>
          <w:p>
            <w:pPr>
              <w:spacing w:after="0"/>
              <w:rPr>
                <w:sz w:val="14"/>
                <w:szCs w:val="14"/>
                <w:color w:val="auto"/>
              </w:rPr>
            </w:pPr>
          </w:p>
        </w:tc>
        <w:tc>
          <w:tcPr>
            <w:tcW w:w="1820" w:type="dxa"/>
            <w:vAlign w:val="bottom"/>
            <w:tcBorders>
              <w:bottom w:val="single" w:sz="8" w:color="auto"/>
            </w:tcBorders>
            <w:gridSpan w:val="3"/>
          </w:tcPr>
          <w:p>
            <w:pPr>
              <w:ind w:left="380"/>
              <w:spacing w:after="0"/>
              <w:rPr>
                <w:sz w:val="20"/>
                <w:szCs w:val="20"/>
                <w:color w:val="auto"/>
              </w:rPr>
            </w:pPr>
            <w:r>
              <w:rPr>
                <w:rFonts w:ascii="Arial" w:cs="Arial" w:eastAsia="Arial" w:hAnsi="Arial"/>
                <w:sz w:val="13"/>
                <w:szCs w:val="13"/>
                <w:b w:val="1"/>
                <w:bCs w:val="1"/>
                <w:color w:val="auto"/>
              </w:rPr>
              <w:t>Without Affiliates</w:t>
            </w:r>
          </w:p>
        </w:tc>
        <w:tc>
          <w:tcPr>
            <w:tcW w:w="200" w:type="dxa"/>
            <w:vAlign w:val="bottom"/>
          </w:tcPr>
          <w:p>
            <w:pPr>
              <w:spacing w:after="0"/>
              <w:rPr>
                <w:sz w:val="14"/>
                <w:szCs w:val="14"/>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1) Sell shares of common stock below the then current net asset value</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45"/>
        </w:trPr>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rPr>
              <w:t>% of</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 of</w:t>
            </w:r>
          </w:p>
        </w:tc>
      </w:tr>
      <w:tr>
        <w:trPr>
          <w:trHeight w:val="149"/>
        </w:trPr>
        <w:tc>
          <w:tcPr>
            <w:tcW w:w="64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3"/>
              </w:rPr>
              <w:t>Outstanding</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Outstanding</w:t>
            </w:r>
          </w:p>
        </w:tc>
      </w:tr>
      <w:tr>
        <w:trPr>
          <w:trHeight w:val="161"/>
        </w:trPr>
        <w:tc>
          <w:tcPr>
            <w:tcW w:w="64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Total Voted</w:t>
            </w:r>
          </w:p>
        </w:tc>
        <w:tc>
          <w:tcPr>
            <w:tcW w:w="3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Shares</w:t>
            </w:r>
          </w:p>
        </w:tc>
        <w:tc>
          <w:tcPr>
            <w:tcW w:w="5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Total Voted</w:t>
            </w:r>
          </w:p>
        </w:tc>
        <w:tc>
          <w:tcPr>
            <w:tcW w:w="2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Shares</w:t>
            </w:r>
          </w:p>
        </w:tc>
        <w:tc>
          <w:tcPr>
            <w:tcW w:w="200" w:type="dxa"/>
            <w:vAlign w:val="bottom"/>
          </w:tcPr>
          <w:p>
            <w:pPr>
              <w:spacing w:after="0"/>
              <w:rPr>
                <w:sz w:val="14"/>
                <w:szCs w:val="14"/>
                <w:color w:val="auto"/>
              </w:rPr>
            </w:pPr>
          </w:p>
        </w:tc>
      </w:tr>
      <w:tr>
        <w:trPr>
          <w:trHeight w:val="209"/>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14,415,069</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68.42%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13,788,833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67.65%</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Against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1,058,669</w:t>
            </w:r>
          </w:p>
        </w:tc>
        <w:tc>
          <w:tcPr>
            <w:tcW w:w="3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5.02%</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1,058,669</w:t>
            </w:r>
          </w:p>
        </w:tc>
        <w:tc>
          <w:tcPr>
            <w:tcW w:w="2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5.19%</w:t>
            </w: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Abstain</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62,211</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62,211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0.31%</w:t>
            </w:r>
          </w:p>
        </w:tc>
      </w:tr>
      <w:tr>
        <w:trPr>
          <w:trHeight w:val="222"/>
        </w:trPr>
        <w:tc>
          <w:tcPr>
            <w:tcW w:w="6900" w:type="dxa"/>
            <w:vAlign w:val="bottom"/>
            <w:gridSpan w:val="2"/>
          </w:tcPr>
          <w:p>
            <w:pPr>
              <w:spacing w:after="0"/>
              <w:rPr>
                <w:sz w:val="20"/>
                <w:szCs w:val="20"/>
                <w:color w:val="auto"/>
              </w:rPr>
            </w:pPr>
            <w:r>
              <w:rPr>
                <w:rFonts w:ascii="Arial" w:cs="Arial" w:eastAsia="Arial" w:hAnsi="Arial"/>
                <w:sz w:val="18"/>
                <w:szCs w:val="18"/>
                <w:color w:val="auto"/>
              </w:rPr>
              <w:t>Not voted</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5,532,823</w:t>
            </w:r>
          </w:p>
        </w:tc>
        <w:tc>
          <w:tcPr>
            <w:tcW w:w="30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26.26%</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5,472,823</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26.85%</w:t>
            </w:r>
          </w:p>
        </w:tc>
      </w:tr>
    </w:tbl>
    <w:p>
      <w:pPr>
        <w:sectPr>
          <w:pgSz w:w="11900" w:h="16838" w:orient="portrait"/>
          <w:cols w:equalWidth="0" w:num="1">
            <w:col w:w="11240"/>
          </w:cols>
          <w:pgMar w:left="320" w:top="459" w:right="339" w:bottom="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80" w:type="dxa"/>
            <w:vAlign w:val="bottom"/>
          </w:tcPr>
          <w:p>
            <w:pPr>
              <w:spacing w:after="0"/>
              <w:rPr>
                <w:sz w:val="20"/>
                <w:szCs w:val="20"/>
                <w:color w:val="auto"/>
              </w:rPr>
            </w:pPr>
            <w:r>
              <w:rPr>
                <w:rFonts w:ascii="Arial" w:cs="Arial" w:eastAsia="Arial" w:hAnsi="Arial"/>
                <w:sz w:val="18"/>
                <w:szCs w:val="18"/>
                <w:color w:val="auto"/>
                <w:w w:val="95"/>
              </w:rPr>
              <w:t>2) Sell or issue warrants or securities convertible into common stock</w:t>
            </w:r>
          </w:p>
        </w:tc>
        <w:tc>
          <w:tcPr>
            <w:tcW w:w="2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8"/>
        </w:trPr>
        <w:tc>
          <w:tcPr>
            <w:tcW w:w="51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28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14,814,358</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70.31%</w:t>
            </w:r>
          </w:p>
        </w:tc>
        <w:tc>
          <w:tcPr>
            <w:tcW w:w="12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14,188,122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69.61%</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Against</w:t>
            </w:r>
          </w:p>
        </w:tc>
        <w:tc>
          <w:tcPr>
            <w:tcW w:w="2820" w:type="dxa"/>
            <w:vAlign w:val="bottom"/>
          </w:tcPr>
          <w:p>
            <w:pPr>
              <w:jc w:val="right"/>
              <w:ind w:right="232"/>
              <w:spacing w:after="0"/>
              <w:rPr>
                <w:sz w:val="20"/>
                <w:szCs w:val="20"/>
                <w:color w:val="auto"/>
              </w:rPr>
            </w:pPr>
            <w:r>
              <w:rPr>
                <w:rFonts w:ascii="Arial" w:cs="Arial" w:eastAsia="Arial" w:hAnsi="Arial"/>
                <w:sz w:val="18"/>
                <w:szCs w:val="18"/>
                <w:color w:val="auto"/>
              </w:rPr>
              <w:t>661,144</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3.14%</w:t>
            </w:r>
          </w:p>
        </w:tc>
        <w:tc>
          <w:tcPr>
            <w:tcW w:w="1280" w:type="dxa"/>
            <w:vAlign w:val="bottom"/>
          </w:tcPr>
          <w:p>
            <w:pPr>
              <w:jc w:val="right"/>
              <w:ind w:right="212"/>
              <w:spacing w:after="0"/>
              <w:rPr>
                <w:sz w:val="20"/>
                <w:szCs w:val="20"/>
                <w:color w:val="auto"/>
              </w:rPr>
            </w:pPr>
            <w:r>
              <w:rPr>
                <w:rFonts w:ascii="Arial" w:cs="Arial" w:eastAsia="Arial" w:hAnsi="Arial"/>
                <w:sz w:val="18"/>
                <w:szCs w:val="18"/>
                <w:color w:val="auto"/>
              </w:rPr>
              <w:t>661,144</w:t>
            </w:r>
          </w:p>
        </w:tc>
        <w:tc>
          <w:tcPr>
            <w:tcW w:w="92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Abstain</w:t>
            </w:r>
          </w:p>
        </w:tc>
        <w:tc>
          <w:tcPr>
            <w:tcW w:w="28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60,446</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0.29%</w:t>
            </w:r>
          </w:p>
        </w:tc>
        <w:tc>
          <w:tcPr>
            <w:tcW w:w="12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60,446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Not voted</w:t>
            </w:r>
          </w:p>
        </w:tc>
        <w:tc>
          <w:tcPr>
            <w:tcW w:w="2820" w:type="dxa"/>
            <w:vAlign w:val="bottom"/>
          </w:tcPr>
          <w:p>
            <w:pPr>
              <w:jc w:val="right"/>
              <w:ind w:right="232"/>
              <w:spacing w:after="0"/>
              <w:rPr>
                <w:sz w:val="20"/>
                <w:szCs w:val="20"/>
                <w:color w:val="auto"/>
              </w:rPr>
            </w:pPr>
            <w:r>
              <w:rPr>
                <w:rFonts w:ascii="Arial" w:cs="Arial" w:eastAsia="Arial" w:hAnsi="Arial"/>
                <w:sz w:val="18"/>
                <w:szCs w:val="18"/>
                <w:color w:val="auto"/>
              </w:rPr>
              <w:t>5,532,824</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26.26%</w:t>
            </w:r>
          </w:p>
        </w:tc>
        <w:tc>
          <w:tcPr>
            <w:tcW w:w="1280" w:type="dxa"/>
            <w:vAlign w:val="bottom"/>
          </w:tcPr>
          <w:p>
            <w:pPr>
              <w:jc w:val="right"/>
              <w:ind w:right="212"/>
              <w:spacing w:after="0"/>
              <w:rPr>
                <w:sz w:val="20"/>
                <w:szCs w:val="20"/>
                <w:color w:val="auto"/>
              </w:rPr>
            </w:pPr>
            <w:r>
              <w:rPr>
                <w:rFonts w:ascii="Arial" w:cs="Arial" w:eastAsia="Arial" w:hAnsi="Arial"/>
                <w:sz w:val="18"/>
                <w:szCs w:val="18"/>
                <w:color w:val="auto"/>
              </w:rPr>
              <w:t>5,472,824</w:t>
            </w:r>
          </w:p>
        </w:tc>
        <w:tc>
          <w:tcPr>
            <w:tcW w:w="920" w:type="dxa"/>
            <w:vAlign w:val="bottom"/>
          </w:tcPr>
          <w:p>
            <w:pPr>
              <w:jc w:val="right"/>
              <w:spacing w:after="0"/>
              <w:rPr>
                <w:sz w:val="20"/>
                <w:szCs w:val="20"/>
                <w:color w:val="auto"/>
              </w:rPr>
            </w:pPr>
            <w:r>
              <w:rPr>
                <w:rFonts w:ascii="Arial" w:cs="Arial" w:eastAsia="Arial" w:hAnsi="Arial"/>
                <w:sz w:val="18"/>
                <w:szCs w:val="18"/>
                <w:color w:val="auto"/>
              </w:rPr>
              <w:t>26.85%</w:t>
            </w:r>
          </w:p>
        </w:tc>
      </w:tr>
      <w:tr>
        <w:trPr>
          <w:trHeight w:val="356"/>
        </w:trPr>
        <w:tc>
          <w:tcPr>
            <w:tcW w:w="5180" w:type="dxa"/>
            <w:vAlign w:val="bottom"/>
          </w:tcPr>
          <w:p>
            <w:pPr>
              <w:spacing w:after="0"/>
              <w:rPr>
                <w:sz w:val="24"/>
                <w:szCs w:val="24"/>
                <w:color w:val="auto"/>
              </w:rPr>
            </w:pPr>
          </w:p>
        </w:tc>
        <w:tc>
          <w:tcPr>
            <w:tcW w:w="2820" w:type="dxa"/>
            <w:vAlign w:val="bottom"/>
          </w:tcPr>
          <w:p>
            <w:pPr>
              <w:jc w:val="right"/>
              <w:ind w:right="2192"/>
              <w:spacing w:after="0"/>
              <w:rPr>
                <w:sz w:val="20"/>
                <w:szCs w:val="20"/>
                <w:color w:val="auto"/>
              </w:rPr>
            </w:pPr>
            <w:r>
              <w:rPr>
                <w:rFonts w:ascii="Arial" w:cs="Arial" w:eastAsia="Arial" w:hAnsi="Arial"/>
                <w:sz w:val="18"/>
                <w:szCs w:val="18"/>
                <w:color w:val="auto"/>
              </w:rPr>
              <w:t>27</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240"/>
          </w:cols>
          <w:pgMar w:left="320" w:top="131"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w w:val="97"/>
              </w:rPr>
              <w:t>Closing Sales Price</w:t>
            </w:r>
          </w:p>
        </w:tc>
        <w:tc>
          <w:tcPr>
            <w:tcW w:w="300" w:type="dxa"/>
            <w:vAlign w:val="bottom"/>
          </w:tcPr>
          <w:p>
            <w:pPr>
              <w:spacing w:after="0"/>
              <w:rPr>
                <w:sz w:val="13"/>
                <w:szCs w:val="13"/>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0"/>
              </w:rPr>
              <w:t>High Sales</w:t>
            </w:r>
          </w:p>
        </w:tc>
        <w:tc>
          <w:tcPr>
            <w:tcW w:w="102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1"/>
              </w:rPr>
              <w:t>Low Sales</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400" w:type="dxa"/>
            <w:vAlign w:val="bottom"/>
          </w:tcPr>
          <w:p>
            <w:pPr>
              <w:spacing w:after="0"/>
              <w:rPr>
                <w:sz w:val="6"/>
                <w:szCs w:val="6"/>
                <w:color w:val="auto"/>
              </w:rPr>
            </w:pPr>
          </w:p>
        </w:tc>
        <w:tc>
          <w:tcPr>
            <w:tcW w:w="5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tcBorders>
              <w:bottom w:val="single" w:sz="8" w:color="auto"/>
            </w:tcBorders>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gridSpan w:val="2"/>
            <w:vMerge w:val="restart"/>
          </w:tcPr>
          <w:p>
            <w:pPr>
              <w:jc w:val="right"/>
              <w:ind w:right="520"/>
              <w:spacing w:after="0" w:line="134" w:lineRule="exact"/>
              <w:rPr>
                <w:sz w:val="20"/>
                <w:szCs w:val="20"/>
                <w:color w:val="auto"/>
              </w:rPr>
            </w:pPr>
            <w:r>
              <w:rPr>
                <w:rFonts w:ascii="Arial" w:cs="Arial" w:eastAsia="Arial" w:hAnsi="Arial"/>
                <w:sz w:val="13"/>
                <w:szCs w:val="13"/>
                <w:b w:val="1"/>
                <w:bCs w:val="1"/>
                <w:color w:val="auto"/>
              </w:rPr>
              <w:t>Price to</w:t>
            </w:r>
          </w:p>
        </w:tc>
        <w:tc>
          <w:tcPr>
            <w:tcW w:w="1020" w:type="dxa"/>
            <w:vAlign w:val="bottom"/>
            <w:gridSpan w:val="2"/>
            <w:vMerge w:val="restart"/>
          </w:tcPr>
          <w:p>
            <w:pPr>
              <w:jc w:val="center"/>
              <w:ind w:right="440"/>
              <w:spacing w:after="0" w:line="134" w:lineRule="exact"/>
              <w:rPr>
                <w:sz w:val="20"/>
                <w:szCs w:val="20"/>
                <w:color w:val="auto"/>
              </w:rPr>
            </w:pPr>
            <w:r>
              <w:rPr>
                <w:rFonts w:ascii="Arial" w:cs="Arial" w:eastAsia="Arial" w:hAnsi="Arial"/>
                <w:sz w:val="13"/>
                <w:szCs w:val="13"/>
                <w:b w:val="1"/>
                <w:bCs w:val="1"/>
                <w:color w:val="auto"/>
                <w:w w:val="96"/>
              </w:rPr>
              <w:t>Price to</w:t>
            </w:r>
          </w:p>
        </w:tc>
        <w:tc>
          <w:tcPr>
            <w:tcW w:w="580" w:type="dxa"/>
            <w:vAlign w:val="bottom"/>
            <w:vMerge w:val="restart"/>
          </w:tcPr>
          <w:p>
            <w:pPr>
              <w:jc w:val="right"/>
              <w:spacing w:after="0" w:line="134" w:lineRule="exact"/>
              <w:rPr>
                <w:sz w:val="20"/>
                <w:szCs w:val="20"/>
                <w:color w:val="auto"/>
              </w:rPr>
            </w:pPr>
            <w:r>
              <w:rPr>
                <w:rFonts w:ascii="Arial" w:cs="Arial" w:eastAsia="Arial" w:hAnsi="Arial"/>
                <w:sz w:val="13"/>
                <w:szCs w:val="13"/>
                <w:b w:val="1"/>
                <w:bCs w:val="1"/>
                <w:color w:val="auto"/>
                <w:w w:val="90"/>
              </w:rPr>
              <w:t>Dividends</w:t>
            </w:r>
          </w:p>
        </w:tc>
        <w:tc>
          <w:tcPr>
            <w:tcW w:w="0" w:type="dxa"/>
            <w:vAlign w:val="bottom"/>
          </w:tcPr>
          <w:p>
            <w:pPr>
              <w:spacing w:after="0"/>
              <w:rPr>
                <w:sz w:val="1"/>
                <w:szCs w:val="1"/>
                <w:color w:val="auto"/>
              </w:rPr>
            </w:pPr>
          </w:p>
        </w:tc>
      </w:tr>
      <w:tr>
        <w:trPr>
          <w:trHeight w:val="34"/>
        </w:trPr>
        <w:tc>
          <w:tcPr>
            <w:tcW w:w="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500" w:type="dxa"/>
            <w:vAlign w:val="bottom"/>
            <w:vMerge w:val="restart"/>
          </w:tcPr>
          <w:p>
            <w:pPr>
              <w:jc w:val="right"/>
              <w:spacing w:after="0" w:line="209" w:lineRule="exact"/>
              <w:rPr>
                <w:sz w:val="20"/>
                <w:szCs w:val="20"/>
                <w:color w:val="auto"/>
              </w:rPr>
            </w:pPr>
            <w:r>
              <w:rPr>
                <w:rFonts w:ascii="Arial" w:cs="Arial" w:eastAsia="Arial" w:hAnsi="Arial"/>
                <w:sz w:val="13"/>
                <w:szCs w:val="13"/>
                <w:b w:val="1"/>
                <w:bCs w:val="1"/>
                <w:color w:val="auto"/>
                <w:w w:val="92"/>
              </w:rPr>
              <w:t>NAV</w:t>
            </w:r>
            <w:r>
              <w:rPr>
                <w:rFonts w:ascii="Arial" w:cs="Arial" w:eastAsia="Arial" w:hAnsi="Arial"/>
                <w:sz w:val="22"/>
                <w:szCs w:val="22"/>
                <w:b w:val="1"/>
                <w:bCs w:val="1"/>
                <w:color w:val="auto"/>
                <w:w w:val="92"/>
                <w:vertAlign w:val="superscript"/>
              </w:rPr>
              <w:t>(1)</w:t>
            </w:r>
          </w:p>
        </w:tc>
        <w:tc>
          <w:tcPr>
            <w:tcW w:w="14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4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3"/>
              </w:rPr>
              <w:t>Period</w:t>
            </w:r>
          </w:p>
        </w:tc>
        <w:tc>
          <w:tcPr>
            <w:tcW w:w="580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High</w:t>
            </w:r>
          </w:p>
        </w:tc>
        <w:tc>
          <w:tcPr>
            <w:tcW w:w="300" w:type="dxa"/>
            <w:vAlign w:val="bottom"/>
          </w:tcPr>
          <w:p>
            <w:pPr>
              <w:spacing w:after="0"/>
              <w:rPr>
                <w:sz w:val="15"/>
                <w:szCs w:val="15"/>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Low</w:t>
            </w:r>
          </w:p>
        </w:tc>
        <w:tc>
          <w:tcPr>
            <w:tcW w:w="300" w:type="dxa"/>
            <w:vAlign w:val="bottom"/>
          </w:tcPr>
          <w:p>
            <w:pPr>
              <w:spacing w:after="0"/>
              <w:rPr>
                <w:sz w:val="15"/>
                <w:szCs w:val="15"/>
                <w:color w:val="auto"/>
              </w:rPr>
            </w:pPr>
          </w:p>
        </w:tc>
        <w:tc>
          <w:tcPr>
            <w:tcW w:w="620" w:type="dxa"/>
            <w:vAlign w:val="bottom"/>
            <w:tcBorders>
              <w:bottom w:val="single" w:sz="8" w:color="auto"/>
            </w:tcBorders>
          </w:tcPr>
          <w:p>
            <w:pPr>
              <w:jc w:val="right"/>
              <w:ind w:right="34"/>
              <w:spacing w:after="0" w:line="176" w:lineRule="exact"/>
              <w:rPr>
                <w:sz w:val="20"/>
                <w:szCs w:val="20"/>
                <w:color w:val="auto"/>
              </w:rPr>
            </w:pPr>
            <w:r>
              <w:rPr>
                <w:rFonts w:ascii="Arial" w:cs="Arial" w:eastAsia="Arial" w:hAnsi="Arial"/>
                <w:sz w:val="12"/>
                <w:szCs w:val="12"/>
                <w:b w:val="1"/>
                <w:bCs w:val="1"/>
                <w:color w:val="auto"/>
              </w:rPr>
              <w:t xml:space="preserve">NAV </w:t>
            </w:r>
            <w:r>
              <w:rPr>
                <w:rFonts w:ascii="Arial" w:cs="Arial" w:eastAsia="Arial" w:hAnsi="Arial"/>
                <w:sz w:val="20"/>
                <w:szCs w:val="20"/>
                <w:b w:val="1"/>
                <w:bCs w:val="1"/>
                <w:color w:val="auto"/>
                <w:vertAlign w:val="superscript"/>
              </w:rPr>
              <w:t>(2)</w:t>
            </w:r>
          </w:p>
        </w:tc>
        <w:tc>
          <w:tcPr>
            <w:tcW w:w="440" w:type="dxa"/>
            <w:vAlign w:val="bottom"/>
          </w:tcPr>
          <w:p>
            <w:pPr>
              <w:spacing w:after="0"/>
              <w:rPr>
                <w:sz w:val="15"/>
                <w:szCs w:val="15"/>
                <w:color w:val="auto"/>
              </w:rPr>
            </w:pPr>
          </w:p>
        </w:tc>
        <w:tc>
          <w:tcPr>
            <w:tcW w:w="5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3"/>
              </w:rPr>
              <w:t xml:space="preserve">NAV </w:t>
            </w:r>
            <w:r>
              <w:rPr>
                <w:rFonts w:ascii="Arial" w:cs="Arial" w:eastAsia="Arial" w:hAnsi="Arial"/>
                <w:sz w:val="20"/>
                <w:szCs w:val="20"/>
                <w:b w:val="1"/>
                <w:bCs w:val="1"/>
                <w:color w:val="auto"/>
                <w:w w:val="93"/>
                <w:vertAlign w:val="superscript"/>
              </w:rPr>
              <w:t>(2)</w:t>
            </w:r>
          </w:p>
        </w:tc>
        <w:tc>
          <w:tcPr>
            <w:tcW w:w="44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4"/>
              </w:rPr>
              <w:t>Declared</w:t>
            </w:r>
          </w:p>
        </w:tc>
        <w:tc>
          <w:tcPr>
            <w:tcW w:w="0" w:type="dxa"/>
            <w:vAlign w:val="bottom"/>
          </w:tcPr>
          <w:p>
            <w:pPr>
              <w:spacing w:after="0"/>
              <w:rPr>
                <w:sz w:val="1"/>
                <w:szCs w:val="1"/>
                <w:color w:val="auto"/>
              </w:rPr>
            </w:pPr>
          </w:p>
        </w:tc>
      </w:tr>
      <w:tr>
        <w:trPr>
          <w:trHeight w:val="210"/>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$ 11.85</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$ 9.06</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$ 6.28</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76%</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53%</w:t>
            </w:r>
          </w:p>
        </w:tc>
        <w:tc>
          <w:tcPr>
            <w:tcW w:w="580" w:type="dxa"/>
            <w:vAlign w:val="bottom"/>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11.72</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7.65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12.00</w:t>
            </w:r>
          </w:p>
        </w:tc>
        <w:tc>
          <w:tcPr>
            <w:tcW w:w="14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4.05</w:t>
            </w:r>
          </w:p>
        </w:tc>
        <w:tc>
          <w:tcPr>
            <w:tcW w:w="500" w:type="dxa"/>
            <w:vAlign w:val="bottom"/>
          </w:tcPr>
          <w:p>
            <w:pPr>
              <w:jc w:val="right"/>
              <w:spacing w:after="0"/>
              <w:rPr>
                <w:sz w:val="20"/>
                <w:szCs w:val="20"/>
                <w:color w:val="auto"/>
              </w:rPr>
            </w:pPr>
            <w:r>
              <w:rPr>
                <w:rFonts w:ascii="Arial" w:cs="Arial" w:eastAsia="Arial" w:hAnsi="Arial"/>
                <w:sz w:val="18"/>
                <w:szCs w:val="18"/>
                <w:color w:val="auto"/>
              </w:rPr>
              <w:t>2.64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7.81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8.50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10.77</w:t>
            </w:r>
          </w:p>
        </w:tc>
        <w:tc>
          <w:tcPr>
            <w:tcW w:w="14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8.60</w:t>
            </w:r>
          </w:p>
        </w:tc>
        <w:tc>
          <w:tcPr>
            <w:tcW w:w="500" w:type="dxa"/>
            <w:vAlign w:val="bottom"/>
          </w:tcPr>
          <w:p>
            <w:pPr>
              <w:jc w:val="right"/>
              <w:spacing w:after="0"/>
              <w:rPr>
                <w:sz w:val="20"/>
                <w:szCs w:val="20"/>
                <w:color w:val="auto"/>
              </w:rPr>
            </w:pPr>
            <w:r>
              <w:rPr>
                <w:rFonts w:ascii="Arial" w:cs="Arial" w:eastAsia="Arial" w:hAnsi="Arial"/>
                <w:sz w:val="18"/>
                <w:szCs w:val="18"/>
                <w:color w:val="auto"/>
              </w:rPr>
              <w:t>7.05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11.31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12.07</w:t>
            </w:r>
          </w:p>
        </w:tc>
        <w:tc>
          <w:tcPr>
            <w:tcW w:w="14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14.49</w:t>
            </w:r>
          </w:p>
        </w:tc>
        <w:tc>
          <w:tcPr>
            <w:tcW w:w="500" w:type="dxa"/>
            <w:vAlign w:val="bottom"/>
          </w:tcPr>
          <w:p>
            <w:pPr>
              <w:jc w:val="right"/>
              <w:spacing w:after="0"/>
              <w:rPr>
                <w:sz w:val="20"/>
                <w:szCs w:val="20"/>
                <w:color w:val="auto"/>
              </w:rPr>
            </w:pPr>
            <w:r>
              <w:rPr>
                <w:rFonts w:ascii="Arial" w:cs="Arial" w:eastAsia="Arial" w:hAnsi="Arial"/>
                <w:sz w:val="18"/>
                <w:szCs w:val="18"/>
                <w:color w:val="auto"/>
              </w:rPr>
              <w:t>9.08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12.83</w:t>
            </w:r>
          </w:p>
        </w:tc>
        <w:tc>
          <w:tcPr>
            <w:tcW w:w="14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14.76</w:t>
            </w:r>
          </w:p>
        </w:tc>
        <w:tc>
          <w:tcPr>
            <w:tcW w:w="500" w:type="dxa"/>
            <w:vAlign w:val="bottom"/>
          </w:tcPr>
          <w:p>
            <w:pPr>
              <w:jc w:val="right"/>
              <w:spacing w:after="0"/>
              <w:rPr>
                <w:sz w:val="20"/>
                <w:szCs w:val="20"/>
                <w:color w:val="auto"/>
              </w:rPr>
            </w:pPr>
            <w:r>
              <w:rPr>
                <w:rFonts w:ascii="Arial" w:cs="Arial" w:eastAsia="Arial" w:hAnsi="Arial"/>
                <w:sz w:val="18"/>
                <w:szCs w:val="18"/>
                <w:color w:val="auto"/>
              </w:rPr>
              <w:t>12.61</w:t>
            </w: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115</w:t>
            </w: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15.03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20" w:lineRule="exact"/>
        <w:rPr>
          <w:sz w:val="20"/>
          <w:szCs w:val="20"/>
          <w:color w:val="auto"/>
        </w:rPr>
      </w:pPr>
    </w:p>
    <w:p>
      <w:pPr>
        <w:ind w:left="460" w:right="300" w:hanging="452"/>
        <w:spacing w:after="0" w:line="25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9" w:lineRule="exact"/>
        <w:rPr>
          <w:sz w:val="20"/>
          <w:szCs w:val="20"/>
          <w:color w:val="auto"/>
        </w:rPr>
      </w:pPr>
    </w:p>
    <w:p>
      <w:pPr>
        <w:ind w:left="460" w:hanging="408"/>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65" w:lineRule="exact"/>
        <w:rPr>
          <w:sz w:val="20"/>
          <w:szCs w:val="20"/>
          <w:color w:val="auto"/>
        </w:rPr>
      </w:pPr>
    </w:p>
    <w:p>
      <w:pPr>
        <w:ind w:right="320" w:firstLine="449"/>
        <w:spacing w:after="0" w:line="268" w:lineRule="auto"/>
        <w:rPr>
          <w:sz w:val="20"/>
          <w:szCs w:val="20"/>
          <w:color w:val="auto"/>
        </w:rPr>
      </w:pPr>
      <w:r>
        <w:rPr>
          <w:rFonts w:ascii="Arial" w:cs="Arial" w:eastAsia="Arial" w:hAnsi="Arial"/>
          <w:sz w:val="18"/>
          <w:szCs w:val="18"/>
          <w:color w:val="auto"/>
        </w:rPr>
        <w:t>While our common stock has from time to time traded in excess of our net asset value, there can be no assurance, however, that it will trade at such a premium (to net asset value) in the future.</w:t>
      </w:r>
    </w:p>
    <w:p>
      <w:pPr>
        <w:spacing w:after="0" w:line="13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our inception (See Note 7 to our financial statements):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Dividends</w:t>
            </w:r>
          </w:p>
        </w:tc>
      </w:tr>
      <w:tr>
        <w:trPr>
          <w:trHeight w:val="161"/>
        </w:trPr>
        <w:tc>
          <w:tcPr>
            <w:tcW w:w="8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7"/>
              </w:rPr>
              <w:t>Record Dates</w:t>
            </w:r>
          </w:p>
        </w:tc>
        <w:tc>
          <w:tcPr>
            <w:tcW w:w="4560" w:type="dxa"/>
            <w:vAlign w:val="bottom"/>
          </w:tcPr>
          <w:p>
            <w:pPr>
              <w:spacing w:after="0"/>
              <w:rPr>
                <w:sz w:val="14"/>
                <w:szCs w:val="1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Payment Dates</w:t>
            </w:r>
          </w:p>
        </w:tc>
        <w:tc>
          <w:tcPr>
            <w:tcW w:w="4240" w:type="dxa"/>
            <w:vAlign w:val="bottom"/>
          </w:tcPr>
          <w:p>
            <w:pPr>
              <w:spacing w:after="0"/>
              <w:rPr>
                <w:sz w:val="14"/>
                <w:szCs w:val="14"/>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4"/>
              </w:rPr>
              <w:t>Declared</w:t>
            </w:r>
          </w:p>
        </w:tc>
        <w:tc>
          <w:tcPr>
            <w:tcW w:w="100" w:type="dxa"/>
            <w:vAlign w:val="bottom"/>
          </w:tcPr>
          <w:p>
            <w:pPr>
              <w:spacing w:after="0"/>
              <w:rPr>
                <w:sz w:val="14"/>
                <w:szCs w:val="14"/>
                <w:color w:val="auto"/>
              </w:rPr>
            </w:pPr>
          </w:p>
        </w:tc>
      </w:tr>
      <w:tr>
        <w:trPr>
          <w:trHeight w:val="209"/>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92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ind w:left="440"/>
              <w:spacing w:after="0"/>
              <w:rPr>
                <w:sz w:val="20"/>
                <w:szCs w:val="20"/>
                <w:color w:val="auto"/>
              </w:rPr>
            </w:pPr>
            <w:r>
              <w:rPr>
                <w:rFonts w:ascii="Arial" w:cs="Arial" w:eastAsia="Arial" w:hAnsi="Arial"/>
                <w:sz w:val="18"/>
                <w:szCs w:val="18"/>
                <w:color w:val="auto"/>
              </w:rPr>
              <w:t>September 8, 2009</w:t>
            </w:r>
          </w:p>
        </w:tc>
        <w:tc>
          <w:tcPr>
            <w:tcW w:w="5160" w:type="dxa"/>
            <w:vAlign w:val="bottom"/>
            <w:gridSpan w:val="2"/>
          </w:tcPr>
          <w:p>
            <w:pPr>
              <w:spacing w:after="0"/>
              <w:rPr>
                <w:sz w:val="20"/>
                <w:szCs w:val="20"/>
                <w:color w:val="auto"/>
              </w:rPr>
            </w:pPr>
            <w:r>
              <w:rPr>
                <w:rFonts w:ascii="Arial" w:cs="Arial" w:eastAsia="Arial" w:hAnsi="Arial"/>
                <w:sz w:val="18"/>
                <w:szCs w:val="18"/>
                <w:color w:val="auto"/>
              </w:rPr>
              <w:t>October 1, 2009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w w:val="79"/>
              </w:rPr>
              <w:t>0.24</w:t>
            </w:r>
          </w:p>
        </w:tc>
        <w:tc>
          <w:tcPr>
            <w:tcW w:w="10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24, 2009</w:t>
            </w: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0.24</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ind w:left="440"/>
              <w:spacing w:after="0"/>
              <w:rPr>
                <w:sz w:val="20"/>
                <w:szCs w:val="20"/>
                <w:color w:val="auto"/>
              </w:rPr>
            </w:pPr>
            <w:r>
              <w:rPr>
                <w:rFonts w:ascii="Arial" w:cs="Arial" w:eastAsia="Arial" w:hAnsi="Arial"/>
                <w:sz w:val="18"/>
                <w:szCs w:val="18"/>
                <w:color w:val="auto"/>
              </w:rPr>
              <w:t>March 25, 2009</w:t>
            </w:r>
          </w:p>
        </w:tc>
        <w:tc>
          <w:tcPr>
            <w:tcW w:w="5160" w:type="dxa"/>
            <w:vAlign w:val="bottom"/>
            <w:gridSpan w:val="2"/>
          </w:tcPr>
          <w:p>
            <w:pPr>
              <w:spacing w:after="0"/>
              <w:rPr>
                <w:sz w:val="20"/>
                <w:szCs w:val="20"/>
                <w:color w:val="auto"/>
              </w:rPr>
            </w:pPr>
            <w:r>
              <w:rPr>
                <w:rFonts w:ascii="Arial" w:cs="Arial" w:eastAsia="Arial" w:hAnsi="Arial"/>
                <w:sz w:val="18"/>
                <w:szCs w:val="18"/>
                <w:color w:val="auto"/>
              </w:rPr>
              <w:t>April 1, 2009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w w:val="79"/>
              </w:rPr>
              <w:t>0.24</w:t>
            </w:r>
          </w:p>
        </w:tc>
        <w:tc>
          <w:tcPr>
            <w:tcW w:w="10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23, 2008</w:t>
            </w: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2009</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0.24</w:t>
            </w:r>
          </w:p>
        </w:tc>
        <w:tc>
          <w:tcPr>
            <w:tcW w:w="100" w:type="dxa"/>
            <w:vAlign w:val="bottom"/>
            <w:shd w:val="clear" w:color="auto" w:fill="CCEEFF"/>
          </w:tcPr>
          <w:p>
            <w:pPr>
              <w:spacing w:after="0"/>
              <w:rPr>
                <w:sz w:val="18"/>
                <w:szCs w:val="18"/>
                <w:color w:val="auto"/>
              </w:rPr>
            </w:pPr>
          </w:p>
        </w:tc>
      </w:tr>
      <w:tr>
        <w:trPr>
          <w:trHeight w:val="222"/>
        </w:trPr>
        <w:tc>
          <w:tcPr>
            <w:tcW w:w="54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9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w w:val="79"/>
              </w:rPr>
              <w:t>0.96</w:t>
            </w:r>
          </w:p>
        </w:tc>
        <w:tc>
          <w:tcPr>
            <w:tcW w:w="100" w:type="dxa"/>
            <w:vAlign w:val="bottom"/>
          </w:tcPr>
          <w:p>
            <w:pPr>
              <w:spacing w:after="0"/>
              <w:rPr>
                <w:sz w:val="19"/>
                <w:szCs w:val="19"/>
                <w:color w:val="auto"/>
              </w:rPr>
            </w:pPr>
          </w:p>
        </w:tc>
      </w:tr>
      <w:tr>
        <w:trPr>
          <w:trHeight w:val="217"/>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92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ind w:left="440"/>
              <w:spacing w:after="0"/>
              <w:rPr>
                <w:sz w:val="20"/>
                <w:szCs w:val="20"/>
                <w:color w:val="auto"/>
              </w:rPr>
            </w:pPr>
            <w:r>
              <w:rPr>
                <w:rFonts w:ascii="Arial" w:cs="Arial" w:eastAsia="Arial" w:hAnsi="Arial"/>
                <w:sz w:val="18"/>
                <w:szCs w:val="18"/>
                <w:color w:val="auto"/>
              </w:rPr>
              <w:t>September 24, 2008</w:t>
            </w:r>
          </w:p>
        </w:tc>
        <w:tc>
          <w:tcPr>
            <w:tcW w:w="5160" w:type="dxa"/>
            <w:vAlign w:val="bottom"/>
            <w:gridSpan w:val="2"/>
          </w:tcPr>
          <w:p>
            <w:pPr>
              <w:spacing w:after="0"/>
              <w:rPr>
                <w:sz w:val="20"/>
                <w:szCs w:val="20"/>
                <w:color w:val="auto"/>
              </w:rPr>
            </w:pPr>
            <w:r>
              <w:rPr>
                <w:rFonts w:ascii="Arial" w:cs="Arial" w:eastAsia="Arial" w:hAnsi="Arial"/>
                <w:sz w:val="18"/>
                <w:szCs w:val="18"/>
                <w:color w:val="auto"/>
              </w:rPr>
              <w:t>October 1, 2008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w w:val="79"/>
              </w:rPr>
              <w:t>0.24</w:t>
            </w:r>
          </w:p>
        </w:tc>
        <w:tc>
          <w:tcPr>
            <w:tcW w:w="10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23, 2008</w:t>
            </w: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2008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0.22</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ind w:left="440"/>
              <w:spacing w:after="0"/>
              <w:rPr>
                <w:sz w:val="20"/>
                <w:szCs w:val="20"/>
                <w:color w:val="auto"/>
              </w:rPr>
            </w:pPr>
            <w:r>
              <w:rPr>
                <w:rFonts w:ascii="Arial" w:cs="Arial" w:eastAsia="Arial" w:hAnsi="Arial"/>
                <w:sz w:val="18"/>
                <w:szCs w:val="18"/>
                <w:color w:val="auto"/>
              </w:rPr>
              <w:t>March 24, 2008</w:t>
            </w:r>
          </w:p>
        </w:tc>
        <w:tc>
          <w:tcPr>
            <w:tcW w:w="5160" w:type="dxa"/>
            <w:vAlign w:val="bottom"/>
            <w:gridSpan w:val="2"/>
          </w:tcPr>
          <w:p>
            <w:pPr>
              <w:spacing w:after="0"/>
              <w:rPr>
                <w:sz w:val="20"/>
                <w:szCs w:val="20"/>
                <w:color w:val="auto"/>
              </w:rPr>
            </w:pPr>
            <w:r>
              <w:rPr>
                <w:rFonts w:ascii="Arial" w:cs="Arial" w:eastAsia="Arial" w:hAnsi="Arial"/>
                <w:sz w:val="18"/>
                <w:szCs w:val="18"/>
                <w:color w:val="auto"/>
              </w:rPr>
              <w:t>March 31, 2008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w w:val="79"/>
              </w:rPr>
              <w:t>0.22</w:t>
            </w:r>
          </w:p>
        </w:tc>
        <w:tc>
          <w:tcPr>
            <w:tcW w:w="10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24, 2007</w:t>
            </w: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2007</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0.22</w:t>
            </w:r>
          </w:p>
        </w:tc>
        <w:tc>
          <w:tcPr>
            <w:tcW w:w="100" w:type="dxa"/>
            <w:vAlign w:val="bottom"/>
            <w:shd w:val="clear" w:color="auto" w:fill="CCEEFF"/>
          </w:tcPr>
          <w:p>
            <w:pPr>
              <w:spacing w:after="0"/>
              <w:rPr>
                <w:sz w:val="18"/>
                <w:szCs w:val="18"/>
                <w:color w:val="auto"/>
              </w:rPr>
            </w:pPr>
          </w:p>
        </w:tc>
      </w:tr>
      <w:tr>
        <w:trPr>
          <w:trHeight w:val="222"/>
        </w:trPr>
        <w:tc>
          <w:tcPr>
            <w:tcW w:w="54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9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w w:val="79"/>
              </w:rPr>
              <w:t>0.90</w:t>
            </w:r>
          </w:p>
        </w:tc>
        <w:tc>
          <w:tcPr>
            <w:tcW w:w="100" w:type="dxa"/>
            <w:vAlign w:val="bottom"/>
          </w:tcPr>
          <w:p>
            <w:pPr>
              <w:spacing w:after="0"/>
              <w:rPr>
                <w:sz w:val="19"/>
                <w:szCs w:val="19"/>
                <w:color w:val="auto"/>
              </w:rPr>
            </w:pPr>
          </w:p>
        </w:tc>
      </w:tr>
      <w:tr>
        <w:trPr>
          <w:trHeight w:val="217"/>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92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ind w:left="440"/>
              <w:spacing w:after="0"/>
              <w:rPr>
                <w:sz w:val="20"/>
                <w:szCs w:val="20"/>
                <w:color w:val="auto"/>
              </w:rPr>
            </w:pPr>
            <w:r>
              <w:rPr>
                <w:rFonts w:ascii="Arial" w:cs="Arial" w:eastAsia="Arial" w:hAnsi="Arial"/>
                <w:sz w:val="18"/>
                <w:szCs w:val="18"/>
                <w:color w:val="auto"/>
              </w:rPr>
              <w:t>September 25, 2007</w:t>
            </w:r>
          </w:p>
        </w:tc>
        <w:tc>
          <w:tcPr>
            <w:tcW w:w="5160" w:type="dxa"/>
            <w:vAlign w:val="bottom"/>
            <w:gridSpan w:val="2"/>
          </w:tcPr>
          <w:p>
            <w:pPr>
              <w:spacing w:after="0"/>
              <w:rPr>
                <w:sz w:val="20"/>
                <w:szCs w:val="20"/>
                <w:color w:val="auto"/>
              </w:rPr>
            </w:pPr>
            <w:r>
              <w:rPr>
                <w:rFonts w:ascii="Arial" w:cs="Arial" w:eastAsia="Arial" w:hAnsi="Arial"/>
                <w:sz w:val="18"/>
                <w:szCs w:val="18"/>
                <w:color w:val="auto"/>
              </w:rPr>
              <w:t>September 28, 2007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w w:val="79"/>
              </w:rPr>
              <w:t>0.22</w:t>
            </w:r>
          </w:p>
        </w:tc>
        <w:tc>
          <w:tcPr>
            <w:tcW w:w="10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22, 2007</w:t>
            </w: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29, 2007</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0.14</w:t>
            </w:r>
          </w:p>
        </w:tc>
        <w:tc>
          <w:tcPr>
            <w:tcW w:w="100" w:type="dxa"/>
            <w:vAlign w:val="bottom"/>
            <w:shd w:val="clear" w:color="auto" w:fill="CCEEFF"/>
          </w:tcPr>
          <w:p>
            <w:pPr>
              <w:spacing w:after="0"/>
              <w:rPr>
                <w:sz w:val="18"/>
                <w:szCs w:val="18"/>
                <w:color w:val="auto"/>
              </w:rPr>
            </w:pPr>
          </w:p>
        </w:tc>
      </w:tr>
      <w:tr>
        <w:trPr>
          <w:trHeight w:val="221"/>
        </w:trPr>
        <w:tc>
          <w:tcPr>
            <w:tcW w:w="54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9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w w:val="90"/>
              </w:rPr>
              <w:t>0.36*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12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$0.00107 per share is a tax return of capital</w:t>
      </w:r>
    </w:p>
    <w:p>
      <w:pPr>
        <w:sectPr>
          <w:pgSz w:w="11900" w:h="16838" w:orient="portrait"/>
          <w:cols w:equalWidth="0" w:num="1">
            <w:col w:w="11240"/>
          </w:cols>
          <w:pgMar w:left="320" w:top="459" w:right="3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459" w:right="3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0" w:firstLine="449"/>
        <w:spacing w:after="0" w:line="268" w:lineRule="auto"/>
        <w:rPr>
          <w:sz w:val="20"/>
          <w:szCs w:val="20"/>
          <w:color w:val="auto"/>
        </w:rPr>
      </w:pPr>
      <w:r>
        <w:rPr>
          <w:rFonts w:ascii="Arial" w:cs="Arial" w:eastAsia="Arial" w:hAnsi="Arial"/>
          <w:sz w:val="18"/>
          <w:szCs w:val="18"/>
          <w:color w:val="auto"/>
        </w:rPr>
        <w:t>In January 2010, a Form 1099-DIV will be sent to stockholders which, will state the amount and composition of distributions and provide information with respect to appropriate tax treatment of our distributions.</w:t>
      </w:r>
    </w:p>
    <w:p>
      <w:pPr>
        <w:spacing w:after="0" w:line="132"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40" w:lineRule="exact"/>
        <w:rPr>
          <w:sz w:val="20"/>
          <w:szCs w:val="20"/>
          <w:color w:val="auto"/>
        </w:rPr>
      </w:pPr>
    </w:p>
    <w:p>
      <w:pPr>
        <w:ind w:right="60" w:firstLine="449"/>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Unregistered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engage in any sales of unregistered securities during the fiscal year ended September 30, 2009.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7"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This graph compares the return on our common stock with that of the Standard &amp; Poor’s 500 Stock Index and the Russell 2000 Financial Services Index, for the period from April 24, 2007 (initial public offering) through September 30, 2009. The graph assumes that, on April 24, 2007, a person invested $100 in each of our common stock, the S&amp;P 500 Index, and the Russell 2000 Financial Services Index. The graph measures total stockholder return, which takes into account both changes in stock price and dividends. It assumes that dividends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76835</wp:posOffset>
            </wp:positionV>
            <wp:extent cx="5374640" cy="31457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74640"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The graph and other information furnished under this Part II Item 5 of this Form 10-K shall not be deemed to be “soliciting material” or to be “filed” with the SEC or subject to Regulation 14A or 14C, or to the liabilities of Section 18 of the 1934 Act. The stock price performance included in the above graph is not necessarily indicative of future stock price performance.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320" w:top="459" w:right="3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The Statement of operations, Per share data and Balance sheet data as of and for the fiscal years ended September 30, 2009, 2008 and as of and for the period from January 11, 2007 (inception) through September 30, 2007 are derived from our financial statements which have been audited by KPMG LLP, our independent registered public accounting firm. This selected financial data should be read in conjunction with our financial statements and related notes thereto and “Management’s Discussion and Analysis of Financial Condition and Results of Operations” and included elsewhere in this Report.</w:t>
      </w:r>
    </w:p>
    <w:p>
      <w:pPr>
        <w:spacing w:after="0" w:line="147"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For the period</w:t>
            </w:r>
          </w:p>
        </w:tc>
      </w:tr>
      <w:tr>
        <w:trPr>
          <w:trHeight w:val="148"/>
        </w:trPr>
        <w:tc>
          <w:tcPr>
            <w:tcW w:w="3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from January 11,</w:t>
            </w:r>
          </w:p>
        </w:tc>
      </w:tr>
      <w:tr>
        <w:trPr>
          <w:trHeight w:val="148"/>
        </w:trPr>
        <w:tc>
          <w:tcPr>
            <w:tcW w:w="3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2007 (inception)</w:t>
            </w:r>
          </w:p>
        </w:tc>
      </w:tr>
      <w:tr>
        <w:trPr>
          <w:trHeight w:val="148"/>
        </w:trPr>
        <w:tc>
          <w:tcPr>
            <w:tcW w:w="3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70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rPr>
              <w:t>Year ended</w:t>
            </w:r>
          </w:p>
        </w:tc>
        <w:tc>
          <w:tcPr>
            <w:tcW w:w="1660" w:type="dxa"/>
            <w:vAlign w:val="bottom"/>
            <w:gridSpan w:val="2"/>
          </w:tcPr>
          <w:p>
            <w:pPr>
              <w:jc w:val="right"/>
              <w:ind w:right="760"/>
              <w:spacing w:after="0"/>
              <w:rPr>
                <w:sz w:val="20"/>
                <w:szCs w:val="20"/>
                <w:color w:val="auto"/>
              </w:rPr>
            </w:pPr>
            <w:r>
              <w:rPr>
                <w:rFonts w:ascii="Arial" w:cs="Arial" w:eastAsia="Arial" w:hAnsi="Arial"/>
                <w:sz w:val="13"/>
                <w:szCs w:val="13"/>
                <w:b w:val="1"/>
                <w:bCs w:val="1"/>
                <w:color w:val="auto"/>
              </w:rPr>
              <w:t>Year ended</w:t>
            </w:r>
          </w:p>
        </w:tc>
        <w:tc>
          <w:tcPr>
            <w:tcW w:w="14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through</w:t>
            </w:r>
          </w:p>
        </w:tc>
      </w:tr>
      <w:tr>
        <w:trPr>
          <w:trHeight w:val="161"/>
        </w:trPr>
        <w:tc>
          <w:tcPr>
            <w:tcW w:w="3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7"/>
              </w:rPr>
              <w:t>(Dollar amounts in thousands, except per share data)</w:t>
            </w:r>
          </w:p>
        </w:tc>
        <w:tc>
          <w:tcPr>
            <w:tcW w:w="186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September 30, 2009</w:t>
            </w:r>
          </w:p>
        </w:tc>
        <w:tc>
          <w:tcPr>
            <w:tcW w:w="56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September 30, 2008</w:t>
            </w:r>
          </w:p>
        </w:tc>
        <w:tc>
          <w:tcPr>
            <w:tcW w:w="5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September 30, 2007</w:t>
            </w:r>
          </w:p>
        </w:tc>
        <w:tc>
          <w:tcPr>
            <w:tcW w:w="280" w:type="dxa"/>
            <w:vAlign w:val="bottom"/>
          </w:tcPr>
          <w:p>
            <w:pPr>
              <w:spacing w:after="0"/>
              <w:rPr>
                <w:sz w:val="14"/>
                <w:szCs w:val="14"/>
                <w:color w:val="auto"/>
              </w:rPr>
            </w:pPr>
          </w:p>
        </w:tc>
      </w:tr>
      <w:tr>
        <w:trPr>
          <w:trHeight w:val="210"/>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Total investment income</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$ 45,119</w:t>
            </w: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$ 39,811</w:t>
            </w:r>
          </w:p>
        </w:tc>
        <w:tc>
          <w:tcPr>
            <w:tcW w:w="1140" w:type="dxa"/>
            <w:vAlign w:val="bottom"/>
          </w:tcPr>
          <w:p>
            <w:pPr>
              <w:jc w:val="right"/>
              <w:spacing w:after="0"/>
              <w:rPr>
                <w:sz w:val="20"/>
                <w:szCs w:val="20"/>
                <w:color w:val="auto"/>
              </w:rPr>
            </w:pPr>
            <w:r>
              <w:rPr>
                <w:rFonts w:ascii="Arial" w:cs="Arial" w:eastAsia="Arial" w:hAnsi="Arial"/>
                <w:sz w:val="18"/>
                <w:szCs w:val="18"/>
                <w:color w:val="auto"/>
              </w:rPr>
              <w:t>$ 13,107</w:t>
            </w:r>
          </w:p>
        </w:tc>
        <w:tc>
          <w:tcPr>
            <w:tcW w:w="28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expenses before base management fee waiver</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22,400</w:t>
            </w: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21,676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280" w:type="dxa"/>
            <w:vAlign w:val="bottom"/>
            <w:shd w:val="clear" w:color="auto" w:fill="CCEEFF"/>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Net expenses after base management fee waiver</w:t>
            </w:r>
            <w:r>
              <w:rPr>
                <w:rFonts w:ascii="Arial" w:cs="Arial" w:eastAsia="Arial" w:hAnsi="Arial"/>
                <w:sz w:val="11"/>
                <w:szCs w:val="11"/>
                <w:color w:val="auto"/>
              </w:rPr>
              <w:t>(1)</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22,400</w:t>
            </w: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21,255</w:t>
            </w:r>
          </w:p>
        </w:tc>
        <w:tc>
          <w:tcPr>
            <w:tcW w:w="1140" w:type="dxa"/>
            <w:vAlign w:val="bottom"/>
          </w:tcPr>
          <w:p>
            <w:pPr>
              <w:jc w:val="right"/>
              <w:spacing w:after="0"/>
              <w:rPr>
                <w:sz w:val="20"/>
                <w:szCs w:val="20"/>
                <w:color w:val="auto"/>
              </w:rPr>
            </w:pPr>
            <w:r>
              <w:rPr>
                <w:rFonts w:ascii="Arial" w:cs="Arial" w:eastAsia="Arial" w:hAnsi="Arial"/>
                <w:sz w:val="18"/>
                <w:szCs w:val="18"/>
                <w:color w:val="auto"/>
              </w:rPr>
              <w:t>5,803</w:t>
            </w:r>
          </w:p>
        </w:tc>
        <w:tc>
          <w:tcPr>
            <w:tcW w:w="28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22,719</w:t>
            </w: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18,556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280" w:type="dxa"/>
            <w:vAlign w:val="bottom"/>
            <w:shd w:val="clear" w:color="auto" w:fill="CCEEFF"/>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Net realized and unrealized gain (loss)</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13,083</w:t>
            </w:r>
          </w:p>
        </w:tc>
        <w:tc>
          <w:tcPr>
            <w:tcW w:w="1660" w:type="dxa"/>
            <w:vAlign w:val="bottom"/>
            <w:gridSpan w:val="2"/>
          </w:tcPr>
          <w:p>
            <w:pPr>
              <w:jc w:val="right"/>
              <w:ind w:right="460"/>
              <w:spacing w:after="0"/>
              <w:rPr>
                <w:sz w:val="20"/>
                <w:szCs w:val="20"/>
                <w:color w:val="auto"/>
              </w:rPr>
            </w:pPr>
            <w:r>
              <w:rPr>
                <w:rFonts w:ascii="Arial" w:cs="Arial" w:eastAsia="Arial" w:hAnsi="Arial"/>
                <w:sz w:val="18"/>
                <w:szCs w:val="18"/>
                <w:color w:val="auto"/>
              </w:rPr>
              <w:t>(59,259)</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(24,004)</w:t>
            </w: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increase/(decrease) in net assets resulting from operations</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35,802</w:t>
            </w: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(40,703)</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(16,699)</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Per share data:</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 value (at period end)</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11.85</w:t>
            </w: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80" w:type="dxa"/>
            <w:vAlign w:val="bottom"/>
            <w:shd w:val="clear" w:color="auto" w:fill="CCEEFF"/>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1.08</w:t>
            </w: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0.88</w:t>
            </w:r>
          </w:p>
        </w:tc>
        <w:tc>
          <w:tcPr>
            <w:tcW w:w="1140" w:type="dxa"/>
            <w:vAlign w:val="bottom"/>
          </w:tcPr>
          <w:p>
            <w:pPr>
              <w:jc w:val="right"/>
              <w:spacing w:after="0"/>
              <w:rPr>
                <w:sz w:val="20"/>
                <w:szCs w:val="20"/>
                <w:color w:val="auto"/>
              </w:rPr>
            </w:pPr>
            <w:r>
              <w:rPr>
                <w:rFonts w:ascii="Arial" w:cs="Arial" w:eastAsia="Arial" w:hAnsi="Arial"/>
                <w:sz w:val="18"/>
                <w:szCs w:val="18"/>
                <w:color w:val="auto"/>
              </w:rPr>
              <w:t>0.35</w:t>
            </w:r>
          </w:p>
        </w:tc>
        <w:tc>
          <w:tcPr>
            <w:tcW w:w="28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1"/>
                <w:szCs w:val="11"/>
                <w:color w:val="auto"/>
              </w:rPr>
              <w:t>(2)</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0.62</w:t>
            </w: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(2.81)</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w w:val="98"/>
              </w:rPr>
              <w:t>Net increase/(decrease) in net assets resulting from operations</w:t>
            </w:r>
            <w:r>
              <w:rPr>
                <w:rFonts w:ascii="Arial" w:cs="Arial" w:eastAsia="Arial" w:hAnsi="Arial"/>
                <w:sz w:val="11"/>
                <w:szCs w:val="11"/>
                <w:color w:val="auto"/>
                <w:w w:val="98"/>
              </w:rPr>
              <w:t>(2)</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1.70</w:t>
            </w:r>
          </w:p>
        </w:tc>
        <w:tc>
          <w:tcPr>
            <w:tcW w:w="1660" w:type="dxa"/>
            <w:vAlign w:val="bottom"/>
            <w:gridSpan w:val="2"/>
          </w:tcPr>
          <w:p>
            <w:pPr>
              <w:jc w:val="right"/>
              <w:ind w:right="460"/>
              <w:spacing w:after="0"/>
              <w:rPr>
                <w:sz w:val="20"/>
                <w:szCs w:val="20"/>
                <w:color w:val="auto"/>
              </w:rPr>
            </w:pPr>
            <w:r>
              <w:rPr>
                <w:rFonts w:ascii="Arial" w:cs="Arial" w:eastAsia="Arial" w:hAnsi="Arial"/>
                <w:sz w:val="18"/>
                <w:szCs w:val="18"/>
                <w:color w:val="auto"/>
              </w:rPr>
              <w:t>(1.93)</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(0.80)</w:t>
            </w: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(2),(6)</w:t>
            </w: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(0.96)</w:t>
            </w: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(0.90)</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(0.36)</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512,381</w:t>
            </w: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419,811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555,008</w:t>
            </w:r>
          </w:p>
        </w:tc>
        <w:tc>
          <w:tcPr>
            <w:tcW w:w="280" w:type="dxa"/>
            <w:vAlign w:val="bottom"/>
            <w:shd w:val="clear" w:color="auto" w:fill="CCEEFF"/>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Total investment portfolio</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469,760</w:t>
            </w: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372,148</w:t>
            </w:r>
          </w:p>
        </w:tc>
        <w:tc>
          <w:tcPr>
            <w:tcW w:w="1140" w:type="dxa"/>
            <w:vAlign w:val="bottom"/>
          </w:tcPr>
          <w:p>
            <w:pPr>
              <w:jc w:val="right"/>
              <w:spacing w:after="0"/>
              <w:rPr>
                <w:sz w:val="20"/>
                <w:szCs w:val="20"/>
                <w:color w:val="auto"/>
              </w:rPr>
            </w:pPr>
            <w:r>
              <w:rPr>
                <w:rFonts w:ascii="Arial" w:cs="Arial" w:eastAsia="Arial" w:hAnsi="Arial"/>
                <w:sz w:val="18"/>
                <w:szCs w:val="18"/>
                <w:color w:val="auto"/>
              </w:rPr>
              <w:t>291,017</w:t>
            </w:r>
          </w:p>
        </w:tc>
        <w:tc>
          <w:tcPr>
            <w:tcW w:w="28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175,475</w:t>
            </w:r>
            <w:r>
              <w:rPr>
                <w:rFonts w:ascii="Arial" w:cs="Arial" w:eastAsia="Arial" w:hAnsi="Arial"/>
                <w:sz w:val="11"/>
                <w:szCs w:val="11"/>
                <w:color w:val="auto"/>
              </w:rPr>
              <w:t>(5)</w:t>
            </w: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202,000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CEEFF"/>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Payable for investments and unfunded investments</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25,821</w:t>
            </w:r>
          </w:p>
        </w:tc>
        <w:tc>
          <w:tcPr>
            <w:tcW w:w="16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273,339</w:t>
            </w:r>
          </w:p>
        </w:tc>
        <w:tc>
          <w:tcPr>
            <w:tcW w:w="28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asset value</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300,580</w:t>
            </w: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210,728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270,393</w:t>
            </w:r>
          </w:p>
        </w:tc>
        <w:tc>
          <w:tcPr>
            <w:tcW w:w="280" w:type="dxa"/>
            <w:vAlign w:val="bottom"/>
            <w:shd w:val="clear" w:color="auto" w:fill="CCEEFF"/>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Other data:</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30.39%</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(38.58)%</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(8.29)%</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Number of portfolio companies (at period end)</w:t>
            </w: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42</w:t>
            </w:r>
            <w:r>
              <w:rPr>
                <w:rFonts w:ascii="Arial" w:cs="Arial" w:eastAsia="Arial" w:hAnsi="Arial"/>
                <w:sz w:val="11"/>
                <w:szCs w:val="11"/>
                <w:color w:val="auto"/>
              </w:rPr>
              <w:t>(4)</w:t>
            </w: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37</w:t>
            </w:r>
            <w:r>
              <w:rPr>
                <w:rFonts w:ascii="Arial" w:cs="Arial" w:eastAsia="Arial" w:hAnsi="Arial"/>
                <w:sz w:val="11"/>
                <w:szCs w:val="11"/>
                <w:color w:val="auto"/>
              </w:rPr>
              <w:t>(4)</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r>
              <w:rPr>
                <w:rFonts w:ascii="Arial" w:cs="Arial" w:eastAsia="Arial" w:hAnsi="Arial"/>
                <w:sz w:val="11"/>
                <w:szCs w:val="11"/>
                <w:color w:val="auto"/>
              </w:rPr>
              <w:t>(4)</w:t>
            </w: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Yield on debt portfolio (at period end)</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w:t>
            </w:r>
            <w:r>
              <w:rPr>
                <w:rFonts w:ascii="Arial" w:cs="Arial" w:eastAsia="Arial" w:hAnsi="Arial"/>
                <w:sz w:val="11"/>
                <w:szCs w:val="11"/>
                <w:color w:val="auto"/>
              </w:rPr>
              <w:t>(4)</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w:t>
            </w:r>
            <w:r>
              <w:rPr>
                <w:rFonts w:ascii="Arial" w:cs="Arial" w:eastAsia="Arial" w:hAnsi="Arial"/>
                <w:sz w:val="11"/>
                <w:szCs w:val="11"/>
                <w:color w:val="auto"/>
              </w:rPr>
              <w:t>(4)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r>
              <w:rPr>
                <w:rFonts w:ascii="Arial" w:cs="Arial" w:eastAsia="Arial" w:hAnsi="Arial"/>
                <w:sz w:val="11"/>
                <w:szCs w:val="11"/>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base management fee waiver was in effect from Inception through March 31, 2008.</w:t>
      </w:r>
    </w:p>
    <w:p>
      <w:pPr>
        <w:spacing w:after="0" w:line="15"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investment income and net realized and change in unrealized losses per share data are calculated based on the weighted average shares outstanding for the respective periods.</w:t>
      </w:r>
    </w:p>
    <w:p>
      <w:pPr>
        <w:ind w:left="460" w:right="2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and takes into account dividends and distributions, if any, reinvested in accordance with our dividend reinvestment plan.</w:t>
      </w: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Unaudited.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9" w:lineRule="exact"/>
        <w:rPr>
          <w:rFonts w:ascii="Arial" w:cs="Arial" w:eastAsia="Arial" w:hAnsi="Arial"/>
          <w:sz w:val="18"/>
          <w:szCs w:val="18"/>
          <w:color w:val="auto"/>
        </w:rPr>
      </w:pPr>
    </w:p>
    <w:p>
      <w:pPr>
        <w:ind w:left="460" w:right="740" w:hanging="452"/>
        <w:spacing w:after="0" w:line="26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Determined based on taxable income calculated in accordance with income tax regulations which may differ from amounted determined under accounting principles generally accepted in the United States of America.</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320" w:top="459" w:right="3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60" w:firstLine="449"/>
        <w:spacing w:after="0" w:line="298" w:lineRule="auto"/>
        <w:rPr>
          <w:sz w:val="20"/>
          <w:szCs w:val="20"/>
          <w:color w:val="auto"/>
        </w:rPr>
      </w:pPr>
      <w:r>
        <w:rPr>
          <w:rFonts w:ascii="Arial" w:cs="Arial" w:eastAsia="Arial" w:hAnsi="Arial"/>
          <w:sz w:val="16"/>
          <w:szCs w:val="16"/>
          <w:color w:val="auto"/>
        </w:rPr>
        <w:t>This Report,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Report involve risks and uncertainties, including statements as to:</w:t>
      </w:r>
    </w:p>
    <w:p>
      <w:pPr>
        <w:spacing w:after="0" w:line="31" w:lineRule="exact"/>
        <w:rPr>
          <w:sz w:val="20"/>
          <w:szCs w:val="20"/>
          <w:color w:val="auto"/>
        </w:rPr>
      </w:pPr>
    </w:p>
    <w:p>
      <w:pPr>
        <w:ind w:left="880" w:hanging="319"/>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the Investment Adviser to locate suitable investments for us and to monitor and administer our investments.</w:t>
      </w:r>
    </w:p>
    <w:p>
      <w:pPr>
        <w:spacing w:after="0" w:line="171" w:lineRule="exact"/>
        <w:rPr>
          <w:sz w:val="20"/>
          <w:szCs w:val="20"/>
          <w:color w:val="auto"/>
        </w:rPr>
      </w:pPr>
    </w:p>
    <w:p>
      <w:pPr>
        <w:ind w:right="320" w:firstLine="449"/>
        <w:spacing w:after="0" w:line="259" w:lineRule="auto"/>
        <w:rPr>
          <w:sz w:val="20"/>
          <w:szCs w:val="20"/>
          <w:color w:val="auto"/>
        </w:rPr>
      </w:pPr>
      <w:r>
        <w:rPr>
          <w:rFonts w:ascii="Arial" w:cs="Arial" w:eastAsia="Arial" w:hAnsi="Arial"/>
          <w:sz w:val="18"/>
          <w:szCs w:val="18"/>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in “Risk Factors” and elsewhere in this Report.</w:t>
      </w:r>
    </w:p>
    <w:p>
      <w:pPr>
        <w:spacing w:after="0" w:line="140" w:lineRule="exact"/>
        <w:rPr>
          <w:sz w:val="20"/>
          <w:szCs w:val="20"/>
          <w:color w:val="auto"/>
        </w:rPr>
      </w:pPr>
    </w:p>
    <w:p>
      <w:pPr>
        <w:ind w:right="140" w:firstLine="449"/>
        <w:spacing w:after="0" w:line="298" w:lineRule="auto"/>
        <w:rPr>
          <w:sz w:val="20"/>
          <w:szCs w:val="20"/>
          <w:color w:val="auto"/>
        </w:rPr>
      </w:pPr>
      <w:r>
        <w:rPr>
          <w:rFonts w:ascii="Arial" w:cs="Arial" w:eastAsia="Arial" w:hAnsi="Arial"/>
          <w:sz w:val="16"/>
          <w:szCs w:val="16"/>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 and current reports on Form 8-K.</w:t>
      </w:r>
    </w:p>
    <w:p>
      <w:pPr>
        <w:spacing w:after="0" w:line="112" w:lineRule="exact"/>
        <w:rPr>
          <w:sz w:val="20"/>
          <w:szCs w:val="20"/>
          <w:color w:val="auto"/>
        </w:rPr>
      </w:pPr>
    </w:p>
    <w:p>
      <w:pPr>
        <w:ind w:right="280" w:firstLine="449"/>
        <w:spacing w:after="0" w:line="268"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financial statements and the related notes thereto contained elsewhere in this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PennantPark Investment was organized under the Maryland General Corporation Law in January 2007. We are an externally managed, closed-end, non-diversified investment company that has elected to be treated as a business development company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high-quality debt investments that mature in one year or less.</w:t>
      </w:r>
    </w:p>
    <w:p>
      <w:pPr>
        <w:spacing w:after="0" w:line="115"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Our investment activities are managed by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and PennantPark Investment Advisers supervise our activities.</w:t>
      </w:r>
    </w:p>
    <w:p>
      <w:pPr>
        <w:sectPr>
          <w:pgSz w:w="11900" w:h="16838" w:orient="portrait"/>
          <w:cols w:equalWidth="0" w:num="1">
            <w:col w:w="11220"/>
          </w:cols>
          <w:pgMar w:left="320" w:top="459" w:right="359" w:bottom="1440" w:gutter="0" w:footer="0" w:header="0"/>
        </w:sectPr>
      </w:pPr>
    </w:p>
    <w:bookmarkStart w:id="50" w:name="page51"/>
    <w:bookmarkEnd w:id="50"/>
    <w:p>
      <w:pPr>
        <w:ind w:firstLine="449"/>
        <w:spacing w:after="0" w:line="291"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 debt, second lien secured debt, certain senior secured investments, and to a lesser extent, equity investments. The companies in which we invest are typically highly leveraged, often as a result of leveraged buy-outs or other recapitalization transactions,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20" w:lineRule="exact"/>
        <w:rPr>
          <w:sz w:val="20"/>
          <w:szCs w:val="20"/>
          <w:color w:val="auto"/>
        </w:rPr>
      </w:pPr>
    </w:p>
    <w:p>
      <w:pPr>
        <w:ind w:right="60" w:firstLine="449"/>
        <w:spacing w:after="0" w:line="268" w:lineRule="auto"/>
        <w:rPr>
          <w:sz w:val="20"/>
          <w:szCs w:val="20"/>
          <w:color w:val="auto"/>
        </w:rPr>
      </w:pPr>
      <w:r>
        <w:rPr>
          <w:rFonts w:ascii="Arial" w:cs="Arial" w:eastAsia="Arial" w:hAnsi="Arial"/>
          <w:sz w:val="18"/>
          <w:szCs w:val="18"/>
          <w:color w:val="auto"/>
        </w:rPr>
        <w:t>We expect that our investments in mezzanine debt, senior secured loans and other investments will range between $10 million and $50 million each. We expect this investment size to vary proportionately with the size of our capital base.</w:t>
      </w:r>
    </w:p>
    <w:p>
      <w:pPr>
        <w:spacing w:after="0" w:line="132" w:lineRule="exact"/>
        <w:rPr>
          <w:sz w:val="20"/>
          <w:szCs w:val="20"/>
          <w:color w:val="auto"/>
        </w:rPr>
      </w:pPr>
    </w:p>
    <w:p>
      <w:pPr>
        <w:jc w:val="both"/>
        <w:ind w:right="160" w:firstLine="449"/>
        <w:spacing w:after="0" w:line="256" w:lineRule="auto"/>
        <w:rPr>
          <w:sz w:val="20"/>
          <w:szCs w:val="20"/>
          <w:color w:val="auto"/>
        </w:rPr>
      </w:pPr>
      <w:r>
        <w:rPr>
          <w:rFonts w:ascii="Arial" w:cs="Arial" w:eastAsia="Arial" w:hAnsi="Arial"/>
          <w:sz w:val="18"/>
          <w:szCs w:val="18"/>
          <w:color w:val="auto"/>
        </w:rPr>
        <w:t>We are currently operating in a severely constrained credit market. 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will continue to use, the proceeds of our public offerings of securities and of our credit facility in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320" w:top="131" w:right="3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accordance with our investment objectives. The turmoil in the credit markets is adversely affecting each of these factors and has resulted in broad-based reduction in the demand for, and valuation of, high-risk debt instruments. These conditions may present us with attractive investment opportunities, as we believe that there are many middle-market companies that need senior secured and mezzanine debt financing. However, these market conditions are also adversely affecting our portfolio valuations and increase the risk of default among our portfolio companies, which could negatively impact our performance.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7"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mezzanine debt or senior secured loans, typically have a term of three to ten years and bear interest at a fixed or floating rate. Interest on debt securities is generally payable quarterly or semiannually. In some cases, some of our investments provide for deferred interest payments or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interest income. We record prepayment premiums on loans and debt securities as interest income. Dividend income, if any, is recognized on an accrual basis on the ex-dividend date to the extent that we expect to collect such amounts.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77" w:lineRule="exact"/>
        <w:rPr>
          <w:sz w:val="20"/>
          <w:szCs w:val="20"/>
          <w:color w:val="auto"/>
        </w:rPr>
      </w:pPr>
    </w:p>
    <w:p>
      <w:pPr>
        <w:ind w:right="160" w:firstLine="449"/>
        <w:spacing w:after="0" w:line="298" w:lineRule="auto"/>
        <w:rPr>
          <w:sz w:val="20"/>
          <w:szCs w:val="20"/>
          <w:color w:val="auto"/>
        </w:rPr>
      </w:pPr>
      <w:r>
        <w:rPr>
          <w:rFonts w:ascii="Arial" w:cs="Arial" w:eastAsia="Arial" w:hAnsi="Arial"/>
          <w:sz w:val="16"/>
          <w:szCs w:val="16"/>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costs and expenses of our operations and transactions, including:</w:t>
      </w:r>
    </w:p>
    <w:p>
      <w:pPr>
        <w:spacing w:after="0" w:line="31" w:lineRule="exact"/>
        <w:rPr>
          <w:sz w:val="20"/>
          <w:szCs w:val="20"/>
          <w:color w:val="auto"/>
        </w:rPr>
      </w:pPr>
    </w:p>
    <w:p>
      <w:pPr>
        <w:ind w:left="880" w:hanging="319"/>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880" w:right="480" w:hanging="319"/>
        <w:spacing w:after="0" w:line="268"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w:t>
      </w:r>
    </w:p>
    <w:p>
      <w:pPr>
        <w:spacing w:after="0" w:line="50" w:lineRule="exact"/>
        <w:rPr>
          <w:rFonts w:ascii="Arial" w:cs="Arial" w:eastAsia="Arial" w:hAnsi="Arial"/>
          <w:sz w:val="18"/>
          <w:szCs w:val="18"/>
          <w:color w:val="auto"/>
        </w:rPr>
      </w:pPr>
    </w:p>
    <w:p>
      <w:pPr>
        <w:ind w:left="880" w:hanging="319"/>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880" w:right="120" w:hanging="319"/>
        <w:spacing w:after="0" w:line="256"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ectPr>
          <w:pgSz w:w="11900" w:h="16838" w:orient="portrait"/>
          <w:cols w:equalWidth="0" w:num="1">
            <w:col w:w="11220"/>
          </w:cols>
          <w:pgMar w:left="320" w:top="459"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77"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of September 30, 2009, our portfolio totaled $469.8 million and consisted of $157.1 million of subordinated debt, $134.4 million of second lien secured debt, $150.6 million of senior secured loans and $27.7 million of preferred and common equity investments. Our core assets totaled $427.1 million and consisted of investments in thirty different companies with an average investment size of $14.2 million per company and a weighted average yield of 12.5% on debt investments. Our non-core senior secured loan portfolio totaled $42.7 million and consisted of thirteen different companies (including one company also in our core portfolio) with an average investment size of $3.3 million, and a weighted average yield of 3.1%. Our debt portfolio consisted of 53% fixed-rate and 47% variable-rate investments. Overall, the portfolio had an unrealized depreciation of $27.5 million. Our overall portfolio consisted of forty-two companies with an average investment size of $11.2 million and a weighted average yield on debt investments of 11.4%, and was invested 33% in subordinated debt, 29% in second lien secured debt, 32% in senior secured loans and 6% in preferred and common equity investments.</w:t>
      </w:r>
    </w:p>
    <w:p>
      <w:pPr>
        <w:spacing w:after="0" w:line="124"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As of September 30, 2008, our portfolio totaled $372.1 million and consisted of $166.2 million of subordinated debt, $104.2 million of second lien secured debt, $78.8 million of senior secured loans, and $22.9 million of preferred and common equity investments. Our core assets totaled $305.5 million and consisted of investments in nineteen different companies with an average investment size of $16.1 million per company and a weighted average yield of 12.5% on debt investments. Our non-core senior secured loan portfolio totaled $66.6 million and consisted of nineteen different companies (including one company also in our core portfolio) with an average investment size of $3.5 million, and a weighted average yield of 5.2%. Our debt portfolio consisted of 45% fixed-rate and 55% variable-rate investments. Overall, the portfolio had an unrealized depreciation of $72.0 million. Our overall portfolio consisted of thirty-seven companies with an average investment size of $10.1 million and a weighted average yield on debt investments of 11.1%, and was invested 45% in subordinated debt, 28% in second lien secured debt, 21% in senior secured loans and 6% in preferred and common equity investments.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80" w:firstLine="449"/>
        <w:spacing w:after="0" w:line="254" w:lineRule="auto"/>
        <w:rPr>
          <w:sz w:val="20"/>
          <w:szCs w:val="20"/>
          <w:color w:val="auto"/>
        </w:rPr>
      </w:pPr>
      <w:r>
        <w:rPr>
          <w:rFonts w:ascii="Arial" w:cs="Arial" w:eastAsia="Arial" w:hAnsi="Arial"/>
          <w:sz w:val="18"/>
          <w:szCs w:val="18"/>
          <w:color w:val="auto"/>
        </w:rPr>
        <w:t>For the fiscal year ended September 30, 2009, we purchased $112.7 million of investments in eleven new and six existing portfolio companies with an overall weighted average yield of 14.5% on debt investments. This compares to purchasing $206.8 million in fourteen new and two existing portfolio companies with an overall average yield of 13.8% on debt investments and compares to purchasing $414.0 million in eight new and five existing portfolio companies with an overall average yield of 13.0% on debt investments for the fiscal year ended September 30, 2008 and for the period April 24, 2007 (initial public offering) to September 30, 2007,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7"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The discussion of our financial condition and results of operation is based upon our financial statements, which have been prepared in accordance with U.S. generally accepted accounting principles, or “GAAP.” The preparation of these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critical accounting policies in the notes to our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177"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if available, obtained from at least two broker/dealers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of sufficient credit quality, purchased within 60 days of maturity are valued at cost plus accreted discount, or minus amortized premium, which approximates value. With respect to unquoted securities, our board of directors, together with our independent third party valuation firms, values each investment considering, among other measures, discounted cash flow models, comparisons of financial ratios of peer companies that are public and other factors.</w:t>
      </w:r>
    </w:p>
    <w:p>
      <w:pPr>
        <w:spacing w:after="0" w:line="126" w:lineRule="exact"/>
        <w:rPr>
          <w:sz w:val="20"/>
          <w:szCs w:val="20"/>
          <w:color w:val="auto"/>
        </w:rPr>
      </w:pPr>
    </w:p>
    <w:p>
      <w:pPr>
        <w:ind w:right="80" w:firstLine="449"/>
        <w:spacing w:after="0" w:line="253"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in connection with one of our portfolio companies, our board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47" w:lineRule="exact"/>
        <w:rPr>
          <w:sz w:val="20"/>
          <w:szCs w:val="20"/>
          <w:color w:val="auto"/>
        </w:rPr>
      </w:pPr>
    </w:p>
    <w:p>
      <w:pPr>
        <w:ind w:right="180" w:firstLine="449"/>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believed not to reflect the fair value of an investment, our board of directors undertakes a multi-step valuation process each quarter, as described below:</w:t>
      </w:r>
    </w:p>
    <w:p>
      <w:pPr>
        <w:spacing w:after="0" w:line="51" w:lineRule="exact"/>
        <w:rPr>
          <w:sz w:val="20"/>
          <w:szCs w:val="20"/>
          <w:color w:val="auto"/>
        </w:rPr>
      </w:pPr>
    </w:p>
    <w:p>
      <w:pPr>
        <w:ind w:left="900" w:right="280" w:hanging="447"/>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7"/>
        <w:spacing w:after="0" w:line="256"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61" w:lineRule="exact"/>
        <w:rPr>
          <w:rFonts w:ascii="Arial" w:cs="Arial" w:eastAsia="Arial" w:hAnsi="Arial"/>
          <w:sz w:val="18"/>
          <w:szCs w:val="18"/>
          <w:color w:val="auto"/>
        </w:rPr>
      </w:pPr>
    </w:p>
    <w:p>
      <w:pPr>
        <w:ind w:left="900" w:right="100" w:hanging="447"/>
        <w:spacing w:after="0" w:line="331"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 w:lineRule="exact"/>
        <w:rPr>
          <w:rFonts w:ascii="Arial" w:cs="Arial" w:eastAsia="Arial" w:hAnsi="Arial"/>
          <w:sz w:val="16"/>
          <w:szCs w:val="16"/>
          <w:color w:val="auto"/>
        </w:rPr>
      </w:pPr>
    </w:p>
    <w:p>
      <w:pPr>
        <w:ind w:left="900" w:right="160" w:hanging="447"/>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ectPr>
          <w:pgSz w:w="11900" w:h="16838" w:orient="portrait"/>
          <w:cols w:equalWidth="0" w:num="1">
            <w:col w:w="11220"/>
          </w:cols>
          <w:pgMar w:left="320" w:top="459" w:right="359" w:bottom="1440" w:gutter="0" w:footer="0" w:header="0"/>
        </w:sectPr>
      </w:pPr>
    </w:p>
    <w:bookmarkStart w:id="54" w:name="page55"/>
    <w:bookmarkEnd w:id="54"/>
    <w:p>
      <w:pPr>
        <w:ind w:firstLine="449"/>
        <w:spacing w:after="0" w:line="288" w:lineRule="auto"/>
        <w:rPr>
          <w:sz w:val="20"/>
          <w:szCs w:val="20"/>
          <w:color w:val="auto"/>
        </w:rPr>
      </w:pPr>
      <w:r>
        <w:rPr>
          <w:rFonts w:ascii="Arial" w:cs="Arial" w:eastAsia="Arial" w:hAnsi="Arial"/>
          <w:sz w:val="16"/>
          <w:szCs w:val="16"/>
          <w:color w:val="auto"/>
        </w:rPr>
        <w:t xml:space="preserve">In September 2006, Financial Accounting Standards Board (the “FASB”) issued Statements on Financial Accounts Standards (“SFAS”) 157,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w:t>
      </w:r>
      <w:r>
        <w:rPr>
          <w:rFonts w:ascii="Arial" w:cs="Arial" w:eastAsia="Arial" w:hAnsi="Arial"/>
          <w:sz w:val="16"/>
          <w:szCs w:val="16"/>
          <w:color w:val="auto"/>
        </w:rPr>
        <w:t>, which clarifies the definition of fair value and requires companies to expand their disclosure about the use of fair value to measure assets and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in interim and annual periods subsequent to initial recognition. With adoption of the Accounting Standards Codification in September of 2009, or ASC and as more fully described in Note 2 of the financial statements, references to authoritative accounting literature now refer to the ASC. Adoption of ASC 820 (formerly known as SFAS 157) requires the use of the price that would be received to sell an asset or paid to transfer a liability in an orderly transaction between market participants at the measurement date. ASC 820 is effective for financial statements issued for fiscal years beginning after November 15, 2007 and interim periods within those fiscal years. We adopted this statement on October 1, 2008. The adoption of ASC 820 did not affect our financial position or results of operations.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71" w:lineRule="exact"/>
        <w:rPr>
          <w:sz w:val="20"/>
          <w:szCs w:val="20"/>
          <w:color w:val="auto"/>
        </w:rPr>
      </w:pPr>
    </w:p>
    <w:p>
      <w:pPr>
        <w:ind w:right="540" w:firstLine="449"/>
        <w:spacing w:after="0" w:line="268"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Inputs that are quoted prices (unadjusted) in active markets for identical assets or liabilities, accessible by PennantPark Investment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32" w:lineRule="exact"/>
        <w:rPr>
          <w:sz w:val="20"/>
          <w:szCs w:val="20"/>
          <w:color w:val="auto"/>
        </w:rPr>
      </w:pPr>
    </w:p>
    <w:p>
      <w:pPr>
        <w:jc w:val="both"/>
        <w:ind w:right="20" w:firstLine="449"/>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that are quoted prices for similar assets or liabilities in active markets, or that are quoted prices for identical or similar assets or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 markets that are not active, and inputs that are observable for the asset or liability, either directly or indirectly, for substantially the full term, if applicable, of the financial instrument.</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131" w:right="3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60" w:firstLine="449"/>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an asset or liability because they are based on PennantPark Investment’s own assumptions about how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price the asset or liability.</w:t>
      </w:r>
    </w:p>
    <w:p>
      <w:pPr>
        <w:spacing w:after="0" w:line="132" w:lineRule="exact"/>
        <w:rPr>
          <w:sz w:val="20"/>
          <w:szCs w:val="20"/>
          <w:color w:val="auto"/>
        </w:rPr>
      </w:pPr>
    </w:p>
    <w:p>
      <w:pPr>
        <w:ind w:right="760" w:firstLine="449"/>
        <w:spacing w:after="0" w:line="331" w:lineRule="auto"/>
        <w:rPr>
          <w:sz w:val="20"/>
          <w:szCs w:val="20"/>
          <w:color w:val="auto"/>
        </w:rPr>
      </w:pPr>
      <w:r>
        <w:rPr>
          <w:rFonts w:ascii="Arial" w:cs="Arial" w:eastAsia="Arial" w:hAnsi="Arial"/>
          <w:sz w:val="16"/>
          <w:szCs w:val="16"/>
          <w:color w:val="auto"/>
        </w:rPr>
        <w:t xml:space="preserve">A financial instrument’s categorization within the valuation hierarchy is based upon the lowest level of input that is significant to the fair value measurement. All of our investments (other than cash and cash equivalents) and long-term credit facility are classified as </w:t>
      </w:r>
      <w:r>
        <w:rPr>
          <w:rFonts w:ascii="Arial" w:cs="Arial" w:eastAsia="Arial" w:hAnsi="Arial"/>
          <w:sz w:val="16"/>
          <w:szCs w:val="16"/>
          <w:i w:val="1"/>
          <w:iCs w:val="1"/>
          <w:color w:val="auto"/>
        </w:rPr>
        <w:t>Level 3</w:t>
      </w:r>
      <w:r>
        <w:rPr>
          <w:rFonts w:ascii="Arial" w:cs="Arial" w:eastAsia="Arial" w:hAnsi="Arial"/>
          <w:sz w:val="16"/>
          <w:szCs w:val="16"/>
          <w:color w:val="auto"/>
        </w:rPr>
        <w:t>.</w:t>
      </w:r>
    </w:p>
    <w:p>
      <w:pPr>
        <w:spacing w:after="0" w:line="87" w:lineRule="exact"/>
        <w:rPr>
          <w:sz w:val="20"/>
          <w:szCs w:val="20"/>
          <w:color w:val="auto"/>
        </w:rPr>
      </w:pPr>
    </w:p>
    <w:p>
      <w:pPr>
        <w:ind w:right="100" w:firstLine="449"/>
        <w:spacing w:after="0" w:line="256" w:lineRule="auto"/>
        <w:rPr>
          <w:sz w:val="20"/>
          <w:szCs w:val="20"/>
          <w:color w:val="auto"/>
        </w:rPr>
      </w:pPr>
      <w:r>
        <w:rPr>
          <w:rFonts w:ascii="Arial" w:cs="Arial" w:eastAsia="Arial" w:hAnsi="Arial"/>
          <w:sz w:val="18"/>
          <w:szCs w:val="18"/>
          <w:color w:val="auto"/>
        </w:rPr>
        <w:t xml:space="preserve">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information, assuming no additional corroborating evidence.</w:t>
      </w:r>
    </w:p>
    <w:p>
      <w:pPr>
        <w:spacing w:after="0" w:line="143"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 xml:space="preserve">In February 2007, the FASB issued SFAS 159, </w:t>
      </w:r>
      <w:r>
        <w:rPr>
          <w:rFonts w:ascii="Arial" w:cs="Arial" w:eastAsia="Arial" w:hAnsi="Arial"/>
          <w:sz w:val="16"/>
          <w:szCs w:val="16"/>
          <w:i w:val="1"/>
          <w:iCs w:val="1"/>
          <w:color w:val="auto"/>
        </w:rPr>
        <w:t>The Fair Value Option for Financial Assets and Financial Liabilities—Including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115</w:t>
      </w:r>
      <w:r>
        <w:rPr>
          <w:rFonts w:ascii="Arial" w:cs="Arial" w:eastAsia="Arial" w:hAnsi="Arial"/>
          <w:sz w:val="16"/>
          <w:szCs w:val="16"/>
          <w:color w:val="auto"/>
        </w:rPr>
        <w:t>. This statement permits an entity to choose to measure many financial instruments and certain other items at fair value. ASC 825-10 (formerly known as</w:t>
      </w:r>
      <w:r>
        <w:rPr>
          <w:rFonts w:ascii="Arial" w:cs="Arial" w:eastAsia="Arial" w:hAnsi="Arial"/>
          <w:sz w:val="16"/>
          <w:szCs w:val="16"/>
          <w:i w:val="1"/>
          <w:iCs w:val="1"/>
          <w:color w:val="auto"/>
        </w:rPr>
        <w:t xml:space="preserve"> </w:t>
      </w:r>
      <w:r>
        <w:rPr>
          <w:rFonts w:ascii="Arial" w:cs="Arial" w:eastAsia="Arial" w:hAnsi="Arial"/>
          <w:sz w:val="16"/>
          <w:szCs w:val="16"/>
          <w:color w:val="auto"/>
        </w:rPr>
        <w:t>SFAS 159)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adopted ASC 825-10 on October 1, 2008 and have made an irrevocable election to apply the fair value option to our long-term credit facility liability. The fair value option was elected for our credit facility to align the measurement attributes of both the assets and liabilities while mitigating volatility in earnings from using different measurement attributes. Upon our adoption our net asset value increased by $41.8 million, or $1.99 per share, due to the fair value adjustment related to our credit facility. We have used a nationally recognized independent valuation service to measure the fair value of our credit facility in a manner consistent with the valuation process that our board of directors uses to value our investments. After adoption, subsequent changes in the fair value of our credit facility have been recorded in the statement of operations. We have not elected to apply ASC825-10 to any other financial assets or liabilities. For the fiscal year ended September 30, 2009, $7.8 million was recorded as a change in unrealized appreciation on the credit facility in the statement of operations. See Note 5 to the financial statements.</w:t>
      </w:r>
    </w:p>
    <w:p>
      <w:pPr>
        <w:spacing w:after="0" w:line="123"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 xml:space="preserve">In April 2009, the FASB issued FASB Staff Position No. 157-4, Determining </w:t>
      </w:r>
      <w:r>
        <w:rPr>
          <w:rFonts w:ascii="Arial" w:cs="Arial" w:eastAsia="Arial" w:hAnsi="Arial"/>
          <w:sz w:val="16"/>
          <w:szCs w:val="16"/>
          <w:i w:val="1"/>
          <w:iCs w:val="1"/>
          <w:color w:val="auto"/>
        </w:rPr>
        <w:t>Fair Value When the Volume and Level of Activity for the Asset or Liability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Have Significantly Decreased and Identifying Transactions That Are Not Orderly </w:t>
      </w:r>
      <w:r>
        <w:rPr>
          <w:rFonts w:ascii="Arial" w:cs="Arial" w:eastAsia="Arial" w:hAnsi="Arial"/>
          <w:sz w:val="16"/>
          <w:szCs w:val="16"/>
          <w:color w:val="auto"/>
        </w:rPr>
        <w:t>(“FSP No. 157-4”). ASC 820-10-35-51A (formerly known as FSP No. 157-4)</w:t>
      </w:r>
      <w:r>
        <w:rPr>
          <w:rFonts w:ascii="Arial" w:cs="Arial" w:eastAsia="Arial" w:hAnsi="Arial"/>
          <w:sz w:val="16"/>
          <w:szCs w:val="16"/>
          <w:i w:val="1"/>
          <w:iCs w:val="1"/>
          <w:color w:val="auto"/>
        </w:rPr>
        <w:t xml:space="preserve"> </w:t>
      </w:r>
      <w:r>
        <w:rPr>
          <w:rFonts w:ascii="Arial" w:cs="Arial" w:eastAsia="Arial" w:hAnsi="Arial"/>
          <w:sz w:val="16"/>
          <w:szCs w:val="16"/>
          <w:color w:val="auto"/>
        </w:rPr>
        <w:t>made amendments to ASC 820 to provide additional guidance for estimating fair value in accordance with ASC 820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We adopted ASC 820-10-35-51A on June 30, 2009 and it did not have a material impact on our financial statements. See Note 5 to the financial statements.</w:t>
      </w:r>
    </w:p>
    <w:p>
      <w:pPr>
        <w:spacing w:after="0" w:line="119"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 xml:space="preserve">In August 2009, the FASB released Accounting Standards Update No. 2009-05 (ASU 2009-05) as an update to ASC 820, </w:t>
      </w:r>
      <w:r>
        <w:rPr>
          <w:rFonts w:ascii="Arial" w:cs="Arial" w:eastAsia="Arial" w:hAnsi="Arial"/>
          <w:sz w:val="16"/>
          <w:szCs w:val="16"/>
          <w:i w:val="1"/>
          <w:iCs w:val="1"/>
          <w:color w:val="auto"/>
        </w:rPr>
        <w:t>Measuring Liabilities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w:t>
      </w:r>
      <w:r>
        <w:rPr>
          <w:rFonts w:ascii="Arial" w:cs="Arial" w:eastAsia="Arial" w:hAnsi="Arial"/>
          <w:sz w:val="16"/>
          <w:szCs w:val="16"/>
          <w:color w:val="auto"/>
        </w:rPr>
        <w:t xml:space="preserve">. ASU 2009-05 provides additional clarity in circumstances where a quoted price in an active market for the identical liability is not available. ASU 2009-05 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 consistent with principles of ASC 820. This update clarifies that when estimating fair value of a liability, a reporting entity is not required to include a separate adjustment to an input relating to the 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6"/>
          <w:szCs w:val="16"/>
          <w:i w:val="1"/>
          <w:iCs w:val="1"/>
          <w:color w:val="auto"/>
        </w:rPr>
        <w:t>Level 1</w:t>
      </w:r>
      <w:r>
        <w:rPr>
          <w:rFonts w:ascii="Arial" w:cs="Arial" w:eastAsia="Arial" w:hAnsi="Arial"/>
          <w:sz w:val="16"/>
          <w:szCs w:val="16"/>
          <w:color w:val="auto"/>
        </w:rPr>
        <w:t xml:space="preserve"> fair value measurements. We adopted ASU 2009-05 on September 30, 2009, and it did not have a material impact on our financial statements. See Note 5 to the financial statements.</w:t>
      </w:r>
    </w:p>
    <w:p>
      <w:pPr>
        <w:spacing w:after="0" w:line="119" w:lineRule="exact"/>
        <w:rPr>
          <w:sz w:val="20"/>
          <w:szCs w:val="20"/>
          <w:color w:val="auto"/>
        </w:rPr>
      </w:pPr>
    </w:p>
    <w:p>
      <w:pPr>
        <w:ind w:right="140" w:firstLine="449"/>
        <w:spacing w:after="0" w:line="291" w:lineRule="auto"/>
        <w:rPr>
          <w:sz w:val="20"/>
          <w:szCs w:val="20"/>
          <w:color w:val="auto"/>
        </w:rPr>
      </w:pPr>
      <w:r>
        <w:rPr>
          <w:rFonts w:ascii="Arial" w:cs="Arial" w:eastAsia="Arial" w:hAnsi="Arial"/>
          <w:sz w:val="16"/>
          <w:szCs w:val="16"/>
          <w:color w:val="auto"/>
        </w:rPr>
        <w:t xml:space="preserve">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of the fair value hierarchy.</w:t>
      </w:r>
    </w:p>
    <w:p>
      <w:pPr>
        <w:sectPr>
          <w:pgSz w:w="11900" w:h="16838" w:orient="portrait"/>
          <w:cols w:equalWidth="0" w:num="1">
            <w:col w:w="11240"/>
          </w:cols>
          <w:pgMar w:left="320" w:top="45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Revenue Recognition</w:t>
      </w:r>
    </w:p>
    <w:p>
      <w:pPr>
        <w:spacing w:after="0" w:line="17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and market discount or premium are capitalized, and we then amortize such amounts as interest income. We record prepayment premiums on loans and debt investments as interest income. Dividend income, if any, is recognized on an accrual basis on the ex-dividend date to the extent that we expect to collect such amounts.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177" w:lineRule="exact"/>
        <w:rPr>
          <w:sz w:val="20"/>
          <w:szCs w:val="20"/>
          <w:color w:val="auto"/>
        </w:rPr>
      </w:pPr>
    </w:p>
    <w:p>
      <w:pPr>
        <w:ind w:right="260" w:firstLine="449"/>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w:t>
      </w:r>
    </w:p>
    <w:p>
      <w:pPr>
        <w:spacing w:after="0" w:line="177" w:lineRule="exact"/>
        <w:rPr>
          <w:sz w:val="20"/>
          <w:szCs w:val="20"/>
          <w:color w:val="auto"/>
        </w:rPr>
      </w:pPr>
    </w:p>
    <w:p>
      <w:pPr>
        <w:jc w:val="both"/>
        <w:ind w:right="400" w:firstLine="449"/>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177"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We operate so as to qualify to maintain our election to be taxed as a RIC under Subchapter M of the Code and intend to continue to do so. Accordingly, we are not subject to federal income tax on the portion of our taxable income and gains distributed to stockholders. To qualify as a RIC, we are required to distribute at least 90% of our investment company taxable income as defined by the Code.</w:t>
      </w:r>
    </w:p>
    <w:p>
      <w:pPr>
        <w:spacing w:after="0" w:line="140" w:lineRule="exact"/>
        <w:rPr>
          <w:sz w:val="20"/>
          <w:szCs w:val="20"/>
          <w:color w:val="auto"/>
        </w:rPr>
      </w:pPr>
    </w:p>
    <w:p>
      <w:pPr>
        <w:ind w:right="200" w:firstLine="449"/>
        <w:spacing w:after="0" w:line="256"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7" w:lineRule="exact"/>
        <w:rPr>
          <w:sz w:val="20"/>
          <w:szCs w:val="20"/>
          <w:color w:val="auto"/>
        </w:rPr>
      </w:pPr>
    </w:p>
    <w:p>
      <w:pPr>
        <w:ind w:right="140" w:firstLine="449"/>
        <w:spacing w:after="0" w:line="306" w:lineRule="auto"/>
        <w:rPr>
          <w:sz w:val="20"/>
          <w:szCs w:val="20"/>
          <w:color w:val="auto"/>
        </w:rPr>
      </w:pPr>
      <w:r>
        <w:rPr>
          <w:rFonts w:ascii="Arial" w:cs="Arial" w:eastAsia="Arial" w:hAnsi="Arial"/>
          <w:sz w:val="16"/>
          <w:szCs w:val="16"/>
          <w:color w:val="auto"/>
        </w:rPr>
        <w:t>The overall leveraged finance market has continued to experience pressure which has resulted in depreciation on some of our existing assets and improved risk/reward environment for new investments. We did not experience compromised liquidity during the turmoil in the global credit markets because of our ability to sell our senior secured loans and availability under our credit facility and our ability to access the capital markets to sell common stock.</w:t>
      </w:r>
    </w:p>
    <w:p>
      <w:pPr>
        <w:spacing w:after="0" w:line="106" w:lineRule="exact"/>
        <w:rPr>
          <w:sz w:val="20"/>
          <w:szCs w:val="20"/>
          <w:color w:val="auto"/>
        </w:rPr>
      </w:pPr>
    </w:p>
    <w:p>
      <w:pPr>
        <w:ind w:right="80" w:firstLine="449"/>
        <w:spacing w:after="0" w:line="268" w:lineRule="auto"/>
        <w:rPr>
          <w:sz w:val="20"/>
          <w:szCs w:val="20"/>
          <w:color w:val="auto"/>
        </w:rPr>
      </w:pPr>
      <w:r>
        <w:rPr>
          <w:rFonts w:ascii="Arial" w:cs="Arial" w:eastAsia="Arial" w:hAnsi="Arial"/>
          <w:sz w:val="18"/>
          <w:szCs w:val="18"/>
          <w:color w:val="auto"/>
        </w:rPr>
        <w:t>Set forth below are our results of operations for the fiscal years ended September 30, 2009, 2008 and for the period from January 11, 2007 (inception) to September 2007.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177" w:lineRule="exact"/>
        <w:rPr>
          <w:sz w:val="20"/>
          <w:szCs w:val="20"/>
          <w:color w:val="auto"/>
        </w:rPr>
      </w:pPr>
    </w:p>
    <w:p>
      <w:pPr>
        <w:ind w:right="200" w:firstLine="449"/>
        <w:spacing w:after="0" w:line="298" w:lineRule="auto"/>
        <w:rPr>
          <w:sz w:val="20"/>
          <w:szCs w:val="20"/>
          <w:color w:val="auto"/>
        </w:rPr>
      </w:pPr>
      <w:r>
        <w:rPr>
          <w:rFonts w:ascii="Arial" w:cs="Arial" w:eastAsia="Arial" w:hAnsi="Arial"/>
          <w:sz w:val="16"/>
          <w:szCs w:val="16"/>
          <w:color w:val="auto"/>
        </w:rPr>
        <w:t>Investment income for the fiscal year ended September 30, 2009, was $45.1 million, and was primarily attributable to $24.1 million from subordinated debt investments, $12.2 million from second lien secured debt investments, and $6.0 million from senior secured loan investments for the same period. The remaining investment income was primarily attributed to interest income from net accretion of discount and amortization of premium. The increase in investment income from fiscal year 2008 to 2009 was due to the growth in our overall portfolio.</w:t>
      </w:r>
    </w:p>
    <w:p>
      <w:pPr>
        <w:spacing w:after="0" w:line="11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Investment income for the fiscal year ended September 30, 2008, was $39.8 million, and was primarily attributable to $16.2 from senior secured loan investments, $14.7 million from second lien secured debt investments, and $7.2 million from subordinated debt investments for the same period. The remaining investment income was primarily attributed to interest income from short-term investments and to net accretion of discount and amortization of premium. The increase in investment income from fiscal year 2007 to 2008 was due to the growth of our portfolio and the transition of the portfolio from temporary to long-term investments.</w:t>
      </w:r>
    </w:p>
    <w:p>
      <w:pPr>
        <w:spacing w:after="0" w:line="147" w:lineRule="exact"/>
        <w:rPr>
          <w:sz w:val="20"/>
          <w:szCs w:val="20"/>
          <w:color w:val="auto"/>
        </w:rPr>
      </w:pPr>
    </w:p>
    <w:p>
      <w:pPr>
        <w:ind w:right="440" w:firstLine="449"/>
        <w:spacing w:after="0" w:line="268" w:lineRule="auto"/>
        <w:rPr>
          <w:sz w:val="20"/>
          <w:szCs w:val="20"/>
          <w:color w:val="auto"/>
        </w:rPr>
      </w:pPr>
      <w:r>
        <w:rPr>
          <w:rFonts w:ascii="Arial" w:cs="Arial" w:eastAsia="Arial" w:hAnsi="Arial"/>
          <w:sz w:val="18"/>
          <w:szCs w:val="18"/>
          <w:color w:val="auto"/>
        </w:rPr>
        <w:t>Investment income for the period from January 11, 2007 (inception) through September 30, 2007 was $13.1 million and was primarily attributed to senior secured loan investments.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77" w:lineRule="exact"/>
        <w:rPr>
          <w:sz w:val="20"/>
          <w:szCs w:val="20"/>
          <w:color w:val="auto"/>
        </w:rPr>
      </w:pPr>
    </w:p>
    <w:p>
      <w:pPr>
        <w:ind w:right="180" w:firstLine="449"/>
        <w:spacing w:after="0" w:line="256" w:lineRule="auto"/>
        <w:rPr>
          <w:sz w:val="20"/>
          <w:szCs w:val="20"/>
          <w:color w:val="auto"/>
        </w:rPr>
      </w:pPr>
      <w:r>
        <w:rPr>
          <w:rFonts w:ascii="Arial" w:cs="Arial" w:eastAsia="Arial" w:hAnsi="Arial"/>
          <w:sz w:val="18"/>
          <w:szCs w:val="18"/>
          <w:color w:val="auto"/>
        </w:rPr>
        <w:t>Expenses for the fiscal year ended September 30, 2009, totaled $22.4 million. Base management fee for the same period totaled $7.7 million, performance-based incentive fee totaled $5.7 million, credit facility related expense totaled $4.6 million and general and administrative expenses totaled $4.4 million. The increases in expenses from fiscal year 2008 to 2009 were primarily due to the growth of our portfolio and offset by the reduced borrowing costs under our credit facility.</w:t>
      </w:r>
    </w:p>
    <w:p>
      <w:pPr>
        <w:spacing w:after="0" w:line="143"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Net expenses for the fiscal year ended September 30, 2008, totaled $21.2 million. Net base management fee for the same period totaled $6.7 million, performance-based incentive fee totaled $3.8 million, credit facility related expense totaled $6.3 million and general and administrative expenses totaled $4.4 million. The increases in expenses from fiscal year 2007 to 2008 were due to the growth of our portfolio and the incurrence of additional borrowing costs under our credit facility.</w:t>
      </w:r>
    </w:p>
    <w:p>
      <w:pPr>
        <w:spacing w:after="0" w:line="143" w:lineRule="exact"/>
        <w:rPr>
          <w:sz w:val="20"/>
          <w:szCs w:val="20"/>
          <w:color w:val="auto"/>
        </w:rPr>
      </w:pPr>
    </w:p>
    <w:p>
      <w:pPr>
        <w:ind w:right="40" w:firstLine="449"/>
        <w:spacing w:after="0" w:line="298" w:lineRule="auto"/>
        <w:rPr>
          <w:sz w:val="20"/>
          <w:szCs w:val="20"/>
          <w:color w:val="auto"/>
        </w:rPr>
      </w:pPr>
      <w:r>
        <w:rPr>
          <w:rFonts w:ascii="Arial" w:cs="Arial" w:eastAsia="Arial" w:hAnsi="Arial"/>
          <w:sz w:val="16"/>
          <w:szCs w:val="16"/>
          <w:color w:val="auto"/>
        </w:rPr>
        <w:t>Net expenses for the period from January 11, 2007 (inception) through September 30, 2007 were $5.8 million. Of these totals, $1.8 million was attributable to credit facility related expenses, and $2.1 million to general and administrative expenses (including approximately $0.3 million non-recurring, primarily legal and corporate tax expenses). Net base management fee for both periods totaled $1.9 million. PennantPark Investment Advisers did not receive a management or incentive fee for its service performed on our behalf prior to completion of our initial public offering on April 24, 2007.</w:t>
      </w:r>
    </w:p>
    <w:p>
      <w:pPr>
        <w:sectPr>
          <w:pgSz w:w="11900" w:h="16838" w:orient="portrait"/>
          <w:cols w:equalWidth="0" w:num="1">
            <w:col w:w="11240"/>
          </w:cols>
          <w:pgMar w:left="320" w:top="45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Net Investment Income</w:t>
      </w:r>
    </w:p>
    <w:p>
      <w:pPr>
        <w:spacing w:after="0" w:line="177" w:lineRule="exact"/>
        <w:rPr>
          <w:sz w:val="20"/>
          <w:szCs w:val="20"/>
          <w:color w:val="auto"/>
        </w:rPr>
      </w:pPr>
    </w:p>
    <w:p>
      <w:pPr>
        <w:ind w:right="340" w:firstLine="449"/>
        <w:spacing w:after="0" w:line="369" w:lineRule="auto"/>
        <w:rPr>
          <w:sz w:val="20"/>
          <w:szCs w:val="20"/>
          <w:color w:val="auto"/>
        </w:rPr>
      </w:pPr>
      <w:r>
        <w:rPr>
          <w:rFonts w:ascii="Arial" w:cs="Arial" w:eastAsia="Arial" w:hAnsi="Arial"/>
          <w:sz w:val="15"/>
          <w:szCs w:val="15"/>
          <w:color w:val="auto"/>
        </w:rPr>
        <w:t>Net investment income totaled $22.7 million or $1.08 per share and $18.6 million or $0.88 per share, respectively, for the fiscal years ended September 30, 2009 and 2008, and $7.3 million or $0.35 per share for the period from January 11, 2007 (inception) through September 30, 2007.</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Loss</w:t>
      </w:r>
    </w:p>
    <w:p>
      <w:pPr>
        <w:spacing w:after="0" w:line="177" w:lineRule="exact"/>
        <w:rPr>
          <w:sz w:val="20"/>
          <w:szCs w:val="20"/>
          <w:color w:val="auto"/>
        </w:rPr>
      </w:pPr>
    </w:p>
    <w:p>
      <w:pPr>
        <w:ind w:firstLine="449"/>
        <w:spacing w:after="0" w:line="306" w:lineRule="auto"/>
        <w:rPr>
          <w:sz w:val="20"/>
          <w:szCs w:val="20"/>
          <w:color w:val="auto"/>
        </w:rPr>
      </w:pPr>
      <w:r>
        <w:rPr>
          <w:rFonts w:ascii="Arial" w:cs="Arial" w:eastAsia="Arial" w:hAnsi="Arial"/>
          <w:sz w:val="16"/>
          <w:szCs w:val="16"/>
          <w:color w:val="auto"/>
        </w:rPr>
        <w:t>Sales and repayments of long-term investments for the fiscal years ended September 30, 2009 and 2008, totaled $28.0 million and $70.1 million, respectively, and net realized losses totaled $39.2 and $11.2 million, respectively. Sales and repayments of long-term investments for the period from January 11, 2007 (inception) through September 30, 2007 totaled $99.6 million and net realized losses totaled approximately $0.1 million.</w:t>
      </w:r>
    </w:p>
    <w:p>
      <w:pPr>
        <w:spacing w:after="0" w:line="9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620"/>
          </w:cols>
          <w:pgMar w:left="320" w:top="125" w:right="9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Appreciation (Depreciation) on Investments, Cash Equivalents and Credit Facility</w:t>
      </w:r>
    </w:p>
    <w:p>
      <w:pPr>
        <w:spacing w:after="0" w:line="177"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Net unrealized appreciation (depreciation) on investments and cash equivalents totaled $44.5 million, $(48.1) million and $(23.9) million for the fiscal years ended September 30, 2009, 2008 and for the period from January 11, 2007 (inception) through September 30, 2007, respectively. Net unrealized appreciation on the credit facility totaled $7.8 million for the fiscal year ended September 30, 2009.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Increase/Decrease in Net Assets Resulting From Operations</w:t>
      </w:r>
    </w:p>
    <w:p>
      <w:pPr>
        <w:spacing w:after="0" w:line="177" w:lineRule="exact"/>
        <w:rPr>
          <w:sz w:val="20"/>
          <w:szCs w:val="20"/>
          <w:color w:val="auto"/>
        </w:rPr>
      </w:pPr>
    </w:p>
    <w:p>
      <w:pPr>
        <w:ind w:right="40" w:firstLine="449"/>
        <w:spacing w:after="0" w:line="294" w:lineRule="auto"/>
        <w:rPr>
          <w:sz w:val="20"/>
          <w:szCs w:val="20"/>
          <w:color w:val="auto"/>
        </w:rPr>
      </w:pPr>
      <w:r>
        <w:rPr>
          <w:rFonts w:ascii="Arial" w:cs="Arial" w:eastAsia="Arial" w:hAnsi="Arial"/>
          <w:sz w:val="16"/>
          <w:szCs w:val="16"/>
          <w:color w:val="auto"/>
        </w:rPr>
        <w:t>Net increase in net assets resulting from operations totaled $35.8 million, or $1.70 per share, for the fiscal year ended September 30, 2009, primarily due to the overall increases in market values for investments held in our portfolio and the decrease in the fair value of our credit facility, offset by realized losses. Net decrease in net assets resulting from operations totaled $40.7 million, or $1.93 per share, for the fiscal year ended September 30, 2008, primarily due to the overall decline in market values for investments held in our portfolio. Net decrease in net assets resulting from operations totaled $16.7 million, or $0.80 per share for the period from January 11, 2007 (inception) through September 30, 2007.</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7" w:lineRule="exact"/>
        <w:rPr>
          <w:sz w:val="20"/>
          <w:szCs w:val="20"/>
          <w:color w:val="auto"/>
        </w:rPr>
      </w:pPr>
    </w:p>
    <w:p>
      <w:pPr>
        <w:ind w:right="60" w:firstLine="449"/>
        <w:spacing w:after="0" w:line="294" w:lineRule="auto"/>
        <w:rPr>
          <w:sz w:val="20"/>
          <w:szCs w:val="20"/>
          <w:color w:val="auto"/>
        </w:rPr>
      </w:pPr>
      <w:r>
        <w:rPr>
          <w:rFonts w:ascii="Arial" w:cs="Arial" w:eastAsia="Arial" w:hAnsi="Arial"/>
          <w:sz w:val="16"/>
          <w:szCs w:val="16"/>
          <w:color w:val="auto"/>
        </w:rPr>
        <w:t>On June 25, 2007, PennantPark Investment entered into a senior secured revolving credit agreement, or our credit facility, among us, various lenders and SunTrust Bank, as administrative agent for the lenders. SunTrust Robinson Humphrey Capital Markets acted as the joint lead arranger and JPMorgan Chase (Chase Lincoln First Commercial successor interest of Bear Stearns Corporate Lending Inc.) acted as joint lead arranger and syndication agent. As of September 30, 2009, PennantPark Investment had outstanding borrowings of $225.1 million (including a $7.0 million temporary draw) with a fair value of $175.5 million, with a weighted average interest rate at the time of 1.31% exclusive of the fee on undrawn commitment of 0.20%.</w:t>
      </w:r>
    </w:p>
    <w:p>
      <w:pPr>
        <w:spacing w:after="0" w:line="115" w:lineRule="exact"/>
        <w:rPr>
          <w:sz w:val="20"/>
          <w:szCs w:val="20"/>
          <w:color w:val="auto"/>
        </w:rPr>
      </w:pPr>
    </w:p>
    <w:p>
      <w:pPr>
        <w:ind w:right="220" w:firstLine="449"/>
        <w:spacing w:after="0" w:line="306" w:lineRule="auto"/>
        <w:rPr>
          <w:sz w:val="20"/>
          <w:szCs w:val="20"/>
          <w:color w:val="auto"/>
        </w:rPr>
      </w:pPr>
      <w:r>
        <w:rPr>
          <w:rFonts w:ascii="Arial" w:cs="Arial" w:eastAsia="Arial" w:hAnsi="Arial"/>
          <w:sz w:val="16"/>
          <w:szCs w:val="16"/>
          <w:color w:val="auto"/>
        </w:rPr>
        <w:t>Under the credit facility, the lenders agreed to extend us credit in an initial aggregate principal or face amount not exceeding $300.0 million at any one time outstanding. The credit facility is a five-year revolving facility (with a stated maturity date of June 25, 2012) and is secured by substantially all of our investment portfolio assets. Pricing of borrowings under our credit facility is set at 100 basis points over LIBOR.</w:t>
      </w:r>
    </w:p>
    <w:p>
      <w:pPr>
        <w:spacing w:after="0" w:line="106" w:lineRule="exact"/>
        <w:rPr>
          <w:sz w:val="20"/>
          <w:szCs w:val="20"/>
          <w:color w:val="auto"/>
        </w:rPr>
      </w:pPr>
    </w:p>
    <w:p>
      <w:pPr>
        <w:ind w:right="60" w:firstLine="449"/>
        <w:spacing w:after="0" w:line="285" w:lineRule="auto"/>
        <w:rPr>
          <w:sz w:val="20"/>
          <w:szCs w:val="20"/>
          <w:color w:val="auto"/>
        </w:rPr>
      </w:pPr>
      <w:r>
        <w:rPr>
          <w:rFonts w:ascii="Arial" w:cs="Arial" w:eastAsia="Arial" w:hAnsi="Arial"/>
          <w:sz w:val="16"/>
          <w:szCs w:val="16"/>
          <w:color w:val="auto"/>
        </w:rPr>
        <w:t>The credit facility contains affirmative and restrictive covenants, including: (a) periodic financial reporting requirements, (b) maintenance of a minimum shareholders’ equity of the greater of (i) 40% of the total assets of PennantPark Investment and its subsidiaries as of the last day of any fiscal quarter and</w:t>
      </w:r>
    </w:p>
    <w:p>
      <w:pPr>
        <w:spacing w:after="0" w:line="1" w:lineRule="exact"/>
        <w:rPr>
          <w:sz w:val="20"/>
          <w:szCs w:val="20"/>
          <w:color w:val="auto"/>
        </w:rPr>
      </w:pPr>
    </w:p>
    <w:p>
      <w:pPr>
        <w:ind w:right="80" w:firstLine="8"/>
        <w:spacing w:after="0" w:line="300" w:lineRule="auto"/>
        <w:tabs>
          <w:tab w:leader="none" w:pos="258"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sum of (A) $120,000,000 plus (B) 25% of the net proceeds from the sale of equity interests in PennantPark Investment and its subsidiaries after the closing date of the credit facility, (c) maintenance of a ratio of total assets (less total liabilities other than indebtedness) to total indebtedness, in each case of PennantPark Investment, of not less than 2.0:1.0, (d) maintenance of minimum liquidity standards, (e) limitations on the incurrence of additional indebtedness,</w:t>
      </w:r>
    </w:p>
    <w:p>
      <w:pPr>
        <w:spacing w:after="0" w:line="1" w:lineRule="exact"/>
        <w:rPr>
          <w:rFonts w:ascii="Arial" w:cs="Arial" w:eastAsia="Arial" w:hAnsi="Arial"/>
          <w:sz w:val="15"/>
          <w:szCs w:val="15"/>
          <w:color w:val="auto"/>
        </w:rPr>
      </w:pPr>
    </w:p>
    <w:p>
      <w:pPr>
        <w:ind w:right="40" w:firstLine="8"/>
        <w:spacing w:after="0" w:line="288" w:lineRule="auto"/>
        <w:tabs>
          <w:tab w:leader="none" w:pos="219" w:val="left"/>
        </w:tabs>
        <w:numPr>
          <w:ilvl w:val="0"/>
          <w:numId w:val="34"/>
        </w:numPr>
        <w:rPr>
          <w:rFonts w:ascii="Arial" w:cs="Arial" w:eastAsia="Arial" w:hAnsi="Arial"/>
          <w:sz w:val="16"/>
          <w:szCs w:val="16"/>
          <w:color w:val="auto"/>
        </w:rPr>
      </w:pPr>
      <w:r>
        <w:rPr>
          <w:rFonts w:ascii="Arial" w:cs="Arial" w:eastAsia="Arial" w:hAnsi="Arial"/>
          <w:sz w:val="16"/>
          <w:szCs w:val="16"/>
          <w:color w:val="auto"/>
        </w:rPr>
        <w:t>limitations on liens, (g) limitations on fundamental corporate changes, (h) limitations on investments (other than PennantPark Investment’s portfolio investments and certain other ordinary course investments), (i) limitations on payments and distributions (other than distributions to PennantPark Investment’s shareholders as contemplated to maintain RIC status), (j) limitations on transactions with affiliates, (k) limitations on engaging in business not contemplated by PennantPark Investment’s investment objectives, and (l) limitations on the creation or existence of agreements that prohibit liens on properties of PennantPark Investment and its subsidiaries. In addition to the asset coverage ratio described in clause (c) of the preceding sentence, borrowings under our credit facility (and the incurrence of certain other permitted debt) will be subject to compliance with a borrowing base that will apply different advance rates to different types of assets in PennantPark Investment’s portfolio.</w:t>
      </w:r>
    </w:p>
    <w:p>
      <w:pPr>
        <w:spacing w:after="0" w:line="122" w:lineRule="exact"/>
        <w:rPr>
          <w:sz w:val="20"/>
          <w:szCs w:val="20"/>
          <w:color w:val="auto"/>
        </w:rPr>
      </w:pPr>
    </w:p>
    <w:p>
      <w:pPr>
        <w:ind w:right="80" w:firstLine="449"/>
        <w:spacing w:after="0" w:line="290" w:lineRule="auto"/>
        <w:rPr>
          <w:sz w:val="20"/>
          <w:szCs w:val="20"/>
          <w:color w:val="auto"/>
        </w:rPr>
      </w:pPr>
      <w:r>
        <w:rPr>
          <w:rFonts w:ascii="Arial" w:cs="Arial" w:eastAsia="Arial" w:hAnsi="Arial"/>
          <w:sz w:val="16"/>
          <w:szCs w:val="16"/>
          <w:color w:val="auto"/>
        </w:rPr>
        <w:t>PennantPark Investment has and may continue to raise additional equity or debt capital through a registered offering off a shelf registration or may securitize a portion of its investments among other considerations. In addition, debt capital, to the extent it is available under stressed credit market conditions, may be issued at a higher cost and on less favorable terms and conditions. Furthermore, our credit facility availability depends on (i) our asset coverage, which generally requires that the valuation of our total assets less liabilities other than indebtedness be at least equal to 200% of our indebtedness, (ii) our maintenance of a blended percentage of the values of our portfolio companies, and (iii) restrictions on certain payments and issuance of debt. The primary use of existing funds and any funds raised in the future is expected to be for repayment of indebtedness, investments in portfolio companies, cash distributions to our shareholders or for other general corporate purposes.</w:t>
      </w:r>
    </w:p>
    <w:p>
      <w:pPr>
        <w:spacing w:after="0" w:line="11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PennantPark Investment’s liquidity and capital resources are also generated and available from cash flows from operations, investment sales and repayments, and income earned. On August 25, 2009, our stockholders approved a proposal that authorizes us to sell shares of our common stock below the then current net asset value per share of our common stock in one or more offerings for a 12-month period. On September 29, 2009, we sold shares of our common stock below the then current net asset value per share of common stock. Any decision to sell shares of our common stock below the then current net asset value per share of our common stock in one or more offerings is subject to the determination by our board of directors that such issuance and sale is in our and our stockholders’ best interests. Any sale or other issuance of shares of our common stock at a price below net asset value per share has resulted and will continue to result in an immediate dilution to your interest in our common stock and a reduction of our net asset value per share.</w:t>
      </w:r>
    </w:p>
    <w:p>
      <w:pPr>
        <w:spacing w:after="0" w:line="118" w:lineRule="exact"/>
        <w:rPr>
          <w:sz w:val="20"/>
          <w:szCs w:val="20"/>
          <w:color w:val="auto"/>
        </w:rPr>
      </w:pPr>
    </w:p>
    <w:p>
      <w:pPr>
        <w:ind w:right="80" w:firstLine="449"/>
        <w:spacing w:after="0" w:line="331" w:lineRule="auto"/>
        <w:rPr>
          <w:sz w:val="20"/>
          <w:szCs w:val="20"/>
          <w:color w:val="auto"/>
        </w:rPr>
      </w:pPr>
      <w:r>
        <w:rPr>
          <w:rFonts w:ascii="Arial" w:cs="Arial" w:eastAsia="Arial" w:hAnsi="Arial"/>
          <w:sz w:val="16"/>
          <w:szCs w:val="16"/>
          <w:color w:val="auto"/>
        </w:rPr>
        <w:t>Our operating activities used cash of $42.4 million for the fiscal year ended September 30, 2009, and our financing activities provided net cash proceeds of $35.4 million for the same period, primarily from both proceeds on a follow-on public offering and net borrowings on our credit facility.</w:t>
      </w:r>
    </w:p>
    <w:p>
      <w:pPr>
        <w:spacing w:after="0" w:line="87" w:lineRule="exact"/>
        <w:rPr>
          <w:sz w:val="20"/>
          <w:szCs w:val="20"/>
          <w:color w:val="auto"/>
        </w:rPr>
      </w:pPr>
    </w:p>
    <w:p>
      <w:pPr>
        <w:ind w:right="60" w:firstLine="449"/>
        <w:spacing w:after="0" w:line="268" w:lineRule="auto"/>
        <w:rPr>
          <w:sz w:val="20"/>
          <w:szCs w:val="20"/>
          <w:color w:val="auto"/>
        </w:rPr>
      </w:pPr>
      <w:r>
        <w:rPr>
          <w:rFonts w:ascii="Arial" w:cs="Arial" w:eastAsia="Arial" w:hAnsi="Arial"/>
          <w:sz w:val="18"/>
          <w:szCs w:val="18"/>
          <w:color w:val="auto"/>
        </w:rPr>
        <w:t>Our operating activities used cash of $390.7 million for the fiscal year ended September 30, 2008, and our financing activities provided cash proceeds of $173.0 million for the same period, primarily from net borrowings under our credit facility.</w:t>
      </w:r>
    </w:p>
    <w:p>
      <w:pPr>
        <w:spacing w:after="0" w:line="132" w:lineRule="exact"/>
        <w:rPr>
          <w:sz w:val="20"/>
          <w:szCs w:val="20"/>
          <w:color w:val="auto"/>
        </w:rPr>
      </w:pPr>
    </w:p>
    <w:p>
      <w:pPr>
        <w:ind w:right="460" w:firstLine="449"/>
        <w:spacing w:after="0" w:line="331" w:lineRule="auto"/>
        <w:rPr>
          <w:sz w:val="20"/>
          <w:szCs w:val="20"/>
          <w:color w:val="auto"/>
        </w:rPr>
      </w:pPr>
      <w:r>
        <w:rPr>
          <w:rFonts w:ascii="Arial" w:cs="Arial" w:eastAsia="Arial" w:hAnsi="Arial"/>
          <w:sz w:val="16"/>
          <w:szCs w:val="16"/>
          <w:color w:val="auto"/>
        </w:rPr>
        <w:t>Our operating activities used cash of $37.9 million for the period from January 11, 2007 (inception) through September 30, 2007 and our financing activities provided cash proceeds of $295.8 million for the same period, primarily from the issuance of our common stock.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7" w:lineRule="exact"/>
        <w:rPr>
          <w:sz w:val="20"/>
          <w:szCs w:val="20"/>
          <w:color w:val="auto"/>
        </w:rPr>
      </w:pPr>
    </w:p>
    <w:p>
      <w:pPr>
        <w:ind w:right="20" w:firstLine="449"/>
        <w:spacing w:after="0" w:line="268" w:lineRule="auto"/>
        <w:rPr>
          <w:sz w:val="20"/>
          <w:szCs w:val="20"/>
          <w:color w:val="auto"/>
        </w:rPr>
      </w:pPr>
      <w:r>
        <w:rPr>
          <w:rFonts w:ascii="Arial" w:cs="Arial" w:eastAsia="Arial" w:hAnsi="Arial"/>
          <w:sz w:val="18"/>
          <w:szCs w:val="18"/>
          <w:color w:val="auto"/>
        </w:rPr>
        <w:t>A summary of our significant contractual payment obligations for the repayment of outstanding borrowing under the multi-currency $300.0 million, five-year, revolving credit facility maturing in June 2012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ind w:left="160"/>
              <w:spacing w:after="0"/>
              <w:rPr>
                <w:sz w:val="20"/>
                <w:szCs w:val="20"/>
                <w:color w:val="auto"/>
              </w:rPr>
            </w:pPr>
            <w:r>
              <w:rPr>
                <w:rFonts w:ascii="Arial" w:cs="Arial" w:eastAsia="Arial" w:hAnsi="Arial"/>
                <w:sz w:val="13"/>
                <w:szCs w:val="13"/>
                <w:b w:val="1"/>
                <w:bCs w:val="1"/>
                <w:color w:val="auto"/>
                <w:w w:val="92"/>
              </w:rPr>
              <w:t>Payments due by period (millions)</w:t>
            </w: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29"/>
        </w:trPr>
        <w:tc>
          <w:tcPr>
            <w:tcW w:w="51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Less than</w:t>
            </w:r>
          </w:p>
        </w:tc>
        <w:tc>
          <w:tcPr>
            <w:tcW w:w="800" w:type="dxa"/>
            <w:vAlign w:val="bottom"/>
            <w:gridSpan w:val="2"/>
          </w:tcPr>
          <w:p>
            <w:pPr>
              <w:jc w:val="right"/>
              <w:ind w:right="93"/>
              <w:spacing w:after="0" w:line="129" w:lineRule="exact"/>
              <w:rPr>
                <w:sz w:val="20"/>
                <w:szCs w:val="20"/>
                <w:color w:val="auto"/>
              </w:rPr>
            </w:pPr>
            <w:r>
              <w:rPr>
                <w:rFonts w:ascii="Arial" w:cs="Arial" w:eastAsia="Arial" w:hAnsi="Arial"/>
                <w:sz w:val="13"/>
                <w:szCs w:val="13"/>
                <w:b w:val="1"/>
                <w:bCs w:val="1"/>
                <w:color w:val="auto"/>
              </w:rPr>
              <w:t>1-3</w:t>
            </w:r>
          </w:p>
        </w:tc>
        <w:tc>
          <w:tcPr>
            <w:tcW w:w="600" w:type="dxa"/>
            <w:vAlign w:val="bottom"/>
            <w:gridSpan w:val="2"/>
          </w:tcPr>
          <w:p>
            <w:pPr>
              <w:ind w:left="360"/>
              <w:spacing w:after="0" w:line="129" w:lineRule="exact"/>
              <w:rPr>
                <w:sz w:val="20"/>
                <w:szCs w:val="20"/>
                <w:color w:val="auto"/>
              </w:rPr>
            </w:pPr>
            <w:r>
              <w:rPr>
                <w:rFonts w:ascii="Arial" w:cs="Arial" w:eastAsia="Arial" w:hAnsi="Arial"/>
                <w:sz w:val="13"/>
                <w:szCs w:val="13"/>
                <w:b w:val="1"/>
                <w:bCs w:val="1"/>
                <w:color w:val="auto"/>
              </w:rPr>
              <w:t>3-5</w:t>
            </w:r>
          </w:p>
        </w:tc>
        <w:tc>
          <w:tcPr>
            <w:tcW w:w="30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9"/>
              </w:rPr>
              <w:t>More than</w:t>
            </w:r>
          </w:p>
        </w:tc>
      </w:tr>
      <w:tr>
        <w:trPr>
          <w:trHeight w:val="161"/>
        </w:trPr>
        <w:tc>
          <w:tcPr>
            <w:tcW w:w="5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Total</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1 year</w:t>
            </w:r>
          </w:p>
        </w:tc>
        <w:tc>
          <w:tcPr>
            <w:tcW w:w="300" w:type="dxa"/>
            <w:vAlign w:val="bottom"/>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years</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2"/>
              </w:rPr>
              <w:t>years</w:t>
            </w:r>
          </w:p>
        </w:tc>
        <w:tc>
          <w:tcPr>
            <w:tcW w:w="3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5 years</w:t>
            </w:r>
          </w:p>
        </w:tc>
      </w:tr>
      <w:tr>
        <w:trPr>
          <w:trHeight w:val="209"/>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11"/>
                <w:szCs w:val="11"/>
                <w:color w:val="auto"/>
              </w:rPr>
              <w:t>(1)</w:t>
            </w:r>
          </w:p>
        </w:tc>
        <w:tc>
          <w:tcPr>
            <w:tcW w:w="3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$225.1</w:t>
            </w:r>
            <w:r>
              <w:rPr>
                <w:rFonts w:ascii="Arial" w:cs="Arial" w:eastAsia="Arial" w:hAnsi="Arial"/>
                <w:sz w:val="11"/>
                <w:szCs w:val="11"/>
                <w:color w:val="auto"/>
              </w:rPr>
              <w:t>(2)</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0" w:lineRule="exact"/>
        <w:rPr>
          <w:sz w:val="20"/>
          <w:szCs w:val="20"/>
          <w:color w:val="auto"/>
        </w:rPr>
      </w:pPr>
    </w:p>
    <w:p>
      <w:pPr>
        <w:ind w:left="460" w:hanging="452"/>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of September 30, 2009, PennantPark Investment had $74.9 million of unused borrowing capacity under our credit facility, subject to maintenance of the applicable total assets to debt ratio of 200%, maintenance of a blended percentage of the values of our portfolio companies, and restrictions on certain payments and issuance of debt.</w:t>
      </w:r>
    </w:p>
    <w:p>
      <w:pPr>
        <w:sectPr>
          <w:pgSz w:w="11900" w:h="16838" w:orient="portrait"/>
          <w:cols w:equalWidth="0" w:num="1">
            <w:col w:w="11240"/>
          </w:cols>
          <w:pgMar w:left="320" w:top="459" w:right="339" w:bottom="0" w:gutter="0" w:footer="0" w:header="0"/>
        </w:sectPr>
      </w:pPr>
    </w:p>
    <w:bookmarkStart w:id="60" w:name="page61"/>
    <w:bookmarkEnd w:id="60"/>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Including a $7.0 million temporary draw.</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139"/>
          </w:cols>
          <w:pgMar w:left="320" w:top="131" w:right="1440"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right="240" w:firstLine="449"/>
        <w:spacing w:after="0" w:line="298"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renewed in February 2009, PennantPark Investment Advisers serves as our investment adviser in accordance with the terms of that Investment Management Agreement. Payments under our Investment Management Agreement in each reporting period is equal to (1) a management fee equal to a percentage of the value of our gross assets and (2) an incentive fee based on our performance. See Note 3 to the financial statements.</w:t>
      </w:r>
    </w:p>
    <w:p>
      <w:pPr>
        <w:spacing w:after="0" w:line="112" w:lineRule="exact"/>
        <w:rPr>
          <w:sz w:val="20"/>
          <w:szCs w:val="20"/>
          <w:color w:val="auto"/>
        </w:rPr>
      </w:pPr>
    </w:p>
    <w:p>
      <w:pPr>
        <w:ind w:right="160" w:firstLine="449"/>
        <w:spacing w:after="0" w:line="291" w:lineRule="auto"/>
        <w:rPr>
          <w:sz w:val="20"/>
          <w:szCs w:val="20"/>
          <w:color w:val="auto"/>
        </w:rPr>
      </w:pPr>
      <w:r>
        <w:rPr>
          <w:rFonts w:ascii="Arial" w:cs="Arial" w:eastAsia="Arial" w:hAnsi="Arial"/>
          <w:sz w:val="16"/>
          <w:szCs w:val="16"/>
          <w:color w:val="auto"/>
        </w:rPr>
        <w:t>Under our Administration Agreement, which was renewed in February 2009, PennantPark Investment Administration furnishes us with office facilities and administrative services necessary to conduct our day-to-day operations. If requested to provide managerial assistance to our portfolio companies,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 See Note 3 to the financial statements.</w:t>
      </w:r>
    </w:p>
    <w:p>
      <w:pPr>
        <w:spacing w:after="0" w:line="120" w:lineRule="exact"/>
        <w:rPr>
          <w:sz w:val="20"/>
          <w:szCs w:val="20"/>
          <w:color w:val="auto"/>
        </w:rPr>
      </w:pPr>
    </w:p>
    <w:p>
      <w:pPr>
        <w:ind w:right="80" w:firstLine="449"/>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color w:val="auto"/>
        </w:rPr>
        <w:t>In order to qualify as a RIC and to not be subject to corporate-level tax on income, we are required, under Subchapter M of the Code, to distribute at least 90% of the sum of our ordinary income and realized net short-term capital gains, if any, to our stockholders on an annual basis. Although not required for us to maintain our RIC tax status, we also must distribute at least 98% of our income (both ordinary income and net capital gains) in order to preclude the imposition of an entity level excise tax.</w:t>
      </w:r>
    </w:p>
    <w:p>
      <w:pPr>
        <w:spacing w:after="0" w:line="143" w:lineRule="exact"/>
        <w:rPr>
          <w:sz w:val="20"/>
          <w:szCs w:val="20"/>
          <w:color w:val="auto"/>
        </w:rPr>
      </w:pPr>
    </w:p>
    <w:p>
      <w:pPr>
        <w:ind w:right="20" w:firstLine="449"/>
        <w:spacing w:after="0" w:line="294" w:lineRule="auto"/>
        <w:rPr>
          <w:sz w:val="20"/>
          <w:szCs w:val="20"/>
          <w:color w:val="auto"/>
        </w:rPr>
      </w:pPr>
      <w:r>
        <w:rPr>
          <w:rFonts w:ascii="Arial" w:cs="Arial" w:eastAsia="Arial" w:hAnsi="Arial"/>
          <w:sz w:val="16"/>
          <w:szCs w:val="16"/>
          <w:color w:val="auto"/>
        </w:rPr>
        <w:t>During the fiscal years ended September 30, 2009, 2008, and for the period from January 11, 2007 (inception) through September 30, 2007, we paid to stockholders distributions of $0.96, $0.90 and $0.36 per share, respectively, for total distributions of $20.2 million, $19.0 million and $7.6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are determined by our board of directors.</w:t>
      </w:r>
    </w:p>
    <w:p>
      <w:pPr>
        <w:spacing w:after="0" w:line="194" w:lineRule="exact"/>
        <w:rPr>
          <w:sz w:val="20"/>
          <w:szCs w:val="20"/>
          <w:color w:val="auto"/>
        </w:rPr>
      </w:pPr>
    </w:p>
    <w:p>
      <w:pPr>
        <w:jc w:val="both"/>
        <w:ind w:right="60" w:firstLine="449"/>
        <w:spacing w:after="0" w:line="259" w:lineRule="auto"/>
        <w:rPr>
          <w:sz w:val="20"/>
          <w:szCs w:val="20"/>
          <w:color w:val="auto"/>
        </w:rPr>
      </w:pPr>
      <w:r>
        <w:rPr>
          <w:rFonts w:ascii="Arial" w:cs="Arial" w:eastAsia="Arial" w:hAnsi="Arial"/>
          <w:sz w:val="18"/>
          <w:szCs w:val="18"/>
          <w:color w:val="auto"/>
        </w:rPr>
        <w:t>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40"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In January 2009,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2009 and (3) 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w:t>
      </w:r>
    </w:p>
    <w:p>
      <w:pPr>
        <w:spacing w:after="0" w:line="118"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7" w:lineRule="exact"/>
        <w:rPr>
          <w:sz w:val="20"/>
          <w:szCs w:val="20"/>
          <w:color w:val="auto"/>
        </w:rPr>
      </w:pPr>
    </w:p>
    <w:p>
      <w:pPr>
        <w:jc w:val="both"/>
        <w:ind w:right="240" w:firstLine="449"/>
        <w:spacing w:after="0" w:line="335" w:lineRule="auto"/>
        <w:rPr>
          <w:sz w:val="20"/>
          <w:szCs w:val="20"/>
          <w:color w:val="auto"/>
        </w:rPr>
      </w:pPr>
      <w:r>
        <w:rPr>
          <w:rFonts w:ascii="Arial" w:cs="Arial" w:eastAsia="Arial" w:hAnsi="Arial"/>
          <w:sz w:val="15"/>
          <w:szCs w:val="15"/>
          <w:color w:val="auto"/>
        </w:rPr>
        <w:t>On September 16, 2009, our board of directors approved an issuance of shares of common stock at a price below our current net asset value per share and at a price per share that approximates the market value of our shares traded on the NASDAQ Global Select Market, less an underwriting discount, at the time of sale. Our board of directors unanimously believed that such issuance was in our best interest and in the best interests of our stockholders.</w:t>
      </w:r>
    </w:p>
    <w:p>
      <w:pPr>
        <w:sectPr>
          <w:pgSz w:w="11900" w:h="16838" w:orient="portrait"/>
          <w:cols w:equalWidth="0" w:num="1">
            <w:col w:w="11240"/>
          </w:cols>
          <w:pgMar w:left="320" w:top="459" w:right="339" w:bottom="1440" w:gutter="0" w:footer="0" w:header="0"/>
        </w:sectPr>
      </w:pP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459" w:right="3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60" w:firstLine="449"/>
        <w:spacing w:after="0" w:line="256" w:lineRule="auto"/>
        <w:rPr>
          <w:sz w:val="20"/>
          <w:szCs w:val="20"/>
          <w:color w:val="auto"/>
        </w:rPr>
      </w:pPr>
      <w:r>
        <w:rPr>
          <w:rFonts w:ascii="Arial" w:cs="Arial" w:eastAsia="Arial" w:hAnsi="Arial"/>
          <w:sz w:val="18"/>
          <w:szCs w:val="18"/>
          <w:color w:val="auto"/>
        </w:rPr>
        <w:t>On September 29, 2009, PennantPark Investment closed its follow-on public offering and sold 4,300,000 shares of common stock at a price of $8.00 per share, resulting in proceeds, net of underwriting fees and expenses, of $32.5 million. On October 13, 2009, the underwriters of our public offering exercised their over-allotment option under the underwriting agreement and elected to purchase an additional 440,000 shares of common stock at a price of $8.00 per share, resulting in proceeds, net of underwriting fees, of $3.3 million.</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During the period covered by this report, many of the loans in our portfolio had floating interest rates. These loans are usually based on a floating LIBOR rate and typically have durations of three months after which they reset to current market interest rates.</w:t>
      </w:r>
    </w:p>
    <w:p>
      <w:pPr>
        <w:spacing w:after="0" w:line="140" w:lineRule="exact"/>
        <w:rPr>
          <w:sz w:val="20"/>
          <w:szCs w:val="20"/>
          <w:color w:val="auto"/>
        </w:rPr>
      </w:pPr>
    </w:p>
    <w:p>
      <w:pPr>
        <w:jc w:val="both"/>
        <w:ind w:right="20" w:firstLine="449"/>
        <w:spacing w:after="0" w:line="302" w:lineRule="auto"/>
        <w:rPr>
          <w:sz w:val="20"/>
          <w:szCs w:val="20"/>
          <w:color w:val="auto"/>
        </w:rPr>
      </w:pPr>
      <w:r>
        <w:rPr>
          <w:rFonts w:ascii="Arial" w:cs="Arial" w:eastAsia="Arial" w:hAnsi="Arial"/>
          <w:sz w:val="15"/>
          <w:szCs w:val="15"/>
          <w:color w:val="auto"/>
        </w:rPr>
        <w:t>Assuming that the balance sheet as of September 30, 2009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Accordingly, no assurances can be given that actual results would not differ materially from the statement above.</w:t>
      </w:r>
    </w:p>
    <w:p>
      <w:pPr>
        <w:spacing w:after="0" w:line="165"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143"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periods covered by this Report, we did not engage in interest rate hedging activities.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459" w:right="3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120" w:type="dxa"/>
            <w:vAlign w:val="bottom"/>
            <w:gridSpan w:val="6"/>
          </w:tcPr>
          <w:p>
            <w:pPr>
              <w:ind w:left="220"/>
              <w:spacing w:after="0"/>
              <w:rPr>
                <w:sz w:val="20"/>
                <w:szCs w:val="20"/>
                <w:color w:val="auto"/>
              </w:rPr>
            </w:pPr>
            <w:r>
              <w:rPr>
                <w:rFonts w:ascii="Arial" w:cs="Arial" w:eastAsia="Arial" w:hAnsi="Arial"/>
                <w:sz w:val="18"/>
                <w:szCs w:val="18"/>
                <w:b w:val="1"/>
                <w:bCs w:val="1"/>
                <w:color w:val="auto"/>
              </w:rPr>
              <w:t>Financial Statements and Supplementary Data</w:t>
            </w:r>
          </w:p>
        </w:tc>
        <w:tc>
          <w:tcPr>
            <w:tcW w:w="340" w:type="dxa"/>
            <w:vAlign w:val="bottom"/>
          </w:tcPr>
          <w:p>
            <w:pPr>
              <w:spacing w:after="0"/>
              <w:rPr>
                <w:sz w:val="19"/>
                <w:szCs w:val="19"/>
                <w:color w:val="auto"/>
              </w:rPr>
            </w:pPr>
          </w:p>
        </w:tc>
      </w:tr>
      <w:tr>
        <w:trPr>
          <w:trHeight w:val="418"/>
        </w:trPr>
        <w:tc>
          <w:tcPr>
            <w:tcW w:w="10900" w:type="dxa"/>
            <w:vAlign w:val="bottom"/>
            <w:gridSpan w:val="8"/>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Management’s Report on Internal Control over Financial Reporting</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0900" w:type="dxa"/>
            <w:vAlign w:val="bottom"/>
            <w:gridSpan w:val="8"/>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Report of Independent Registered Public Accounting Firm</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0900" w:type="dxa"/>
            <w:vAlign w:val="bottom"/>
            <w:gridSpan w:val="8"/>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Report of Independent Registered Public Accounting Firm On Internal Control Over Financial Reporting</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0900" w:type="dxa"/>
            <w:vAlign w:val="bottom"/>
            <w:gridSpan w:val="8"/>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Statements of Assets and Liabilities as of September 30, 2009 and 2008</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86"/>
        </w:trPr>
        <w:tc>
          <w:tcPr>
            <w:tcW w:w="10900" w:type="dxa"/>
            <w:vAlign w:val="bottom"/>
            <w:gridSpan w:val="8"/>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Statements of Operations for the years ended September 30, 2009, 2008 and Consolidated Statement of Operations for the period from January 11, 2007</w:t>
              </w:r>
            </w:hyperlink>
          </w:p>
        </w:tc>
        <w:tc>
          <w:tcPr>
            <w:tcW w:w="34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28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69">
              <w:r>
                <w:rPr>
                  <w:rFonts w:ascii="Arial" w:cs="Arial" w:eastAsia="Arial" w:hAnsi="Arial"/>
                  <w:sz w:val="18"/>
                  <w:szCs w:val="18"/>
                  <w:color w:val="0000EE"/>
                  <w:w w:val="87"/>
                </w:rPr>
                <w:t>(inception) through September 30, 2007</w:t>
              </w:r>
            </w:hyperlink>
          </w:p>
        </w:tc>
        <w:tc>
          <w:tcPr>
            <w:tcW w:w="7700" w:type="dxa"/>
            <w:vAlign w:val="bottom"/>
            <w:tcBorders>
              <w:top w:val="single" w:sz="8" w:color="0000EE"/>
            </w:tcBorders>
            <w:gridSpan w:val="4"/>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304"/>
        </w:trPr>
        <w:tc>
          <w:tcPr>
            <w:tcW w:w="10900" w:type="dxa"/>
            <w:vAlign w:val="bottom"/>
            <w:gridSpan w:val="8"/>
          </w:tcPr>
          <w:p>
            <w:pPr>
              <w:spacing w:after="0"/>
              <w:rPr>
                <w:rFonts w:ascii="Arial" w:cs="Arial" w:eastAsia="Arial" w:hAnsi="Arial"/>
                <w:sz w:val="18"/>
                <w:szCs w:val="18"/>
                <w:color w:val="0000EE"/>
                <w:w w:val="88"/>
              </w:rPr>
            </w:pPr>
            <w:hyperlink w:anchor="page70">
              <w:r>
                <w:rPr>
                  <w:rFonts w:ascii="Arial" w:cs="Arial" w:eastAsia="Arial" w:hAnsi="Arial"/>
                  <w:sz w:val="18"/>
                  <w:szCs w:val="18"/>
                  <w:color w:val="0000EE"/>
                  <w:w w:val="88"/>
                </w:rPr>
                <w:t>Statements of Changes in Net Assets for the years ended September 30, 2009, 2008 and Consolidated Statement of Changes in Net Assets for the period</w:t>
              </w:r>
            </w:hyperlink>
          </w:p>
        </w:tc>
        <w:tc>
          <w:tcPr>
            <w:tcW w:w="34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5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from January 11, 2007 (inception) through September 30, 2007</w:t>
              </w:r>
            </w:hyperlink>
          </w:p>
        </w:tc>
        <w:tc>
          <w:tcPr>
            <w:tcW w:w="16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220" w:type="dxa"/>
            <w:vAlign w:val="bottom"/>
          </w:tcPr>
          <w:p>
            <w:pPr>
              <w:spacing w:after="0" w:line="20" w:lineRule="exact"/>
              <w:rPr>
                <w:sz w:val="1"/>
                <w:szCs w:val="1"/>
                <w:color w:val="auto"/>
              </w:rPr>
            </w:pPr>
          </w:p>
        </w:tc>
        <w:tc>
          <w:tcPr>
            <w:tcW w:w="322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04"/>
        </w:trPr>
        <w:tc>
          <w:tcPr>
            <w:tcW w:w="1046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71">
              <w:r>
                <w:rPr>
                  <w:rFonts w:ascii="Arial" w:cs="Arial" w:eastAsia="Arial" w:hAnsi="Arial"/>
                  <w:sz w:val="18"/>
                  <w:szCs w:val="18"/>
                  <w:color w:val="0000EE"/>
                  <w:w w:val="87"/>
                </w:rPr>
                <w:t>Statements of Cash Flows for the years ended September 30, 2009, 2008 and Consolidated Statement of Cash Flows for the period from January 11,</w:t>
              </w:r>
            </w:hyperlink>
          </w:p>
        </w:tc>
        <w:tc>
          <w:tcPr>
            <w:tcW w:w="44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322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71">
              <w:r>
                <w:rPr>
                  <w:rFonts w:ascii="Arial" w:cs="Arial" w:eastAsia="Arial" w:hAnsi="Arial"/>
                  <w:sz w:val="18"/>
                  <w:szCs w:val="18"/>
                  <w:color w:val="0000EE"/>
                  <w:w w:val="88"/>
                </w:rPr>
                <w:t>2007 (inception) through September 30, 2007</w:t>
              </w:r>
            </w:hyperlink>
          </w:p>
        </w:tc>
        <w:tc>
          <w:tcPr>
            <w:tcW w:w="746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343"/>
        </w:trPr>
        <w:tc>
          <w:tcPr>
            <w:tcW w:w="10900" w:type="dxa"/>
            <w:vAlign w:val="bottom"/>
            <w:gridSpan w:val="8"/>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Schedules of Investments as of September 30, 2009 and 2008</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0900" w:type="dxa"/>
            <w:vAlign w:val="bottom"/>
            <w:gridSpan w:val="8"/>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Notes to the Financial Statements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64"/>
        </w:trPr>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80" w:type="dxa"/>
            <w:vAlign w:val="bottom"/>
            <w:gridSpan w:val="4"/>
          </w:tcPr>
          <w:p>
            <w:pPr>
              <w:jc w:val="right"/>
              <w:ind w:right="4740"/>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40" w:firstLine="449"/>
        <w:spacing w:after="0" w:line="256" w:lineRule="auto"/>
        <w:rPr>
          <w:sz w:val="20"/>
          <w:szCs w:val="20"/>
          <w:color w:val="auto"/>
        </w:rPr>
      </w:pPr>
      <w:r>
        <w:rPr>
          <w:rFonts w:ascii="Arial" w:cs="Arial" w:eastAsia="Arial" w:hAnsi="Arial"/>
          <w:sz w:val="18"/>
          <w:szCs w:val="18"/>
          <w:color w:val="auto"/>
        </w:rPr>
        <w:t>The management of PennantPark Investment Corporation, except where the context suggests otherwise, the terms “we,” “us,” “our” and “PennantPark Investment” refer to PennantPark Investment Corporation, is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143" w:lineRule="exact"/>
        <w:rPr>
          <w:sz w:val="20"/>
          <w:szCs w:val="20"/>
          <w:color w:val="auto"/>
        </w:rPr>
      </w:pPr>
    </w:p>
    <w:p>
      <w:pPr>
        <w:ind w:firstLine="449"/>
        <w:spacing w:after="0" w:line="317" w:lineRule="auto"/>
        <w:rPr>
          <w:sz w:val="20"/>
          <w:szCs w:val="20"/>
          <w:color w:val="auto"/>
        </w:rPr>
      </w:pPr>
      <w:r>
        <w:rPr>
          <w:rFonts w:ascii="Arial" w:cs="Arial" w:eastAsia="Arial" w:hAnsi="Arial"/>
          <w:sz w:val="15"/>
          <w:szCs w:val="15"/>
          <w:color w:val="auto"/>
        </w:rPr>
        <w:t>PennantPark Investment’s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03" w:lineRule="exact"/>
        <w:rPr>
          <w:sz w:val="20"/>
          <w:szCs w:val="20"/>
          <w:color w:val="auto"/>
        </w:rPr>
      </w:pPr>
    </w:p>
    <w:p>
      <w:pPr>
        <w:ind w:right="60" w:firstLine="449"/>
        <w:spacing w:after="0" w:line="256"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ind w:right="120" w:firstLine="449"/>
        <w:spacing w:after="0" w:line="256" w:lineRule="auto"/>
        <w:rPr>
          <w:sz w:val="20"/>
          <w:szCs w:val="20"/>
          <w:color w:val="auto"/>
        </w:rPr>
      </w:pPr>
      <w:r>
        <w:rPr>
          <w:rFonts w:ascii="Arial" w:cs="Arial" w:eastAsia="Arial" w:hAnsi="Arial"/>
          <w:sz w:val="18"/>
          <w:szCs w:val="18"/>
          <w:color w:val="auto"/>
        </w:rPr>
        <w:t xml:space="preserve">Management assessed the effectiveness of PennantPark Investment’s internal control over financial reporting as of September 30, 2009. In making this assessment, we used the criteria set forth by the Committee of Sponsoring Organizations of the Treadway Commission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the assessment management believes that, as of September 30, 2009, our internal control over financial reporting is effective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those criteria.</w:t>
      </w:r>
    </w:p>
    <w:p>
      <w:pPr>
        <w:spacing w:after="0" w:line="143" w:lineRule="exact"/>
        <w:rPr>
          <w:sz w:val="20"/>
          <w:szCs w:val="20"/>
          <w:color w:val="auto"/>
        </w:rPr>
      </w:pPr>
    </w:p>
    <w:p>
      <w:pPr>
        <w:ind w:right="720" w:firstLine="449"/>
        <w:spacing w:after="0" w:line="331" w:lineRule="auto"/>
        <w:rPr>
          <w:sz w:val="20"/>
          <w:szCs w:val="20"/>
          <w:color w:val="auto"/>
        </w:rPr>
      </w:pPr>
      <w:r>
        <w:rPr>
          <w:rFonts w:ascii="Arial" w:cs="Arial" w:eastAsia="Arial" w:hAnsi="Arial"/>
          <w:sz w:val="16"/>
          <w:szCs w:val="16"/>
          <w:color w:val="auto"/>
        </w:rPr>
        <w:t>PennantPark Investment’s independent registered public accounting firm that audited the financial statements has issued an audit report on the effectiveness of our internal control over financial reporting as of September 30, 2009. This report appears on page 43.</w:t>
      </w:r>
    </w:p>
    <w:p>
      <w:pPr>
        <w:spacing w:after="0" w:line="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60"/>
          </w:cols>
          <w:pgMar w:left="32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ind w:right="40" w:firstLine="449"/>
        <w:spacing w:after="0" w:line="298" w:lineRule="auto"/>
        <w:rPr>
          <w:sz w:val="20"/>
          <w:szCs w:val="20"/>
          <w:color w:val="auto"/>
        </w:rPr>
      </w:pPr>
      <w:r>
        <w:rPr>
          <w:rFonts w:ascii="Arial" w:cs="Arial" w:eastAsia="Arial" w:hAnsi="Arial"/>
          <w:sz w:val="16"/>
          <w:szCs w:val="16"/>
          <w:color w:val="auto"/>
        </w:rPr>
        <w:t>We have audited the accompanying statements of assets and liabilities of PennantPark Investment Corporation (the “Company”) as of September 30, 2009 and 2008, including the schedules of investments, and the related statements of operations, changes in net assets, and cash flows for the years ended September 30, 2009, 2008 and for the period from January 11, 2007 (inception) through September 30, 2007. These financial statements are the responsibility of the Company’s management. Our responsibility is to express an opinion on these financial statements based on our audits.</w:t>
      </w:r>
    </w:p>
    <w:p>
      <w:pPr>
        <w:spacing w:after="0" w:line="11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7" w:lineRule="exact"/>
        <w:rPr>
          <w:sz w:val="20"/>
          <w:szCs w:val="20"/>
          <w:color w:val="auto"/>
        </w:rPr>
      </w:pPr>
    </w:p>
    <w:p>
      <w:pPr>
        <w:ind w:right="100" w:firstLine="449"/>
        <w:spacing w:after="0" w:line="30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PennantPark Investment Corporation as of September 30, 2009 and 2008, and the results of its operations and its cash flows for the years ended September 30, 2009, 2008 and for the period from January 11, 2007 (inception) through September 30, 2007, in conformity with U.S. generally accepted accounting principles.</w:t>
      </w:r>
    </w:p>
    <w:p>
      <w:pPr>
        <w:spacing w:after="0" w:line="106" w:lineRule="exact"/>
        <w:rPr>
          <w:sz w:val="20"/>
          <w:szCs w:val="20"/>
          <w:color w:val="auto"/>
        </w:rPr>
      </w:pPr>
    </w:p>
    <w:p>
      <w:pPr>
        <w:ind w:right="180" w:firstLine="449"/>
        <w:spacing w:after="0" w:line="29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PennantPark Investment Corporation’s internal control over financial reporting as of September 30, 2009,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issued by the Committee of Sponsoring Organizations of the Treadway Commission (COSO), and our report dated November 18, 2009 expressed an unqualified opinion on the effectiveness of the Company’s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18, 2009</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 xml:space="preserve">We have audited PennantPark Investment Corporation’s (the “Company”) internal control over financial reporting as of September 30, 2009,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issued by the Committee of Sponsoring Organizations of the Treadway Commission (COSO). Management of the Company is responsible for maintaining effective internal control over financial reporting and for its assessment of the effectiveness of internal control over financial reporting, included on page 40 of the Annual Report on Form 10-K, and Item 9A., Controls and Procedures—Management’s Report on Internal Control Over Financial Reporting. Our responsibility is to express an opinion on the Company’s internal control over financial reporting based on our audit.</w:t>
      </w:r>
    </w:p>
    <w:p>
      <w:pPr>
        <w:spacing w:after="0" w:line="144" w:lineRule="exact"/>
        <w:rPr>
          <w:sz w:val="20"/>
          <w:szCs w:val="20"/>
          <w:color w:val="auto"/>
        </w:rPr>
      </w:pPr>
    </w:p>
    <w:p>
      <w:pPr>
        <w:ind w:right="140" w:firstLine="449"/>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5" w:lineRule="exact"/>
        <w:rPr>
          <w:sz w:val="20"/>
          <w:szCs w:val="20"/>
          <w:color w:val="auto"/>
        </w:rPr>
      </w:pPr>
    </w:p>
    <w:p>
      <w:pPr>
        <w:ind w:right="60" w:firstLine="449"/>
        <w:spacing w:after="0" w:line="25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4"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680" w:firstLine="449"/>
        <w:spacing w:after="0" w:line="268" w:lineRule="auto"/>
        <w:rPr>
          <w:sz w:val="20"/>
          <w:szCs w:val="20"/>
          <w:color w:val="auto"/>
        </w:rPr>
      </w:pPr>
      <w:r>
        <w:rPr>
          <w:rFonts w:ascii="Arial" w:cs="Arial" w:eastAsia="Arial" w:hAnsi="Arial"/>
          <w:sz w:val="18"/>
          <w:szCs w:val="18"/>
          <w:color w:val="auto"/>
        </w:rPr>
        <w:t xml:space="preserve">In our opinion, PennantPark Investment Corporation maintained, in all material respects, effective internal control over financial reporting as of September 30, 2009,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132" w:lineRule="exact"/>
        <w:rPr>
          <w:sz w:val="20"/>
          <w:szCs w:val="20"/>
          <w:color w:val="auto"/>
        </w:rPr>
      </w:pPr>
    </w:p>
    <w:p>
      <w:pPr>
        <w:ind w:right="20" w:firstLine="449"/>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statements of assets and liabilities of PennantPark Investment Corporation as of September 30, 2009 and 2008, including the schedules of investments, and the related statements of operations, changes in net assets, and cash flows for the years ended September 30, 2009, 2008 and for the period from January 11, 2007 (inception) through September 30, 2007, and our report dated November 18, 2009 expressed an unqualified opinion on those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18, 2009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459" w:right="3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60" w:type="dxa"/>
            <w:vAlign w:val="bottom"/>
          </w:tcPr>
          <w:p>
            <w:pPr>
              <w:spacing w:after="0"/>
              <w:rPr>
                <w:sz w:val="13"/>
                <w:szCs w:val="13"/>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w w:val="98"/>
              </w:rPr>
              <w:t>September 30,</w:t>
            </w:r>
          </w:p>
        </w:tc>
        <w:tc>
          <w:tcPr>
            <w:tcW w:w="108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8"/>
              </w:rPr>
              <w:t>September 30,</w:t>
            </w:r>
          </w:p>
        </w:tc>
        <w:tc>
          <w:tcPr>
            <w:tcW w:w="0" w:type="dxa"/>
            <w:vAlign w:val="bottom"/>
          </w:tcPr>
          <w:p>
            <w:pPr>
              <w:spacing w:after="0"/>
              <w:rPr>
                <w:sz w:val="1"/>
                <w:szCs w:val="1"/>
                <w:color w:val="auto"/>
              </w:rPr>
            </w:pPr>
          </w:p>
        </w:tc>
      </w:tr>
      <w:tr>
        <w:trPr>
          <w:trHeight w:val="161"/>
        </w:trPr>
        <w:tc>
          <w:tcPr>
            <w:tcW w:w="8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2009</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Non-controlled, non-affiliated investments, at fair value (cost—$479,909,805 and $427,481,745,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453,644,335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354,261,950</w:t>
            </w:r>
          </w:p>
        </w:tc>
        <w:tc>
          <w:tcPr>
            <w:tcW w:w="0" w:type="dxa"/>
            <w:vAlign w:val="bottom"/>
          </w:tcPr>
          <w:p>
            <w:pPr>
              <w:spacing w:after="0"/>
              <w:rPr>
                <w:sz w:val="1"/>
                <w:szCs w:val="1"/>
                <w:color w:val="auto"/>
              </w:rPr>
            </w:pPr>
          </w:p>
        </w:tc>
      </w:tr>
      <w:tr>
        <w:trPr>
          <w:trHeight w:val="223"/>
        </w:trPr>
        <w:tc>
          <w:tcPr>
            <w:tcW w:w="8860" w:type="dxa"/>
            <w:vAlign w:val="bottom"/>
          </w:tcPr>
          <w:p>
            <w:pPr>
              <w:ind w:left="440"/>
              <w:spacing w:after="0"/>
              <w:rPr>
                <w:sz w:val="20"/>
                <w:szCs w:val="20"/>
                <w:color w:val="auto"/>
              </w:rPr>
            </w:pPr>
            <w:r>
              <w:rPr>
                <w:rFonts w:ascii="Arial" w:cs="Arial" w:eastAsia="Arial" w:hAnsi="Arial"/>
                <w:sz w:val="18"/>
                <w:szCs w:val="18"/>
                <w:color w:val="auto"/>
              </w:rPr>
              <w:t>Non-controlled, affiliated investments, at fair value (cost—$17,378,081 and $16,692,261, respectively)</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16,115,738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17,885,870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of Investments, at fair value (cost—$497,287,886 and $444,174,006, respectively)</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469,760,073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372,147,820</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Cash equivalents (See Note 8)</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33,247,666</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40,249,201</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5,539,056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6,046,199</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Receivables for investments sold</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2,726,007</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1,108,567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60" w:type="dxa"/>
            <w:vAlign w:val="bottom"/>
          </w:tcPr>
          <w:p>
            <w:pPr>
              <w:ind w:left="8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512,381,369</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419,810,699</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Distributions payable</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5,056,505</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5,056,505</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19,489,525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Unfunded investments</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6,331,385</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 (fair value: $175,475,380 and $160,204,000, respectively, and cost: $225,100,000 and</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$202,000,000, respectively), (See Notes 5 and 11)</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175,475,380</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202,000,000</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Interest payable on credit facility</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72,788</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725,317</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(See Note 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2,220,110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85,896</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1,508,164</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123,033</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1,647,244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60" w:type="dxa"/>
            <w:vAlign w:val="bottom"/>
          </w:tcPr>
          <w:p>
            <w:pPr>
              <w:ind w:left="88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211,801,101</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209,082,439</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60" w:type="dxa"/>
            <w:vAlign w:val="bottom"/>
          </w:tcPr>
          <w:p>
            <w:pPr>
              <w:spacing w:after="0"/>
              <w:rPr>
                <w:sz w:val="20"/>
                <w:szCs w:val="20"/>
                <w:color w:val="auto"/>
              </w:rPr>
            </w:pPr>
            <w:r>
              <w:rPr>
                <w:rFonts w:ascii="Arial" w:cs="Arial" w:eastAsia="Arial" w:hAnsi="Arial"/>
                <w:sz w:val="18"/>
                <w:szCs w:val="18"/>
                <w:color w:val="auto"/>
                <w:w w:val="90"/>
              </w:rPr>
              <w:t>Common stock, par value $0.001 per share, 100,000,000 shares authorized and 25,368,772 and 21,068,772 shares issued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60" w:type="dxa"/>
            <w:vAlign w:val="bottom"/>
          </w:tcPr>
          <w:p>
            <w:pPr>
              <w:ind w:left="220"/>
              <w:spacing w:after="0"/>
              <w:rPr>
                <w:sz w:val="20"/>
                <w:szCs w:val="20"/>
                <w:color w:val="auto"/>
              </w:rPr>
            </w:pPr>
            <w:r>
              <w:rPr>
                <w:rFonts w:ascii="Arial" w:cs="Arial" w:eastAsia="Arial" w:hAnsi="Arial"/>
                <w:sz w:val="18"/>
                <w:szCs w:val="18"/>
                <w:color w:val="auto"/>
              </w:rPr>
              <w:t>and outstanding, respectively</w:t>
            </w:r>
          </w:p>
        </w:tc>
        <w:tc>
          <w:tcPr>
            <w:tcW w:w="10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25,369</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21,069</w:t>
            </w:r>
          </w:p>
        </w:tc>
        <w:tc>
          <w:tcPr>
            <w:tcW w:w="0" w:type="dxa"/>
            <w:vAlign w:val="bottom"/>
          </w:tcPr>
          <w:p>
            <w:pPr>
              <w:spacing w:after="0"/>
              <w:rPr>
                <w:sz w:val="1"/>
                <w:szCs w:val="1"/>
                <w:color w:val="auto"/>
              </w:rPr>
            </w:pPr>
          </w:p>
        </w:tc>
      </w:tr>
      <w:tr>
        <w:trPr>
          <w:trHeight w:val="217"/>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327,062,304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294,586,604</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Undistributed (distributions in excess of) net investment income</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1,890,235</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(602,660)</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(50,494,447)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(11,250,567)</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Net unrealized depreciation on investments and cash equivalents</w:t>
            </w: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(27,527,813)</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(72,026,186)</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 on credit facility (See Note 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41,796,000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6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7,828,620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300,580,268</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210,728,260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6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512,381,369</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419,810,699</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459"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Period from</w:t>
            </w:r>
          </w:p>
        </w:tc>
        <w:tc>
          <w:tcPr>
            <w:tcW w:w="0" w:type="dxa"/>
            <w:vAlign w:val="bottom"/>
          </w:tcPr>
          <w:p>
            <w:pPr>
              <w:spacing w:after="0"/>
              <w:rPr>
                <w:sz w:val="1"/>
                <w:szCs w:val="1"/>
                <w:color w:val="auto"/>
              </w:rPr>
            </w:pPr>
          </w:p>
        </w:tc>
      </w:tr>
      <w:tr>
        <w:trPr>
          <w:trHeight w:val="148"/>
        </w:trPr>
        <w:tc>
          <w:tcPr>
            <w:tcW w:w="7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January 11,</w:t>
            </w:r>
          </w:p>
        </w:tc>
        <w:tc>
          <w:tcPr>
            <w:tcW w:w="0" w:type="dxa"/>
            <w:vAlign w:val="bottom"/>
          </w:tcPr>
          <w:p>
            <w:pPr>
              <w:spacing w:after="0"/>
              <w:rPr>
                <w:sz w:val="1"/>
                <w:szCs w:val="1"/>
                <w:color w:val="auto"/>
              </w:rPr>
            </w:pPr>
          </w:p>
        </w:tc>
      </w:tr>
      <w:tr>
        <w:trPr>
          <w:trHeight w:val="148"/>
        </w:trPr>
        <w:tc>
          <w:tcPr>
            <w:tcW w:w="7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6"/>
              <w:spacing w:after="0"/>
              <w:rPr>
                <w:sz w:val="20"/>
                <w:szCs w:val="20"/>
                <w:color w:val="auto"/>
              </w:rPr>
            </w:pPr>
            <w:r>
              <w:rPr>
                <w:rFonts w:ascii="Arial" w:cs="Arial" w:eastAsia="Arial" w:hAnsi="Arial"/>
                <w:sz w:val="13"/>
                <w:szCs w:val="13"/>
                <w:b w:val="1"/>
                <w:bCs w:val="1"/>
                <w:color w:val="auto"/>
                <w:w w:val="96"/>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(inception)</w:t>
            </w:r>
          </w:p>
        </w:tc>
        <w:tc>
          <w:tcPr>
            <w:tcW w:w="0" w:type="dxa"/>
            <w:vAlign w:val="bottom"/>
          </w:tcPr>
          <w:p>
            <w:pPr>
              <w:spacing w:after="0"/>
              <w:rPr>
                <w:sz w:val="1"/>
                <w:szCs w:val="1"/>
                <w:color w:val="auto"/>
              </w:rPr>
            </w:pPr>
          </w:p>
        </w:tc>
      </w:tr>
      <w:tr>
        <w:trPr>
          <w:trHeight w:val="148"/>
        </w:trPr>
        <w:tc>
          <w:tcPr>
            <w:tcW w:w="7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Year 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1"/>
              </w:rPr>
              <w:t>Year ended</w:t>
            </w:r>
          </w:p>
        </w:tc>
        <w:tc>
          <w:tcPr>
            <w:tcW w:w="10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through</w:t>
            </w:r>
          </w:p>
        </w:tc>
        <w:tc>
          <w:tcPr>
            <w:tcW w:w="0" w:type="dxa"/>
            <w:vAlign w:val="bottom"/>
          </w:tcPr>
          <w:p>
            <w:pPr>
              <w:spacing w:after="0"/>
              <w:rPr>
                <w:sz w:val="1"/>
                <w:szCs w:val="1"/>
                <w:color w:val="auto"/>
              </w:rPr>
            </w:pPr>
          </w:p>
        </w:tc>
      </w:tr>
      <w:tr>
        <w:trPr>
          <w:trHeight w:val="148"/>
        </w:trPr>
        <w:tc>
          <w:tcPr>
            <w:tcW w:w="7460" w:type="dxa"/>
            <w:vAlign w:val="bottom"/>
          </w:tcPr>
          <w:p>
            <w:pPr>
              <w:spacing w:after="0"/>
              <w:rPr>
                <w:sz w:val="12"/>
                <w:szCs w:val="12"/>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2"/>
              </w:rPr>
              <w:t>September 30,</w:t>
            </w:r>
          </w:p>
        </w:tc>
        <w:tc>
          <w:tcPr>
            <w:tcW w:w="180" w:type="dxa"/>
            <w:vAlign w:val="bottom"/>
          </w:tcPr>
          <w:p>
            <w:pPr>
              <w:spacing w:after="0"/>
              <w:rPr>
                <w:sz w:val="12"/>
                <w:szCs w:val="12"/>
                <w:color w:val="auto"/>
              </w:rPr>
            </w:pPr>
          </w:p>
        </w:tc>
        <w:tc>
          <w:tcPr>
            <w:tcW w:w="136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2"/>
              </w:rPr>
              <w:t>September 30,</w:t>
            </w:r>
          </w:p>
        </w:tc>
        <w:tc>
          <w:tcPr>
            <w:tcW w:w="10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4"/>
              </w:rPr>
              <w:t>September 30,</w:t>
            </w:r>
          </w:p>
        </w:tc>
        <w:tc>
          <w:tcPr>
            <w:tcW w:w="0" w:type="dxa"/>
            <w:vAlign w:val="bottom"/>
          </w:tcPr>
          <w:p>
            <w:pPr>
              <w:spacing w:after="0"/>
              <w:rPr>
                <w:sz w:val="1"/>
                <w:szCs w:val="1"/>
                <w:color w:val="auto"/>
              </w:rPr>
            </w:pPr>
          </w:p>
        </w:tc>
      </w:tr>
      <w:tr>
        <w:trPr>
          <w:trHeight w:val="161"/>
        </w:trPr>
        <w:tc>
          <w:tcPr>
            <w:tcW w:w="7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9"/>
              </w:rPr>
              <w:t>2009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2008</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6"/>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43,555,240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38,149,813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12,013,028</w:t>
            </w:r>
          </w:p>
        </w:tc>
        <w:tc>
          <w:tcPr>
            <w:tcW w:w="0" w:type="dxa"/>
            <w:vAlign w:val="bottom"/>
          </w:tcPr>
          <w:p>
            <w:pPr>
              <w:spacing w:after="0"/>
              <w:rPr>
                <w:sz w:val="1"/>
                <w:szCs w:val="1"/>
                <w:color w:val="auto"/>
              </w:rPr>
            </w:pPr>
          </w:p>
        </w:tc>
      </w:tr>
      <w:tr>
        <w:trPr>
          <w:trHeight w:val="216"/>
        </w:trPr>
        <w:tc>
          <w:tcPr>
            <w:tcW w:w="7460" w:type="dxa"/>
            <w:vAlign w:val="bottom"/>
          </w:tcPr>
          <w:p>
            <w:pPr>
              <w:ind w:left="440"/>
              <w:spacing w:after="0"/>
              <w:rPr>
                <w:sz w:val="20"/>
                <w:szCs w:val="20"/>
                <w:color w:val="auto"/>
              </w:rPr>
            </w:pPr>
            <w:r>
              <w:rPr>
                <w:rFonts w:ascii="Arial" w:cs="Arial" w:eastAsia="Arial" w:hAnsi="Arial"/>
                <w:sz w:val="18"/>
                <w:szCs w:val="18"/>
                <w:color w:val="auto"/>
              </w:rPr>
              <w:t>Dividends</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879,537</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212,304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255,944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From non-controlled, affiliated investments: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1,351,227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1,405,205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209,781</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45,118,771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39,810,962</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13,107,341</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440"/>
              <w:spacing w:after="0"/>
              <w:rPr>
                <w:sz w:val="20"/>
                <w:szCs w:val="20"/>
                <w:color w:val="auto"/>
              </w:rPr>
            </w:pPr>
            <w:r>
              <w:rPr>
                <w:rFonts w:ascii="Arial" w:cs="Arial" w:eastAsia="Arial" w:hAnsi="Arial"/>
                <w:sz w:val="18"/>
                <w:szCs w:val="18"/>
                <w:color w:val="auto"/>
              </w:rPr>
              <w:t>Base management fee (See Note 3)</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7,715,615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7,136,580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2,565,085</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Performance-based incentive fee (See Note 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5,683,388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3,791,900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tcPr>
          <w:p>
            <w:pPr>
              <w:ind w:left="440"/>
              <w:spacing w:after="0"/>
              <w:rPr>
                <w:sz w:val="20"/>
                <w:szCs w:val="20"/>
                <w:color w:val="auto"/>
              </w:rPr>
            </w:pPr>
            <w:r>
              <w:rPr>
                <w:rFonts w:ascii="Arial" w:cs="Arial" w:eastAsia="Arial" w:hAnsi="Arial"/>
                <w:sz w:val="18"/>
                <w:szCs w:val="18"/>
                <w:color w:val="auto"/>
              </w:rPr>
              <w:t>Interest and other credit facility expenses</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4,628,564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6,308,933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1,835,816</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Administrative services expenses (See Note 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2,319,759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2,301,973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778,587</w:t>
            </w:r>
          </w:p>
        </w:tc>
        <w:tc>
          <w:tcPr>
            <w:tcW w:w="0" w:type="dxa"/>
            <w:vAlign w:val="bottom"/>
          </w:tcPr>
          <w:p>
            <w:pPr>
              <w:spacing w:after="0"/>
              <w:rPr>
                <w:sz w:val="1"/>
                <w:szCs w:val="1"/>
                <w:color w:val="auto"/>
              </w:rPr>
            </w:pPr>
          </w:p>
        </w:tc>
      </w:tr>
      <w:tr>
        <w:trPr>
          <w:trHeight w:val="216"/>
        </w:trPr>
        <w:tc>
          <w:tcPr>
            <w:tcW w:w="7460" w:type="dxa"/>
            <w:vAlign w:val="bottom"/>
          </w:tcPr>
          <w:p>
            <w:pPr>
              <w:ind w:left="44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2,052,530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2,136,303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1,158,750</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Expenses before base management fee waiver</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22,399,856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21,675,689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6,338,238</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440"/>
              <w:spacing w:after="0"/>
              <w:rPr>
                <w:sz w:val="20"/>
                <w:szCs w:val="20"/>
                <w:color w:val="auto"/>
              </w:rPr>
            </w:pPr>
            <w:r>
              <w:rPr>
                <w:rFonts w:ascii="Arial" w:cs="Arial" w:eastAsia="Arial" w:hAnsi="Arial"/>
                <w:sz w:val="18"/>
                <w:szCs w:val="18"/>
                <w:color w:val="auto"/>
              </w:rPr>
              <w:t>Base management fee waiver</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(420,731)</w:t>
            </w: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(641,273)</w:t>
            </w:r>
          </w:p>
        </w:tc>
        <w:tc>
          <w:tcPr>
            <w:tcW w:w="0" w:type="dxa"/>
            <w:vAlign w:val="bottom"/>
          </w:tcPr>
          <w:p>
            <w:pPr>
              <w:spacing w:after="0"/>
              <w:rPr>
                <w:sz w:val="1"/>
                <w:szCs w:val="1"/>
                <w:color w:val="auto"/>
              </w:rPr>
            </w:pPr>
          </w:p>
        </w:tc>
      </w:tr>
      <w:tr>
        <w:trPr>
          <w:trHeight w:val="217"/>
        </w:trPr>
        <w:tc>
          <w:tcPr>
            <w:tcW w:w="7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60" w:type="dxa"/>
            <w:vAlign w:val="bottom"/>
          </w:tcPr>
          <w:p>
            <w:pPr>
              <w:ind w:left="440"/>
              <w:spacing w:after="0"/>
              <w:rPr>
                <w:sz w:val="20"/>
                <w:szCs w:val="20"/>
                <w:color w:val="auto"/>
              </w:rPr>
            </w:pPr>
            <w:r>
              <w:rPr>
                <w:rFonts w:ascii="Arial" w:cs="Arial" w:eastAsia="Arial" w:hAnsi="Arial"/>
                <w:sz w:val="18"/>
                <w:szCs w:val="18"/>
                <w:b w:val="1"/>
                <w:bCs w:val="1"/>
                <w:color w:val="auto"/>
              </w:rPr>
              <w:t>Net expenses</w:t>
            </w: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22,399,856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21,254,958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5,802,845</w:t>
            </w:r>
          </w:p>
        </w:tc>
        <w:tc>
          <w:tcPr>
            <w:tcW w:w="0" w:type="dxa"/>
            <w:vAlign w:val="bottom"/>
          </w:tcPr>
          <w:p>
            <w:pPr>
              <w:spacing w:after="0"/>
              <w:rPr>
                <w:sz w:val="1"/>
                <w:szCs w:val="1"/>
                <w:color w:val="auto"/>
              </w:rPr>
            </w:pPr>
          </w:p>
        </w:tc>
      </w:tr>
      <w:tr>
        <w:trPr>
          <w:trHeight w:val="28"/>
        </w:trPr>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22,718,915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18,556,004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7,304,496</w:t>
            </w:r>
          </w:p>
        </w:tc>
        <w:tc>
          <w:tcPr>
            <w:tcW w:w="0" w:type="dxa"/>
            <w:vAlign w:val="bottom"/>
          </w:tcPr>
          <w:p>
            <w:pPr>
              <w:spacing w:after="0"/>
              <w:rPr>
                <w:sz w:val="1"/>
                <w:szCs w:val="1"/>
                <w:color w:val="auto"/>
              </w:rPr>
            </w:pPr>
          </w:p>
        </w:tc>
      </w:tr>
      <w:tr>
        <w:trPr>
          <w:trHeight w:val="222"/>
        </w:trPr>
        <w:tc>
          <w:tcPr>
            <w:tcW w:w="7460" w:type="dxa"/>
            <w:vAlign w:val="bottom"/>
          </w:tcPr>
          <w:p>
            <w:pPr>
              <w:spacing w:after="0"/>
              <w:rPr>
                <w:sz w:val="20"/>
                <w:szCs w:val="20"/>
                <w:color w:val="auto"/>
              </w:rPr>
            </w:pPr>
            <w:r>
              <w:rPr>
                <w:rFonts w:ascii="Arial" w:cs="Arial" w:eastAsia="Arial" w:hAnsi="Arial"/>
                <w:sz w:val="18"/>
                <w:szCs w:val="18"/>
                <w:b w:val="1"/>
                <w:bCs w:val="1"/>
                <w:color w:val="auto"/>
                <w:w w:val="99"/>
              </w:rPr>
              <w:t>Realized and unrealized gain (loss) on investments, cash equivalents and credit facility:</w:t>
            </w: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non-controlled, non-affiliated investments and cash equivalents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(39,243,879)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(11,154,735)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 and cash equivalents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46,954,325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(49,052,812)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(24,166,983)</w:t>
            </w:r>
          </w:p>
        </w:tc>
        <w:tc>
          <w:tcPr>
            <w:tcW w:w="0" w:type="dxa"/>
            <w:vAlign w:val="bottom"/>
          </w:tcPr>
          <w:p>
            <w:pPr>
              <w:spacing w:after="0"/>
              <w:rPr>
                <w:sz w:val="1"/>
                <w:szCs w:val="1"/>
                <w:color w:val="auto"/>
              </w:rPr>
            </w:pPr>
          </w:p>
        </w:tc>
      </w:tr>
      <w:tr>
        <w:trPr>
          <w:trHeight w:val="216"/>
        </w:trPr>
        <w:tc>
          <w:tcPr>
            <w:tcW w:w="7460" w:type="dxa"/>
            <w:vAlign w:val="bottom"/>
          </w:tcPr>
          <w:p>
            <w:pPr>
              <w:ind w:left="440"/>
              <w:spacing w:after="0"/>
              <w:rPr>
                <w:sz w:val="20"/>
                <w:szCs w:val="20"/>
                <w:color w:val="auto"/>
              </w:rPr>
            </w:pPr>
            <w:r>
              <w:rPr>
                <w:rFonts w:ascii="Arial" w:cs="Arial" w:eastAsia="Arial" w:hAnsi="Arial"/>
                <w:sz w:val="18"/>
                <w:szCs w:val="18"/>
                <w:color w:val="auto"/>
              </w:rPr>
              <w:t>Non-controlled, affiliated investments</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(2,455,952)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948,604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245,005</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Credit facility (See Note 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7,828,620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Net change in unrealized appreciation (depreciation)</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52,326,993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(48,104,208)</w:t>
            </w: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(23,921,978)</w:t>
            </w:r>
          </w:p>
        </w:tc>
        <w:tc>
          <w:tcPr>
            <w:tcW w:w="0" w:type="dxa"/>
            <w:vAlign w:val="bottom"/>
          </w:tcPr>
          <w:p>
            <w:pPr>
              <w:spacing w:after="0"/>
              <w:rPr>
                <w:sz w:val="1"/>
                <w:szCs w:val="1"/>
                <w:color w:val="auto"/>
              </w:rPr>
            </w:pPr>
          </w:p>
        </w:tc>
      </w:tr>
      <w:tr>
        <w:trPr>
          <w:trHeight w:val="28"/>
        </w:trPr>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Net realized and unrealized gain (loss) from investments, cash equivalents and credit facility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13,083,114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(59,258,943)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(24,003,747)</w:t>
            </w: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35,802,029</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(40,702,939)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(16,699,251)</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increase (decrease) in net assets resulting from operations per common share (See Note 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22"/>
        </w:trPr>
        <w:tc>
          <w:tcPr>
            <w:tcW w:w="746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0.88</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Period from</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January 11,</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(inception)</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Year ended</w:t>
            </w:r>
          </w:p>
        </w:tc>
        <w:tc>
          <w:tcPr>
            <w:tcW w:w="8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Year ended</w:t>
            </w:r>
          </w:p>
        </w:tc>
        <w:tc>
          <w:tcPr>
            <w:tcW w:w="10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through</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2"/>
              </w:rPr>
              <w:t>September 30,</w:t>
            </w:r>
          </w:p>
        </w:tc>
        <w:tc>
          <w:tcPr>
            <w:tcW w:w="11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2"/>
              </w:rPr>
              <w:t>September 30,</w:t>
            </w:r>
          </w:p>
        </w:tc>
        <w:tc>
          <w:tcPr>
            <w:tcW w:w="10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2"/>
              </w:rPr>
              <w:t>September 30,</w:t>
            </w:r>
          </w:p>
        </w:tc>
        <w:tc>
          <w:tcPr>
            <w:tcW w:w="0" w:type="dxa"/>
            <w:vAlign w:val="bottom"/>
          </w:tcPr>
          <w:p>
            <w:pPr>
              <w:spacing w:after="0"/>
              <w:rPr>
                <w:sz w:val="1"/>
                <w:szCs w:val="1"/>
                <w:color w:val="auto"/>
              </w:rPr>
            </w:pPr>
          </w:p>
        </w:tc>
      </w:tr>
      <w:tr>
        <w:trPr>
          <w:trHeight w:val="161"/>
        </w:trPr>
        <w:tc>
          <w:tcPr>
            <w:tcW w:w="7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9"/>
              </w:rPr>
              <w:t>2009</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2008</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net assets from operations: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80"/>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22,718,915</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18,556,004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7,304,496</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realized loss on investments and cash equivalents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(39,243,879)</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(11,154,735)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7780" w:type="dxa"/>
            <w:vAlign w:val="bottom"/>
          </w:tcPr>
          <w:p>
            <w:pPr>
              <w:ind w:left="880"/>
              <w:spacing w:after="0"/>
              <w:rPr>
                <w:sz w:val="20"/>
                <w:szCs w:val="20"/>
                <w:color w:val="auto"/>
              </w:rPr>
            </w:pPr>
            <w:r>
              <w:rPr>
                <w:rFonts w:ascii="Arial" w:cs="Arial" w:eastAsia="Arial" w:hAnsi="Arial"/>
                <w:sz w:val="18"/>
                <w:szCs w:val="18"/>
                <w:color w:val="auto"/>
                <w:w w:val="95"/>
              </w:rPr>
              <w:t>Net change in unrealized (appreciation) depreciation on investments and cash equivalents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44,498,373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(48,104,208)</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(23,921,978)</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depreciation on credit facility</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7,828,620</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880"/>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35,802,029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(40,702,939)</w:t>
            </w:r>
          </w:p>
        </w:tc>
        <w:tc>
          <w:tcPr>
            <w:tcW w:w="1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(16,699,251)</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and distributions to stockholders: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Dividends from net investment income</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(20,226,021)</w:t>
            </w: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(18,961,895)</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(7,545,458)</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Return of capital</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(28,356)</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dividends and distributions</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(20,226,021)</w:t>
            </w:r>
          </w:p>
        </w:tc>
        <w:tc>
          <w:tcPr>
            <w:tcW w:w="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(18,961,895)</w:t>
            </w:r>
          </w:p>
        </w:tc>
        <w:tc>
          <w:tcPr>
            <w:tcW w:w="1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(7,573,814)</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80"/>
              <w:spacing w:after="0"/>
              <w:rPr>
                <w:sz w:val="20"/>
                <w:szCs w:val="20"/>
                <w:color w:val="auto"/>
              </w:rPr>
            </w:pPr>
            <w:r>
              <w:rPr>
                <w:rFonts w:ascii="Arial" w:cs="Arial" w:eastAsia="Arial" w:hAnsi="Arial"/>
                <w:sz w:val="18"/>
                <w:szCs w:val="18"/>
                <w:color w:val="auto"/>
              </w:rPr>
              <w:t>Issuance of shares of common stock</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34,400,000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315,375,000</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Offering costs related to public share offerings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(1,920,000)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(21,309,375)</w:t>
            </w:r>
          </w:p>
        </w:tc>
        <w:tc>
          <w:tcPr>
            <w:tcW w:w="0" w:type="dxa"/>
            <w:vAlign w:val="bottom"/>
          </w:tcPr>
          <w:p>
            <w:pPr>
              <w:spacing w:after="0"/>
              <w:rPr>
                <w:sz w:val="1"/>
                <w:szCs w:val="1"/>
                <w:color w:val="auto"/>
              </w:rPr>
            </w:pPr>
          </w:p>
        </w:tc>
      </w:tr>
      <w:tr>
        <w:trPr>
          <w:trHeight w:val="223"/>
        </w:trPr>
        <w:tc>
          <w:tcPr>
            <w:tcW w:w="7780" w:type="dxa"/>
            <w:vAlign w:val="bottom"/>
          </w:tcPr>
          <w:p>
            <w:pPr>
              <w:ind w:left="880"/>
              <w:spacing w:after="0"/>
              <w:rPr>
                <w:sz w:val="20"/>
                <w:szCs w:val="20"/>
                <w:color w:val="auto"/>
              </w:rPr>
            </w:pPr>
            <w:r>
              <w:rPr>
                <w:rFonts w:ascii="Arial" w:cs="Arial" w:eastAsia="Arial" w:hAnsi="Arial"/>
                <w:sz w:val="18"/>
                <w:szCs w:val="18"/>
                <w:color w:val="auto"/>
              </w:rPr>
              <w:t>Reinvestment of dividends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32,480,000</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294,666,159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b w:val="1"/>
                <w:bCs w:val="1"/>
                <w:color w:val="auto"/>
              </w:rPr>
              <w:t>Total increase (decrease) in net assets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48,056,008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(59,664,834)</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270,393,094</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Beginning of period</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210,728,260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270,393,094</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Cumulative effect of adoption of fair value option (See Note 5)</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41,796,000</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tcPr>
          <w:p>
            <w:pPr>
              <w:spacing w:after="0"/>
              <w:rPr>
                <w:sz w:val="20"/>
                <w:szCs w:val="20"/>
                <w:color w:val="auto"/>
              </w:rPr>
            </w:pPr>
            <w:r>
              <w:rPr>
                <w:rFonts w:ascii="Arial" w:cs="Arial" w:eastAsia="Arial" w:hAnsi="Arial"/>
                <w:sz w:val="18"/>
                <w:szCs w:val="18"/>
                <w:color w:val="auto"/>
              </w:rPr>
              <w:t>Adjusted beginning of period balance</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252,524,260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300,580,268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210,728,260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270,393,094</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Undistributed (distributions in excess of) net investment income, at period end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1,890,235</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(602,660)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(196,769)</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Shares issued from subscriptions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4,300,000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21,025,000</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issued from reinvestment of dividend</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tcPr>
          <w:p>
            <w:pPr>
              <w:spacing w:after="0"/>
              <w:rPr>
                <w:sz w:val="20"/>
                <w:szCs w:val="20"/>
                <w:color w:val="auto"/>
              </w:rPr>
            </w:pPr>
            <w:r>
              <w:rPr>
                <w:rFonts w:ascii="Arial" w:cs="Arial" w:eastAsia="Arial" w:hAnsi="Arial"/>
                <w:sz w:val="18"/>
                <w:szCs w:val="18"/>
                <w:b w:val="1"/>
                <w:bCs w:val="1"/>
                <w:color w:val="auto"/>
              </w:rPr>
              <w:t>Total increase in capital shares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4,300,000</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21,068,772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Period from</w:t>
            </w:r>
          </w:p>
        </w:tc>
        <w:tc>
          <w:tcPr>
            <w:tcW w:w="0" w:type="dxa"/>
            <w:vAlign w:val="bottom"/>
          </w:tcPr>
          <w:p>
            <w:pPr>
              <w:spacing w:after="0"/>
              <w:rPr>
                <w:sz w:val="1"/>
                <w:szCs w:val="1"/>
                <w:color w:val="auto"/>
              </w:rPr>
            </w:pPr>
          </w:p>
        </w:tc>
      </w:tr>
      <w:tr>
        <w:trPr>
          <w:trHeight w:val="148"/>
        </w:trPr>
        <w:tc>
          <w:tcPr>
            <w:tcW w:w="6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January 11,</w:t>
            </w:r>
          </w:p>
        </w:tc>
        <w:tc>
          <w:tcPr>
            <w:tcW w:w="0" w:type="dxa"/>
            <w:vAlign w:val="bottom"/>
          </w:tcPr>
          <w:p>
            <w:pPr>
              <w:spacing w:after="0"/>
              <w:rPr>
                <w:sz w:val="1"/>
                <w:szCs w:val="1"/>
                <w:color w:val="auto"/>
              </w:rPr>
            </w:pPr>
          </w:p>
        </w:tc>
      </w:tr>
      <w:tr>
        <w:trPr>
          <w:trHeight w:val="148"/>
        </w:trPr>
        <w:tc>
          <w:tcPr>
            <w:tcW w:w="6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6"/>
              <w:spacing w:after="0"/>
              <w:rPr>
                <w:sz w:val="20"/>
                <w:szCs w:val="20"/>
                <w:color w:val="auto"/>
              </w:rPr>
            </w:pPr>
            <w:r>
              <w:rPr>
                <w:rFonts w:ascii="Arial" w:cs="Arial" w:eastAsia="Arial" w:hAnsi="Arial"/>
                <w:sz w:val="13"/>
                <w:szCs w:val="13"/>
                <w:b w:val="1"/>
                <w:bCs w:val="1"/>
                <w:color w:val="auto"/>
                <w:w w:val="89"/>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(inception)</w:t>
            </w:r>
          </w:p>
        </w:tc>
        <w:tc>
          <w:tcPr>
            <w:tcW w:w="0" w:type="dxa"/>
            <w:vAlign w:val="bottom"/>
          </w:tcPr>
          <w:p>
            <w:pPr>
              <w:spacing w:after="0"/>
              <w:rPr>
                <w:sz w:val="1"/>
                <w:szCs w:val="1"/>
                <w:color w:val="auto"/>
              </w:rPr>
            </w:pPr>
          </w:p>
        </w:tc>
      </w:tr>
      <w:tr>
        <w:trPr>
          <w:trHeight w:val="148"/>
        </w:trPr>
        <w:tc>
          <w:tcPr>
            <w:tcW w:w="6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1"/>
              </w:rPr>
              <w:t>Year ended</w:t>
            </w:r>
          </w:p>
        </w:tc>
        <w:tc>
          <w:tcPr>
            <w:tcW w:w="100" w:type="dxa"/>
            <w:vAlign w:val="bottom"/>
          </w:tcPr>
          <w:p>
            <w:pPr>
              <w:spacing w:after="0"/>
              <w:rPr>
                <w:sz w:val="12"/>
                <w:szCs w:val="12"/>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Year ended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through</w:t>
            </w:r>
          </w:p>
        </w:tc>
        <w:tc>
          <w:tcPr>
            <w:tcW w:w="0" w:type="dxa"/>
            <w:vAlign w:val="bottom"/>
          </w:tcPr>
          <w:p>
            <w:pPr>
              <w:spacing w:after="0"/>
              <w:rPr>
                <w:sz w:val="1"/>
                <w:szCs w:val="1"/>
                <w:color w:val="auto"/>
              </w:rPr>
            </w:pPr>
          </w:p>
        </w:tc>
      </w:tr>
      <w:tr>
        <w:trPr>
          <w:trHeight w:val="148"/>
        </w:trPr>
        <w:tc>
          <w:tcPr>
            <w:tcW w:w="6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2"/>
              </w:rPr>
              <w:t>September 30,</w:t>
            </w:r>
          </w:p>
        </w:tc>
        <w:tc>
          <w:tcPr>
            <w:tcW w:w="100" w:type="dxa"/>
            <w:vAlign w:val="bottom"/>
          </w:tcPr>
          <w:p>
            <w:pPr>
              <w:spacing w:after="0"/>
              <w:rPr>
                <w:sz w:val="12"/>
                <w:szCs w:val="12"/>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September 30,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September 30,</w:t>
            </w:r>
          </w:p>
        </w:tc>
        <w:tc>
          <w:tcPr>
            <w:tcW w:w="0" w:type="dxa"/>
            <w:vAlign w:val="bottom"/>
          </w:tcPr>
          <w:p>
            <w:pPr>
              <w:spacing w:after="0"/>
              <w:rPr>
                <w:sz w:val="1"/>
                <w:szCs w:val="1"/>
                <w:color w:val="auto"/>
              </w:rPr>
            </w:pPr>
          </w:p>
        </w:tc>
      </w:tr>
      <w:tr>
        <w:trPr>
          <w:trHeight w:val="161"/>
        </w:trPr>
        <w:tc>
          <w:tcPr>
            <w:tcW w:w="6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6"/>
              </w:rPr>
              <w:t>2009</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2008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89"/>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Net increase (decrease) in net assets resulting from operations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35,802,029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(40,702,939)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(16,699,251)</w:t>
            </w:r>
          </w:p>
        </w:tc>
        <w:tc>
          <w:tcPr>
            <w:tcW w:w="0" w:type="dxa"/>
            <w:vAlign w:val="bottom"/>
          </w:tcPr>
          <w:p>
            <w:pPr>
              <w:spacing w:after="0"/>
              <w:rPr>
                <w:sz w:val="1"/>
                <w:szCs w:val="1"/>
                <w:color w:val="auto"/>
              </w:rPr>
            </w:pPr>
          </w:p>
        </w:tc>
      </w:tr>
      <w:tr>
        <w:trPr>
          <w:trHeight w:val="208"/>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Adjustments to reconcile net increase (decrease) in net assets resulting from operations to</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used for operating activities:</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960" w:type="dxa"/>
            <w:vAlign w:val="bottom"/>
          </w:tcPr>
          <w:p>
            <w:pPr>
              <w:ind w:left="880"/>
              <w:spacing w:after="0"/>
              <w:rPr>
                <w:sz w:val="20"/>
                <w:szCs w:val="20"/>
                <w:color w:val="auto"/>
              </w:rPr>
            </w:pPr>
            <w:r>
              <w:rPr>
                <w:rFonts w:ascii="Arial" w:cs="Arial" w:eastAsia="Arial" w:hAnsi="Arial"/>
                <w:sz w:val="18"/>
                <w:szCs w:val="18"/>
                <w:color w:val="auto"/>
                <w:w w:val="93"/>
              </w:rPr>
              <w:t>Net change in net unrealized (appreciation) depreciation on investments and cash</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60" w:type="dxa"/>
            <w:vAlign w:val="bottom"/>
          </w:tcPr>
          <w:p>
            <w:pPr>
              <w:ind w:left="1080"/>
              <w:spacing w:after="0"/>
              <w:rPr>
                <w:sz w:val="20"/>
                <w:szCs w:val="20"/>
                <w:color w:val="auto"/>
              </w:rPr>
            </w:pPr>
            <w:r>
              <w:rPr>
                <w:rFonts w:ascii="Arial" w:cs="Arial" w:eastAsia="Arial" w:hAnsi="Arial"/>
                <w:sz w:val="18"/>
                <w:szCs w:val="18"/>
                <w:color w:val="auto"/>
              </w:rPr>
              <w:t>equivalents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(44,498,373)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48,104,208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23,921,978</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(depreciation) on credit facility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(7,828,620)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tcPr>
          <w:p>
            <w:pPr>
              <w:ind w:left="880"/>
              <w:spacing w:after="0"/>
              <w:rPr>
                <w:sz w:val="20"/>
                <w:szCs w:val="20"/>
                <w:color w:val="auto"/>
              </w:rPr>
            </w:pPr>
            <w:r>
              <w:rPr>
                <w:rFonts w:ascii="Arial" w:cs="Arial" w:eastAsia="Arial" w:hAnsi="Arial"/>
                <w:sz w:val="18"/>
                <w:szCs w:val="18"/>
                <w:color w:val="auto"/>
              </w:rPr>
              <w:t>Net realized loss on investments and cash equivalents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39,243,879</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11,154,735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(2,890,687)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(1,285,365)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(15,875)</w:t>
            </w:r>
          </w:p>
        </w:tc>
        <w:tc>
          <w:tcPr>
            <w:tcW w:w="0" w:type="dxa"/>
            <w:vAlign w:val="bottom"/>
          </w:tcPr>
          <w:p>
            <w:pPr>
              <w:spacing w:after="0"/>
              <w:rPr>
                <w:sz w:val="1"/>
                <w:szCs w:val="1"/>
                <w:color w:val="auto"/>
              </w:rPr>
            </w:pPr>
          </w:p>
        </w:tc>
      </w:tr>
      <w:tr>
        <w:trPr>
          <w:trHeight w:val="216"/>
        </w:trPr>
        <w:tc>
          <w:tcPr>
            <w:tcW w:w="6960" w:type="dxa"/>
            <w:vAlign w:val="bottom"/>
          </w:tcPr>
          <w:p>
            <w:pPr>
              <w:ind w:left="880"/>
              <w:spacing w:after="0"/>
              <w:rPr>
                <w:sz w:val="20"/>
                <w:szCs w:val="20"/>
                <w:color w:val="auto"/>
              </w:rPr>
            </w:pPr>
            <w:r>
              <w:rPr>
                <w:rFonts w:ascii="Arial" w:cs="Arial" w:eastAsia="Arial" w:hAnsi="Arial"/>
                <w:sz w:val="18"/>
                <w:szCs w:val="18"/>
                <w:color w:val="auto"/>
              </w:rPr>
              <w:t>Purchase of investments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(112,693,490)</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(206,790,979)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(413,972,173)</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Payment-in-kind interest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(4,729,590)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(2,434,562)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(668,268)</w:t>
            </w:r>
          </w:p>
        </w:tc>
        <w:tc>
          <w:tcPr>
            <w:tcW w:w="0" w:type="dxa"/>
            <w:vAlign w:val="bottom"/>
          </w:tcPr>
          <w:p>
            <w:pPr>
              <w:spacing w:after="0"/>
              <w:rPr>
                <w:sz w:val="1"/>
                <w:szCs w:val="1"/>
                <w:color w:val="auto"/>
              </w:rPr>
            </w:pPr>
          </w:p>
        </w:tc>
      </w:tr>
      <w:tr>
        <w:trPr>
          <w:trHeight w:val="216"/>
        </w:trPr>
        <w:tc>
          <w:tcPr>
            <w:tcW w:w="6960" w:type="dxa"/>
            <w:vAlign w:val="bottom"/>
          </w:tcPr>
          <w:p>
            <w:pPr>
              <w:ind w:left="880"/>
              <w:spacing w:after="0"/>
              <w:rPr>
                <w:sz w:val="20"/>
                <w:szCs w:val="20"/>
                <w:color w:val="auto"/>
              </w:rPr>
            </w:pPr>
            <w:r>
              <w:rPr>
                <w:rFonts w:ascii="Arial" w:cs="Arial" w:eastAsia="Arial" w:hAnsi="Arial"/>
                <w:sz w:val="18"/>
                <w:szCs w:val="18"/>
                <w:color w:val="auto"/>
              </w:rPr>
              <w:t>Proceeds from disposition of investments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27,956,008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70,120,751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99,635,961</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interest receivable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507,143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(1,528,349)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(4,517,850)</w:t>
            </w:r>
          </w:p>
        </w:tc>
        <w:tc>
          <w:tcPr>
            <w:tcW w:w="0" w:type="dxa"/>
            <w:vAlign w:val="bottom"/>
          </w:tcPr>
          <w:p>
            <w:pPr>
              <w:spacing w:after="0"/>
              <w:rPr>
                <w:sz w:val="1"/>
                <w:szCs w:val="1"/>
                <w:color w:val="auto"/>
              </w:rPr>
            </w:pPr>
          </w:p>
        </w:tc>
      </w:tr>
      <w:tr>
        <w:trPr>
          <w:trHeight w:val="216"/>
        </w:trPr>
        <w:tc>
          <w:tcPr>
            <w:tcW w:w="6960" w:type="dxa"/>
            <w:vAlign w:val="bottom"/>
          </w:tcPr>
          <w:p>
            <w:pPr>
              <w:ind w:left="880"/>
              <w:spacing w:after="0"/>
              <w:rPr>
                <w:sz w:val="20"/>
                <w:szCs w:val="20"/>
                <w:color w:val="auto"/>
              </w:rPr>
            </w:pPr>
            <w:r>
              <w:rPr>
                <w:rFonts w:ascii="Arial" w:cs="Arial" w:eastAsia="Arial" w:hAnsi="Arial"/>
                <w:sz w:val="18"/>
                <w:szCs w:val="18"/>
                <w:color w:val="auto"/>
              </w:rPr>
              <w:t>Decrease (increase) in prepaid expenses and other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258,912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146,104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(252,287)</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distributions payable to stockholders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5,056,505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tcPr>
          <w:p>
            <w:pPr>
              <w:ind w:left="880"/>
              <w:spacing w:after="0"/>
              <w:rPr>
                <w:sz w:val="20"/>
                <w:szCs w:val="20"/>
                <w:color w:val="auto"/>
              </w:rPr>
            </w:pPr>
            <w:r>
              <w:rPr>
                <w:rFonts w:ascii="Arial" w:cs="Arial" w:eastAsia="Arial" w:hAnsi="Arial"/>
                <w:sz w:val="18"/>
                <w:szCs w:val="18"/>
                <w:color w:val="auto"/>
              </w:rPr>
              <w:t>(Decrease) increase in payables for cash equivalents purchased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(252,759,931)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252,759,931</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(decrease) in payables for investments purchased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19,489,525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(16,583,921)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16,583,921</w:t>
            </w:r>
          </w:p>
        </w:tc>
        <w:tc>
          <w:tcPr>
            <w:tcW w:w="0" w:type="dxa"/>
            <w:vAlign w:val="bottom"/>
          </w:tcPr>
          <w:p>
            <w:pPr>
              <w:spacing w:after="0"/>
              <w:rPr>
                <w:sz w:val="1"/>
                <w:szCs w:val="1"/>
                <w:color w:val="auto"/>
              </w:rPr>
            </w:pPr>
          </w:p>
        </w:tc>
      </w:tr>
      <w:tr>
        <w:trPr>
          <w:trHeight w:val="216"/>
        </w:trPr>
        <w:tc>
          <w:tcPr>
            <w:tcW w:w="6960" w:type="dxa"/>
            <w:vAlign w:val="bottom"/>
          </w:tcPr>
          <w:p>
            <w:pPr>
              <w:ind w:left="880"/>
              <w:spacing w:after="0"/>
              <w:rPr>
                <w:sz w:val="20"/>
                <w:szCs w:val="20"/>
                <w:color w:val="auto"/>
              </w:rPr>
            </w:pPr>
            <w:r>
              <w:rPr>
                <w:rFonts w:ascii="Arial" w:cs="Arial" w:eastAsia="Arial" w:hAnsi="Arial"/>
                <w:sz w:val="18"/>
                <w:szCs w:val="18"/>
                <w:color w:val="auto"/>
              </w:rPr>
              <w:t>Increase (decrease) in unfunded investments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6,331,385</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(3,989,948)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3,989,948</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interest payable on credit facility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(652,529)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170,989</w:t>
            </w:r>
          </w:p>
        </w:tc>
        <w:tc>
          <w:tcPr>
            <w:tcW w:w="0" w:type="dxa"/>
            <w:vAlign w:val="bottom"/>
          </w:tcPr>
          <w:p>
            <w:pPr>
              <w:spacing w:after="0"/>
              <w:rPr>
                <w:sz w:val="1"/>
                <w:szCs w:val="1"/>
                <w:color w:val="auto"/>
              </w:rPr>
            </w:pPr>
          </w:p>
        </w:tc>
      </w:tr>
      <w:tr>
        <w:trPr>
          <w:trHeight w:val="216"/>
        </w:trPr>
        <w:tc>
          <w:tcPr>
            <w:tcW w:w="6960" w:type="dxa"/>
            <w:vAlign w:val="bottom"/>
          </w:tcPr>
          <w:p>
            <w:pPr>
              <w:ind w:left="880"/>
              <w:spacing w:after="0"/>
              <w:rPr>
                <w:sz w:val="20"/>
                <w:szCs w:val="20"/>
                <w:color w:val="auto"/>
              </w:rPr>
            </w:pPr>
            <w:r>
              <w:rPr>
                <w:rFonts w:ascii="Arial" w:cs="Arial" w:eastAsia="Arial" w:hAnsi="Arial"/>
                <w:sz w:val="18"/>
                <w:szCs w:val="18"/>
                <w:color w:val="auto"/>
              </w:rPr>
              <w:t>(Increase) in receivables for investments sold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(2,726,007)</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management fee payable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2,134,214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(288,585)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374,481</w:t>
            </w:r>
          </w:p>
        </w:tc>
        <w:tc>
          <w:tcPr>
            <w:tcW w:w="0" w:type="dxa"/>
            <w:vAlign w:val="bottom"/>
          </w:tcPr>
          <w:p>
            <w:pPr>
              <w:spacing w:after="0"/>
              <w:rPr>
                <w:sz w:val="1"/>
                <w:szCs w:val="1"/>
                <w:color w:val="auto"/>
              </w:rPr>
            </w:pPr>
          </w:p>
        </w:tc>
      </w:tr>
      <w:tr>
        <w:trPr>
          <w:trHeight w:val="216"/>
        </w:trPr>
        <w:tc>
          <w:tcPr>
            <w:tcW w:w="6960" w:type="dxa"/>
            <w:vAlign w:val="bottom"/>
          </w:tcPr>
          <w:p>
            <w:pPr>
              <w:ind w:left="880"/>
              <w:spacing w:after="0"/>
              <w:rPr>
                <w:sz w:val="20"/>
                <w:szCs w:val="20"/>
                <w:color w:val="auto"/>
              </w:rPr>
            </w:pPr>
            <w:r>
              <w:rPr>
                <w:rFonts w:ascii="Arial" w:cs="Arial" w:eastAsia="Arial" w:hAnsi="Arial"/>
                <w:sz w:val="18"/>
                <w:szCs w:val="18"/>
                <w:color w:val="auto"/>
              </w:rPr>
              <w:t>Increase in performance-based incentive fee payable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1,385,131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123,033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accrued other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555,556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735,312</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1300"/>
              <w:spacing w:after="0"/>
              <w:rPr>
                <w:sz w:val="20"/>
                <w:szCs w:val="20"/>
                <w:color w:val="auto"/>
              </w:rPr>
            </w:pPr>
            <w:r>
              <w:rPr>
                <w:rFonts w:ascii="Arial" w:cs="Arial" w:eastAsia="Arial" w:hAnsi="Arial"/>
                <w:sz w:val="18"/>
                <w:szCs w:val="18"/>
                <w:color w:val="auto"/>
              </w:rPr>
              <w:t>Net cash used for operating activities</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(42,355,514)</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(390,748,539)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(37,871,414)</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880"/>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34,400,000</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315,375,000</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Offering costs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(1,920,000)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(21,309,375)</w:t>
            </w:r>
          </w:p>
        </w:tc>
        <w:tc>
          <w:tcPr>
            <w:tcW w:w="0" w:type="dxa"/>
            <w:vAlign w:val="bottom"/>
          </w:tcPr>
          <w:p>
            <w:pPr>
              <w:spacing w:after="0"/>
              <w:rPr>
                <w:sz w:val="1"/>
                <w:szCs w:val="1"/>
                <w:color w:val="auto"/>
              </w:rPr>
            </w:pPr>
          </w:p>
        </w:tc>
      </w:tr>
      <w:tr>
        <w:trPr>
          <w:trHeight w:val="216"/>
        </w:trPr>
        <w:tc>
          <w:tcPr>
            <w:tcW w:w="6960" w:type="dxa"/>
            <w:vAlign w:val="bottom"/>
          </w:tcPr>
          <w:p>
            <w:pPr>
              <w:ind w:left="880"/>
              <w:spacing w:after="0"/>
              <w:rPr>
                <w:sz w:val="20"/>
                <w:szCs w:val="20"/>
                <w:color w:val="auto"/>
              </w:rPr>
            </w:pPr>
            <w:r>
              <w:rPr>
                <w:rFonts w:ascii="Arial" w:cs="Arial" w:eastAsia="Arial" w:hAnsi="Arial"/>
                <w:sz w:val="18"/>
                <w:szCs w:val="18"/>
                <w:color w:val="auto"/>
              </w:rPr>
              <w:t>Capitalized borrowing costs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(1,261,296)</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Dividends and distributions to stockholders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(20,226,021)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(18,961,895)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(6,973,280)</w:t>
            </w:r>
          </w:p>
        </w:tc>
        <w:tc>
          <w:tcPr>
            <w:tcW w:w="0" w:type="dxa"/>
            <w:vAlign w:val="bottom"/>
          </w:tcPr>
          <w:p>
            <w:pPr>
              <w:spacing w:after="0"/>
              <w:rPr>
                <w:sz w:val="1"/>
                <w:szCs w:val="1"/>
                <w:color w:val="auto"/>
              </w:rPr>
            </w:pPr>
          </w:p>
        </w:tc>
      </w:tr>
      <w:tr>
        <w:trPr>
          <w:trHeight w:val="216"/>
        </w:trPr>
        <w:tc>
          <w:tcPr>
            <w:tcW w:w="6960" w:type="dxa"/>
            <w:vAlign w:val="bottom"/>
          </w:tcPr>
          <w:p>
            <w:pPr>
              <w:ind w:left="880"/>
              <w:spacing w:after="0"/>
              <w:rPr>
                <w:sz w:val="20"/>
                <w:szCs w:val="20"/>
                <w:color w:val="auto"/>
              </w:rPr>
            </w:pPr>
            <w:r>
              <w:rPr>
                <w:rFonts w:ascii="Arial" w:cs="Arial" w:eastAsia="Arial" w:hAnsi="Arial"/>
                <w:sz w:val="18"/>
                <w:szCs w:val="18"/>
                <w:color w:val="auto"/>
              </w:rPr>
              <w:t>Borrowings under credit facility (See Note 11 )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169,600,000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461,040,000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271,913,786</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Repayments under credit facility (See Note 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(146,500,000)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(269,040,000)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(261,913,786)</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35,353,979</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173,038,105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295,831,049</w:t>
            </w:r>
          </w:p>
        </w:tc>
        <w:tc>
          <w:tcPr>
            <w:tcW w:w="0" w:type="dxa"/>
            <w:vAlign w:val="bottom"/>
          </w:tcPr>
          <w:p>
            <w:pPr>
              <w:spacing w:after="0"/>
              <w:rPr>
                <w:sz w:val="1"/>
                <w:szCs w:val="1"/>
                <w:color w:val="auto"/>
              </w:rPr>
            </w:pPr>
          </w:p>
        </w:tc>
      </w:tr>
      <w:tr>
        <w:trPr>
          <w:trHeight w:val="28"/>
        </w:trPr>
        <w:tc>
          <w:tcPr>
            <w:tcW w:w="6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equivalents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(7,001,535)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(217,710,434)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257,959,635</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40,249,201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257,959,635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end of period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33,247,666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40,249,201</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257,959,635</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 and non-cash activity:</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5,014,055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4,982,247</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1,598,055</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Income taxes paid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 consist of the reinvestment of dividends totaling</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600,534</w:t>
            </w:r>
          </w:p>
        </w:tc>
        <w:tc>
          <w:tcPr>
            <w:tcW w:w="0" w:type="dxa"/>
            <w:vAlign w:val="bottom"/>
          </w:tcPr>
          <w:p>
            <w:pPr>
              <w:spacing w:after="0"/>
              <w:rPr>
                <w:sz w:val="1"/>
                <w:szCs w:val="1"/>
                <w:color w:val="auto"/>
              </w:rPr>
            </w:pPr>
          </w:p>
        </w:tc>
      </w:tr>
      <w:tr>
        <w:trPr>
          <w:trHeight w:val="222"/>
        </w:trPr>
        <w:tc>
          <w:tcPr>
            <w:tcW w:w="6960" w:type="dxa"/>
            <w:vAlign w:val="bottom"/>
          </w:tcPr>
          <w:p>
            <w:pPr>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41,796,000</w:t>
            </w:r>
          </w:p>
        </w:tc>
        <w:tc>
          <w:tcPr>
            <w:tcW w:w="10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45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Basis Point</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Spread</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380"/>
              <w:spacing w:after="0" w:line="134" w:lineRule="exact"/>
              <w:rPr>
                <w:sz w:val="20"/>
                <w:szCs w:val="20"/>
                <w:color w:val="auto"/>
              </w:rPr>
            </w:pPr>
            <w:r>
              <w:rPr>
                <w:rFonts w:ascii="Arial" w:cs="Arial" w:eastAsia="Arial" w:hAnsi="Arial"/>
                <w:sz w:val="13"/>
                <w:szCs w:val="13"/>
                <w:b w:val="1"/>
                <w:bCs w:val="1"/>
                <w:color w:val="auto"/>
                <w:w w:val="97"/>
              </w:rPr>
              <w:t>Current</w:t>
            </w:r>
          </w:p>
        </w:tc>
        <w:tc>
          <w:tcPr>
            <w:tcW w:w="920" w:type="dxa"/>
            <w:vAlign w:val="bottom"/>
            <w:gridSpan w:val="2"/>
          </w:tcPr>
          <w:p>
            <w:pPr>
              <w:jc w:val="center"/>
              <w:ind w:right="280"/>
              <w:spacing w:after="0" w:line="134" w:lineRule="exact"/>
              <w:rPr>
                <w:sz w:val="20"/>
                <w:szCs w:val="20"/>
                <w:color w:val="auto"/>
              </w:rPr>
            </w:pPr>
            <w:r>
              <w:rPr>
                <w:rFonts w:ascii="Arial" w:cs="Arial" w:eastAsia="Arial" w:hAnsi="Arial"/>
                <w:sz w:val="13"/>
                <w:szCs w:val="13"/>
                <w:b w:val="1"/>
                <w:bCs w:val="1"/>
                <w:color w:val="auto"/>
                <w:w w:val="90"/>
              </w:rPr>
              <w:t>Above</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auto"/>
                <w:w w:val="89"/>
              </w:rPr>
              <w:t>Fair Value</w:t>
            </w:r>
            <w:r>
              <w:rPr>
                <w:rFonts w:ascii="Arial" w:cs="Arial" w:eastAsia="Arial" w:hAnsi="Arial"/>
                <w:sz w:val="22"/>
                <w:szCs w:val="22"/>
                <w:b w:val="1"/>
                <w:bCs w:val="1"/>
                <w:color w:val="auto"/>
                <w:w w:val="89"/>
                <w:vertAlign w:val="superscript"/>
              </w:rPr>
              <w:t>(3)</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20"/>
                <w:szCs w:val="20"/>
                <w:color w:val="auto"/>
              </w:rPr>
            </w:pPr>
            <w:r>
              <w:rPr>
                <w:rFonts w:ascii="Arial" w:cs="Arial" w:eastAsia="Arial" w:hAnsi="Arial"/>
                <w:sz w:val="13"/>
                <w:szCs w:val="13"/>
                <w:b w:val="1"/>
                <w:bCs w:val="1"/>
                <w:color w:val="auto"/>
                <w:w w:val="95"/>
              </w:rPr>
              <w:t>Issuer Name</w:t>
            </w:r>
          </w:p>
        </w:tc>
        <w:tc>
          <w:tcPr>
            <w:tcW w:w="306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Maturity</w:t>
            </w:r>
          </w:p>
        </w:tc>
        <w:tc>
          <w:tcPr>
            <w:tcW w:w="100" w:type="dxa"/>
            <w:vAlign w:val="bottom"/>
          </w:tcPr>
          <w:p>
            <w:pPr>
              <w:spacing w:after="0"/>
              <w:rPr>
                <w:sz w:val="15"/>
                <w:szCs w:val="15"/>
                <w:color w:val="auto"/>
              </w:rPr>
            </w:pPr>
          </w:p>
        </w:tc>
        <w:tc>
          <w:tcPr>
            <w:tcW w:w="248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89"/>
              </w:rPr>
              <w:t>Coupon</w:t>
            </w:r>
          </w:p>
        </w:tc>
        <w:tc>
          <w:tcPr>
            <w:tcW w:w="38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2"/>
                <w:szCs w:val="12"/>
                <w:b w:val="1"/>
                <w:bCs w:val="1"/>
                <w:color w:val="auto"/>
                <w:w w:val="94"/>
              </w:rPr>
              <w:t xml:space="preserve">Index </w:t>
            </w:r>
            <w:r>
              <w:rPr>
                <w:rFonts w:ascii="Arial" w:cs="Arial" w:eastAsia="Arial" w:hAnsi="Arial"/>
                <w:sz w:val="20"/>
                <w:szCs w:val="20"/>
                <w:b w:val="1"/>
                <w:bCs w:val="1"/>
                <w:color w:val="auto"/>
                <w:w w:val="94"/>
                <w:vertAlign w:val="superscript"/>
              </w:rPr>
              <w:t>(4)</w:t>
            </w:r>
          </w:p>
        </w:tc>
        <w:tc>
          <w:tcPr>
            <w:tcW w:w="28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89"/>
              </w:rPr>
              <w:t>Par/ Shares</w:t>
            </w:r>
          </w:p>
        </w:tc>
        <w:tc>
          <w:tcPr>
            <w:tcW w:w="40" w:type="dxa"/>
            <w:vAlign w:val="bottom"/>
          </w:tcPr>
          <w:p>
            <w:pPr>
              <w:spacing w:after="0"/>
              <w:rPr>
                <w:sz w:val="15"/>
                <w:szCs w:val="15"/>
                <w:color w:val="auto"/>
              </w:rPr>
            </w:pPr>
          </w:p>
        </w:tc>
        <w:tc>
          <w:tcPr>
            <w:tcW w:w="740" w:type="dxa"/>
            <w:vAlign w:val="bottom"/>
          </w:tcPr>
          <w:p>
            <w:pPr>
              <w:jc w:val="right"/>
              <w:ind w:right="173"/>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820" w:type="dxa"/>
            <w:vAlign w:val="bottom"/>
            <w:gridSpan w:val="2"/>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Investments in Non-Controlled, Non-Affiliated Portfolio</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8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2"/>
                <w:szCs w:val="12"/>
                <w:b w:val="1"/>
                <w:bCs w:val="1"/>
                <w:color w:val="auto"/>
              </w:rPr>
              <w:t xml:space="preserve">Companies—150.9% </w:t>
            </w:r>
            <w:r>
              <w:rPr>
                <w:rFonts w:ascii="Arial" w:cs="Arial" w:eastAsia="Arial" w:hAnsi="Arial"/>
                <w:sz w:val="20"/>
                <w:szCs w:val="20"/>
                <w:b w:val="1"/>
                <w:bCs w:val="1"/>
                <w:color w:val="auto"/>
                <w:vertAlign w:val="superscript"/>
              </w:rPr>
              <w:t>(1),(2)</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rPr>
                <w:sz w:val="20"/>
                <w:szCs w:val="20"/>
                <w:color w:val="auto"/>
              </w:rPr>
            </w:pPr>
            <w:r>
              <w:rPr>
                <w:rFonts w:ascii="Arial" w:cs="Arial" w:eastAsia="Arial" w:hAnsi="Arial"/>
                <w:sz w:val="13"/>
                <w:szCs w:val="13"/>
                <w:b w:val="1"/>
                <w:bCs w:val="1"/>
                <w:color w:val="auto"/>
              </w:rPr>
              <w:t>Subordinated Debt/Corporate Notes — 50.6%</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Affinion Group Holdings, Inc.</w:t>
            </w:r>
          </w:p>
        </w:tc>
        <w:tc>
          <w:tcPr>
            <w:tcW w:w="7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2"/>
              </w:rPr>
              <w:t>03/01/2012</w:t>
            </w:r>
          </w:p>
        </w:tc>
        <w:tc>
          <w:tcPr>
            <w:tcW w:w="2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Consumer Products</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8.27%</w:t>
            </w:r>
            <w:r>
              <w:rPr>
                <w:rFonts w:ascii="Arial" w:cs="Arial" w:eastAsia="Arial" w:hAnsi="Arial"/>
                <w:sz w:val="17"/>
                <w:szCs w:val="17"/>
                <w:color w:val="auto"/>
                <w:vertAlign w:val="superscript"/>
              </w:rPr>
              <w:t>(6)</w:t>
            </w: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L+750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8"/>
              </w:rPr>
              <w:t>$23,572,133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$ 22,930,475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$ 21,497,875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rPr>
                <w:sz w:val="20"/>
                <w:szCs w:val="20"/>
                <w:color w:val="auto"/>
              </w:rPr>
            </w:pPr>
            <w:r>
              <w:rPr>
                <w:rFonts w:ascii="Arial" w:cs="Arial" w:eastAsia="Arial" w:hAnsi="Arial"/>
                <w:sz w:val="13"/>
                <w:szCs w:val="13"/>
                <w:color w:val="auto"/>
              </w:rPr>
              <w:t>Consolidated Foundries, Inc.</w:t>
            </w:r>
          </w:p>
        </w:tc>
        <w:tc>
          <w:tcPr>
            <w:tcW w:w="72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04/17/2015</w:t>
            </w:r>
          </w:p>
        </w:tc>
        <w:tc>
          <w:tcPr>
            <w:tcW w:w="2480" w:type="dxa"/>
            <w:vAlign w:val="bottom"/>
          </w:tcPr>
          <w:p>
            <w:pPr>
              <w:jc w:val="center"/>
              <w:spacing w:after="0"/>
              <w:rPr>
                <w:sz w:val="20"/>
                <w:szCs w:val="20"/>
                <w:color w:val="auto"/>
              </w:rPr>
            </w:pPr>
            <w:r>
              <w:rPr>
                <w:rFonts w:ascii="Arial" w:cs="Arial" w:eastAsia="Arial" w:hAnsi="Arial"/>
                <w:sz w:val="13"/>
                <w:szCs w:val="13"/>
                <w:color w:val="auto"/>
                <w:w w:val="91"/>
              </w:rPr>
              <w:t>Aerospace and Defense</w:t>
            </w:r>
          </w:p>
        </w:tc>
        <w:tc>
          <w:tcPr>
            <w:tcW w:w="96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9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8,109,468</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7,952,769</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8,190,563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CT Technologies Intermediate Holdings, Inc.</w:t>
            </w:r>
          </w:p>
        </w:tc>
        <w:tc>
          <w:tcPr>
            <w:tcW w:w="7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2"/>
              </w:rPr>
              <w:t>03/22/2014</w:t>
            </w:r>
          </w:p>
        </w:tc>
        <w:tc>
          <w:tcPr>
            <w:tcW w:w="2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8"/>
              </w:rPr>
              <w:t>20,311,603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19,875,880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20,463,940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Digicel Limited </w:t>
            </w:r>
            <w:r>
              <w:rPr>
                <w:rFonts w:ascii="Arial" w:cs="Arial" w:eastAsia="Arial" w:hAnsi="Arial"/>
                <w:sz w:val="17"/>
                <w:szCs w:val="17"/>
                <w:color w:val="auto"/>
                <w:vertAlign w:val="superscript"/>
              </w:rPr>
              <w:t>(5)</w:t>
            </w:r>
          </w:p>
        </w:tc>
        <w:tc>
          <w:tcPr>
            <w:tcW w:w="72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04/01/2014</w:t>
            </w:r>
          </w:p>
        </w:tc>
        <w:tc>
          <w:tcPr>
            <w:tcW w:w="248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960" w:type="dxa"/>
            <w:vAlign w:val="bottom"/>
            <w:gridSpan w:val="3"/>
          </w:tcPr>
          <w:p>
            <w:pPr>
              <w:jc w:val="right"/>
              <w:ind w:right="280"/>
              <w:spacing w:after="0"/>
              <w:rPr>
                <w:sz w:val="20"/>
                <w:szCs w:val="20"/>
                <w:color w:val="auto"/>
              </w:rPr>
            </w:pPr>
            <w:r>
              <w:rPr>
                <w:rFonts w:ascii="Arial" w:cs="Arial" w:eastAsia="Arial" w:hAnsi="Arial"/>
                <w:sz w:val="13"/>
                <w:szCs w:val="13"/>
                <w:color w:val="auto"/>
              </w:rPr>
              <w:t>12.00%</w:t>
            </w:r>
          </w:p>
        </w:tc>
        <w:tc>
          <w:tcPr>
            <w:tcW w:w="9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1,000,000</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995,610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1,115,000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i2 Holdings Ltd.</w:t>
            </w:r>
          </w:p>
        </w:tc>
        <w:tc>
          <w:tcPr>
            <w:tcW w:w="7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2"/>
              </w:rPr>
              <w:t>06/06/2014</w:t>
            </w:r>
          </w:p>
        </w:tc>
        <w:tc>
          <w:tcPr>
            <w:tcW w:w="2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Aerospace and Defense</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8"/>
              </w:rPr>
              <w:t>22,653,857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22,279,800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22,880,395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rPr>
                <w:sz w:val="20"/>
                <w:szCs w:val="20"/>
                <w:color w:val="auto"/>
              </w:rPr>
            </w:pPr>
            <w:r>
              <w:rPr>
                <w:rFonts w:ascii="Arial" w:cs="Arial" w:eastAsia="Arial" w:hAnsi="Arial"/>
                <w:sz w:val="13"/>
                <w:szCs w:val="13"/>
                <w:color w:val="auto"/>
              </w:rPr>
              <w:t>IDQ Holdings, Inc.</w:t>
            </w:r>
          </w:p>
        </w:tc>
        <w:tc>
          <w:tcPr>
            <w:tcW w:w="72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05/20/2012</w:t>
            </w:r>
          </w:p>
        </w:tc>
        <w:tc>
          <w:tcPr>
            <w:tcW w:w="2480" w:type="dxa"/>
            <w:vAlign w:val="bottom"/>
          </w:tcPr>
          <w:p>
            <w:pPr>
              <w:jc w:val="center"/>
              <w:spacing w:after="0"/>
              <w:rPr>
                <w:sz w:val="20"/>
                <w:szCs w:val="20"/>
                <w:color w:val="auto"/>
              </w:rPr>
            </w:pPr>
            <w:r>
              <w:rPr>
                <w:rFonts w:ascii="Arial" w:cs="Arial" w:eastAsia="Arial" w:hAnsi="Arial"/>
                <w:sz w:val="13"/>
                <w:szCs w:val="13"/>
                <w:color w:val="auto"/>
                <w:w w:val="97"/>
              </w:rPr>
              <w:t>Auto Sector</w:t>
            </w:r>
          </w:p>
        </w:tc>
        <w:tc>
          <w:tcPr>
            <w:tcW w:w="960" w:type="dxa"/>
            <w:vAlign w:val="bottom"/>
            <w:gridSpan w:val="3"/>
          </w:tcPr>
          <w:p>
            <w:pPr>
              <w:jc w:val="right"/>
              <w:ind w:right="280"/>
              <w:spacing w:after="0"/>
              <w:rPr>
                <w:sz w:val="20"/>
                <w:szCs w:val="20"/>
                <w:color w:val="auto"/>
              </w:rPr>
            </w:pPr>
            <w:r>
              <w:rPr>
                <w:rFonts w:ascii="Arial" w:cs="Arial" w:eastAsia="Arial" w:hAnsi="Arial"/>
                <w:sz w:val="13"/>
                <w:szCs w:val="13"/>
                <w:color w:val="auto"/>
              </w:rPr>
              <w:t>13.75%</w:t>
            </w:r>
          </w:p>
        </w:tc>
        <w:tc>
          <w:tcPr>
            <w:tcW w:w="9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w w:val="98"/>
              </w:rPr>
              <w:t>20,000,000</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19,632,400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20,060,000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Learning Care Group, Inc.</w:t>
            </w:r>
          </w:p>
        </w:tc>
        <w:tc>
          <w:tcPr>
            <w:tcW w:w="7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2"/>
              </w:rPr>
              <w:t>12/28/2015</w:t>
            </w:r>
          </w:p>
        </w:tc>
        <w:tc>
          <w:tcPr>
            <w:tcW w:w="2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Education</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8"/>
              </w:rPr>
              <w:t>10,324,976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10,190,682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10,324,976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rPr>
                <w:sz w:val="20"/>
                <w:szCs w:val="20"/>
                <w:color w:val="auto"/>
              </w:rPr>
            </w:pPr>
            <w:r>
              <w:rPr>
                <w:rFonts w:ascii="Arial" w:cs="Arial" w:eastAsia="Arial" w:hAnsi="Arial"/>
                <w:sz w:val="13"/>
                <w:szCs w:val="13"/>
                <w:color w:val="auto"/>
              </w:rPr>
              <w:t>Realogy Corp.</w:t>
            </w:r>
          </w:p>
        </w:tc>
        <w:tc>
          <w:tcPr>
            <w:tcW w:w="72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04/15/2015</w:t>
            </w:r>
          </w:p>
        </w:tc>
        <w:tc>
          <w:tcPr>
            <w:tcW w:w="2480" w:type="dxa"/>
            <w:vAlign w:val="bottom"/>
          </w:tcPr>
          <w:p>
            <w:pPr>
              <w:jc w:val="center"/>
              <w:spacing w:after="0"/>
              <w:rPr>
                <w:sz w:val="20"/>
                <w:szCs w:val="20"/>
                <w:color w:val="auto"/>
              </w:rPr>
            </w:pPr>
            <w:r>
              <w:rPr>
                <w:rFonts w:ascii="Arial" w:cs="Arial" w:eastAsia="Arial" w:hAnsi="Arial"/>
                <w:sz w:val="13"/>
                <w:szCs w:val="13"/>
                <w:color w:val="auto"/>
                <w:w w:val="94"/>
              </w:rPr>
              <w:t>Buildings and Real Estate</w:t>
            </w:r>
          </w:p>
        </w:tc>
        <w:tc>
          <w:tcPr>
            <w:tcW w:w="960" w:type="dxa"/>
            <w:vAlign w:val="bottom"/>
            <w:gridSpan w:val="3"/>
          </w:tcPr>
          <w:p>
            <w:pPr>
              <w:jc w:val="right"/>
              <w:ind w:right="280"/>
              <w:spacing w:after="0"/>
              <w:rPr>
                <w:sz w:val="20"/>
                <w:szCs w:val="20"/>
                <w:color w:val="auto"/>
              </w:rPr>
            </w:pPr>
            <w:r>
              <w:rPr>
                <w:rFonts w:ascii="Arial" w:cs="Arial" w:eastAsia="Arial" w:hAnsi="Arial"/>
                <w:sz w:val="13"/>
                <w:szCs w:val="13"/>
                <w:color w:val="auto"/>
              </w:rPr>
              <w:t>12.38%</w:t>
            </w:r>
          </w:p>
        </w:tc>
        <w:tc>
          <w:tcPr>
            <w:tcW w:w="9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w w:val="98"/>
              </w:rPr>
              <w:t>10,000,000</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8,921,187</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5,525,000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Trizetto Group, Inc.</w:t>
            </w:r>
          </w:p>
        </w:tc>
        <w:tc>
          <w:tcPr>
            <w:tcW w:w="7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2"/>
              </w:rPr>
              <w:t>10/01/2016</w:t>
            </w:r>
          </w:p>
        </w:tc>
        <w:tc>
          <w:tcPr>
            <w:tcW w:w="2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Insurance</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8"/>
              </w:rPr>
              <w:t>20,197,856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20,010,210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20,652,308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20" w:type="dxa"/>
            <w:vAlign w:val="bottom"/>
            <w:gridSpan w:val="2"/>
          </w:tcPr>
          <w:p>
            <w:pPr>
              <w:spacing w:after="0"/>
              <w:rPr>
                <w:sz w:val="20"/>
                <w:szCs w:val="20"/>
                <w:color w:val="auto"/>
              </w:rPr>
            </w:pPr>
            <w:r>
              <w:rPr>
                <w:rFonts w:ascii="Arial" w:cs="Arial" w:eastAsia="Arial" w:hAnsi="Arial"/>
                <w:sz w:val="13"/>
                <w:szCs w:val="13"/>
                <w:color w:val="auto"/>
              </w:rPr>
              <w:t>UP Acquisitions Sub Inc.</w:t>
            </w:r>
          </w:p>
        </w:tc>
        <w:tc>
          <w:tcPr>
            <w:tcW w:w="72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02/08/2015</w:t>
            </w:r>
          </w:p>
        </w:tc>
        <w:tc>
          <w:tcPr>
            <w:tcW w:w="2480" w:type="dxa"/>
            <w:vAlign w:val="bottom"/>
          </w:tcPr>
          <w:p>
            <w:pPr>
              <w:jc w:val="center"/>
              <w:spacing w:after="0"/>
              <w:rPr>
                <w:sz w:val="20"/>
                <w:szCs w:val="20"/>
                <w:color w:val="auto"/>
              </w:rPr>
            </w:pPr>
            <w:r>
              <w:rPr>
                <w:rFonts w:ascii="Arial" w:cs="Arial" w:eastAsia="Arial" w:hAnsi="Arial"/>
                <w:sz w:val="13"/>
                <w:szCs w:val="13"/>
                <w:color w:val="auto"/>
                <w:w w:val="93"/>
              </w:rPr>
              <w:t>Oil and Gas</w:t>
            </w:r>
          </w:p>
        </w:tc>
        <w:tc>
          <w:tcPr>
            <w:tcW w:w="960" w:type="dxa"/>
            <w:vAlign w:val="bottom"/>
            <w:gridSpan w:val="3"/>
          </w:tcPr>
          <w:p>
            <w:pPr>
              <w:jc w:val="right"/>
              <w:ind w:right="280"/>
              <w:spacing w:after="0"/>
              <w:rPr>
                <w:sz w:val="20"/>
                <w:szCs w:val="20"/>
                <w:color w:val="auto"/>
              </w:rPr>
            </w:pPr>
            <w:r>
              <w:rPr>
                <w:rFonts w:ascii="Arial" w:cs="Arial" w:eastAsia="Arial" w:hAnsi="Arial"/>
                <w:sz w:val="13"/>
                <w:szCs w:val="13"/>
                <w:color w:val="auto"/>
              </w:rPr>
              <w:t>13.50%</w:t>
            </w:r>
          </w:p>
        </w:tc>
        <w:tc>
          <w:tcPr>
            <w:tcW w:w="9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w w:val="98"/>
              </w:rPr>
              <w:t>21,000,000</w:t>
            </w:r>
          </w:p>
        </w:tc>
        <w:tc>
          <w:tcPr>
            <w:tcW w:w="4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20,472,809</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21,420,000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153,261,822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152,130,057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20" w:type="dxa"/>
            <w:vAlign w:val="bottom"/>
            <w:gridSpan w:val="2"/>
          </w:tcPr>
          <w:p>
            <w:pPr>
              <w:spacing w:after="0"/>
              <w:rPr>
                <w:sz w:val="20"/>
                <w:szCs w:val="20"/>
                <w:color w:val="auto"/>
              </w:rPr>
            </w:pPr>
            <w:r>
              <w:rPr>
                <w:rFonts w:ascii="Arial" w:cs="Arial" w:eastAsia="Arial" w:hAnsi="Arial"/>
                <w:sz w:val="13"/>
                <w:szCs w:val="13"/>
                <w:b w:val="1"/>
                <w:bCs w:val="1"/>
                <w:color w:val="auto"/>
              </w:rPr>
              <w:t>Second Lien Secured Debt — 42.1%</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Brand Energy and Infrastructure Services, Inc.</w:t>
            </w:r>
          </w:p>
        </w:tc>
        <w:tc>
          <w:tcPr>
            <w:tcW w:w="7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2"/>
              </w:rPr>
              <w:t>02/07/2015</w:t>
            </w:r>
          </w:p>
        </w:tc>
        <w:tc>
          <w:tcPr>
            <w:tcW w:w="2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Energy/Utilities</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6.36%</w:t>
            </w: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L+600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8"/>
              </w:rPr>
              <w:t>13,600,000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13,153,077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12,416,800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rPr>
                <w:sz w:val="20"/>
                <w:szCs w:val="20"/>
                <w:color w:val="auto"/>
              </w:rPr>
            </w:pPr>
            <w:r>
              <w:rPr>
                <w:rFonts w:ascii="Arial" w:cs="Arial" w:eastAsia="Arial" w:hAnsi="Arial"/>
                <w:sz w:val="13"/>
                <w:szCs w:val="13"/>
                <w:color w:val="auto"/>
              </w:rPr>
              <w:t>Brand Energy and Infrastructure Services, Inc.</w:t>
            </w:r>
          </w:p>
        </w:tc>
        <w:tc>
          <w:tcPr>
            <w:tcW w:w="72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02/07/2015</w:t>
            </w:r>
          </w:p>
        </w:tc>
        <w:tc>
          <w:tcPr>
            <w:tcW w:w="2480" w:type="dxa"/>
            <w:vAlign w:val="bottom"/>
          </w:tcPr>
          <w:p>
            <w:pPr>
              <w:jc w:val="center"/>
              <w:spacing w:after="0"/>
              <w:rPr>
                <w:sz w:val="20"/>
                <w:szCs w:val="20"/>
                <w:color w:val="auto"/>
              </w:rPr>
            </w:pPr>
            <w:r>
              <w:rPr>
                <w:rFonts w:ascii="Arial" w:cs="Arial" w:eastAsia="Arial" w:hAnsi="Arial"/>
                <w:sz w:val="13"/>
                <w:szCs w:val="13"/>
                <w:color w:val="auto"/>
                <w:w w:val="99"/>
              </w:rPr>
              <w:t>Energy/Utilities</w:t>
            </w:r>
          </w:p>
        </w:tc>
        <w:tc>
          <w:tcPr>
            <w:tcW w:w="960" w:type="dxa"/>
            <w:vAlign w:val="bottom"/>
            <w:gridSpan w:val="3"/>
          </w:tcPr>
          <w:p>
            <w:pPr>
              <w:jc w:val="right"/>
              <w:ind w:right="280"/>
              <w:spacing w:after="0"/>
              <w:rPr>
                <w:sz w:val="20"/>
                <w:szCs w:val="20"/>
                <w:color w:val="auto"/>
              </w:rPr>
            </w:pPr>
            <w:r>
              <w:rPr>
                <w:rFonts w:ascii="Arial" w:cs="Arial" w:eastAsia="Arial" w:hAnsi="Arial"/>
                <w:sz w:val="13"/>
                <w:szCs w:val="13"/>
                <w:color w:val="auto"/>
              </w:rPr>
              <w:t>7.44%</w:t>
            </w:r>
          </w:p>
        </w:tc>
        <w:tc>
          <w:tcPr>
            <w:tcW w:w="920" w:type="dxa"/>
            <w:vAlign w:val="bottom"/>
            <w:gridSpan w:val="2"/>
          </w:tcPr>
          <w:p>
            <w:pPr>
              <w:ind w:left="280"/>
              <w:spacing w:after="0"/>
              <w:rPr>
                <w:sz w:val="20"/>
                <w:szCs w:val="20"/>
                <w:color w:val="auto"/>
              </w:rPr>
            </w:pPr>
            <w:r>
              <w:rPr>
                <w:rFonts w:ascii="Arial" w:cs="Arial" w:eastAsia="Arial" w:hAnsi="Arial"/>
                <w:sz w:val="13"/>
                <w:szCs w:val="13"/>
                <w:color w:val="auto"/>
              </w:rPr>
              <w:t>L+700</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w w:val="98"/>
              </w:rPr>
              <w:t>12,000,000</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11,735,965</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11,364,000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Generics International (U.S.), Inc.</w:t>
            </w:r>
          </w:p>
        </w:tc>
        <w:tc>
          <w:tcPr>
            <w:tcW w:w="72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3"/>
                <w:szCs w:val="13"/>
                <w:color w:val="auto"/>
                <w:w w:val="92"/>
              </w:rPr>
              <w:t>04/30/2015</w:t>
            </w:r>
          </w:p>
        </w:tc>
        <w:tc>
          <w:tcPr>
            <w:tcW w:w="24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Healthcare, Education and</w:t>
            </w:r>
          </w:p>
        </w:tc>
        <w:tc>
          <w:tcPr>
            <w:tcW w:w="96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3"/>
                <w:szCs w:val="13"/>
                <w:color w:val="auto"/>
              </w:rPr>
              <w:t>7.78%</w:t>
            </w:r>
          </w:p>
        </w:tc>
        <w:tc>
          <w:tcPr>
            <w:tcW w:w="92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L+750</w:t>
            </w:r>
          </w:p>
        </w:tc>
        <w:tc>
          <w:tcPr>
            <w:tcW w:w="7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w w:val="98"/>
              </w:rPr>
              <w:t>12,000,000</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11,949,634</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11,376,000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60" w:type="dxa"/>
            <w:vAlign w:val="bottom"/>
            <w:shd w:val="clear" w:color="auto" w:fill="CCEEFF"/>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Childcare</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rPr>
                <w:sz w:val="20"/>
                <w:szCs w:val="20"/>
                <w:color w:val="auto"/>
              </w:rPr>
            </w:pPr>
            <w:r>
              <w:rPr>
                <w:rFonts w:ascii="Arial" w:cs="Arial" w:eastAsia="Arial" w:hAnsi="Arial"/>
                <w:sz w:val="13"/>
                <w:szCs w:val="13"/>
                <w:color w:val="auto"/>
              </w:rPr>
              <w:t>Greatwide Logistics Services, L.L.C.</w:t>
            </w:r>
          </w:p>
        </w:tc>
        <w:tc>
          <w:tcPr>
            <w:tcW w:w="72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03/01/2014</w:t>
            </w:r>
          </w:p>
        </w:tc>
        <w:tc>
          <w:tcPr>
            <w:tcW w:w="2480" w:type="dxa"/>
            <w:vAlign w:val="bottom"/>
          </w:tcPr>
          <w:p>
            <w:pPr>
              <w:jc w:val="center"/>
              <w:spacing w:after="0"/>
              <w:rPr>
                <w:sz w:val="20"/>
                <w:szCs w:val="20"/>
                <w:color w:val="auto"/>
              </w:rPr>
            </w:pPr>
            <w:r>
              <w:rPr>
                <w:rFonts w:ascii="Arial" w:cs="Arial" w:eastAsia="Arial" w:hAnsi="Arial"/>
                <w:sz w:val="13"/>
                <w:szCs w:val="13"/>
                <w:color w:val="auto"/>
                <w:w w:val="92"/>
              </w:rPr>
              <w:t>Cargo Transport</w:t>
            </w:r>
          </w:p>
        </w:tc>
        <w:tc>
          <w:tcPr>
            <w:tcW w:w="96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920" w:type="dxa"/>
            <w:vAlign w:val="bottom"/>
            <w:gridSpan w:val="2"/>
          </w:tcPr>
          <w:p>
            <w:pPr>
              <w:ind w:left="28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2,309,343</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2,309,344</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2,309,344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Questex Media Group, Inc.</w:t>
            </w:r>
          </w:p>
        </w:tc>
        <w:tc>
          <w:tcPr>
            <w:tcW w:w="7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2"/>
              </w:rPr>
              <w:t>11/04/2014</w:t>
            </w:r>
          </w:p>
        </w:tc>
        <w:tc>
          <w:tcPr>
            <w:tcW w:w="2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Other Media</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6.91%</w:t>
            </w:r>
            <w:r>
              <w:rPr>
                <w:rFonts w:ascii="Arial" w:cs="Arial" w:eastAsia="Arial" w:hAnsi="Arial"/>
                <w:sz w:val="17"/>
                <w:szCs w:val="17"/>
                <w:color w:val="auto"/>
                <w:vertAlign w:val="superscript"/>
              </w:rPr>
              <w:t>(7)</w:t>
            </w: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L+650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8"/>
              </w:rPr>
              <w:t>10,000,000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rPr>
                <w:sz w:val="20"/>
                <w:szCs w:val="20"/>
                <w:color w:val="auto"/>
              </w:rPr>
            </w:pPr>
            <w:r>
              <w:rPr>
                <w:rFonts w:ascii="Arial" w:cs="Arial" w:eastAsia="Arial" w:hAnsi="Arial"/>
                <w:sz w:val="13"/>
                <w:szCs w:val="13"/>
                <w:color w:val="auto"/>
              </w:rPr>
              <w:t>Realogy Corp.</w:t>
            </w:r>
          </w:p>
        </w:tc>
        <w:tc>
          <w:tcPr>
            <w:tcW w:w="72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10/15/2017</w:t>
            </w:r>
          </w:p>
        </w:tc>
        <w:tc>
          <w:tcPr>
            <w:tcW w:w="2480" w:type="dxa"/>
            <w:vAlign w:val="bottom"/>
          </w:tcPr>
          <w:p>
            <w:pPr>
              <w:jc w:val="center"/>
              <w:spacing w:after="0"/>
              <w:rPr>
                <w:sz w:val="20"/>
                <w:szCs w:val="20"/>
                <w:color w:val="auto"/>
              </w:rPr>
            </w:pPr>
            <w:r>
              <w:rPr>
                <w:rFonts w:ascii="Arial" w:cs="Arial" w:eastAsia="Arial" w:hAnsi="Arial"/>
                <w:sz w:val="13"/>
                <w:szCs w:val="13"/>
                <w:color w:val="auto"/>
                <w:w w:val="94"/>
              </w:rPr>
              <w:t>Buildings and Real Estate</w:t>
            </w:r>
          </w:p>
        </w:tc>
        <w:tc>
          <w:tcPr>
            <w:tcW w:w="960" w:type="dxa"/>
            <w:vAlign w:val="bottom"/>
            <w:gridSpan w:val="3"/>
          </w:tcPr>
          <w:p>
            <w:pPr>
              <w:jc w:val="right"/>
              <w:ind w:right="280"/>
              <w:spacing w:after="0"/>
              <w:rPr>
                <w:sz w:val="20"/>
                <w:szCs w:val="20"/>
                <w:color w:val="auto"/>
              </w:rPr>
            </w:pPr>
            <w:r>
              <w:rPr>
                <w:rFonts w:ascii="Arial" w:cs="Arial" w:eastAsia="Arial" w:hAnsi="Arial"/>
                <w:sz w:val="13"/>
                <w:szCs w:val="13"/>
                <w:color w:val="auto"/>
              </w:rPr>
              <w:t>13.50%</w:t>
            </w:r>
          </w:p>
        </w:tc>
        <w:tc>
          <w:tcPr>
            <w:tcW w:w="9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w w:val="98"/>
              </w:rPr>
              <w:t>10,000,000</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10,000,000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10,387,500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2"/>
              </w:rPr>
              <w:t>05/15/2015</w:t>
            </w:r>
          </w:p>
        </w:tc>
        <w:tc>
          <w:tcPr>
            <w:tcW w:w="2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Transportation</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8.19%</w:t>
            </w: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L+775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8"/>
              </w:rPr>
              <w:t>10,000,000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9,941,121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2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05/15/2017</w:t>
            </w:r>
          </w:p>
        </w:tc>
        <w:tc>
          <w:tcPr>
            <w:tcW w:w="2480" w:type="dxa"/>
            <w:vAlign w:val="bottom"/>
          </w:tcPr>
          <w:p>
            <w:pPr>
              <w:jc w:val="center"/>
              <w:spacing w:after="0"/>
              <w:rPr>
                <w:sz w:val="20"/>
                <w:szCs w:val="20"/>
                <w:color w:val="auto"/>
              </w:rPr>
            </w:pPr>
            <w:r>
              <w:rPr>
                <w:rFonts w:ascii="Arial" w:cs="Arial" w:eastAsia="Arial" w:hAnsi="Arial"/>
                <w:sz w:val="13"/>
                <w:szCs w:val="13"/>
                <w:color w:val="auto"/>
                <w:w w:val="93"/>
              </w:rPr>
              <w:t>Transportation</w:t>
            </w:r>
          </w:p>
        </w:tc>
        <w:tc>
          <w:tcPr>
            <w:tcW w:w="960" w:type="dxa"/>
            <w:vAlign w:val="bottom"/>
            <w:gridSpan w:val="3"/>
          </w:tcPr>
          <w:p>
            <w:pPr>
              <w:jc w:val="right"/>
              <w:ind w:right="280"/>
              <w:spacing w:after="0"/>
              <w:rPr>
                <w:sz w:val="20"/>
                <w:szCs w:val="20"/>
                <w:color w:val="auto"/>
              </w:rPr>
            </w:pPr>
            <w:r>
              <w:rPr>
                <w:rFonts w:ascii="Arial" w:cs="Arial" w:eastAsia="Arial" w:hAnsi="Arial"/>
                <w:sz w:val="13"/>
                <w:szCs w:val="13"/>
                <w:color w:val="auto"/>
              </w:rPr>
              <w:t>12.50%</w:t>
            </w:r>
          </w:p>
        </w:tc>
        <w:tc>
          <w:tcPr>
            <w:tcW w:w="9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w w:val="98"/>
              </w:rPr>
              <w:t>19,000,000</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16,890,972</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14,250,000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Sheridan Holdings, Inc.</w:t>
            </w:r>
          </w:p>
        </w:tc>
        <w:tc>
          <w:tcPr>
            <w:tcW w:w="72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3"/>
                <w:szCs w:val="13"/>
                <w:color w:val="auto"/>
                <w:w w:val="92"/>
              </w:rPr>
              <w:t>06/15/2015</w:t>
            </w:r>
          </w:p>
        </w:tc>
        <w:tc>
          <w:tcPr>
            <w:tcW w:w="24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Healthcare, Education and</w:t>
            </w:r>
          </w:p>
        </w:tc>
        <w:tc>
          <w:tcPr>
            <w:tcW w:w="96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0"/>
                <w:szCs w:val="10"/>
                <w:color w:val="auto"/>
              </w:rPr>
              <w:t>6.00%</w:t>
            </w:r>
            <w:r>
              <w:rPr>
                <w:rFonts w:ascii="Arial" w:cs="Arial" w:eastAsia="Arial" w:hAnsi="Arial"/>
                <w:sz w:val="15"/>
                <w:szCs w:val="15"/>
                <w:color w:val="auto"/>
                <w:vertAlign w:val="superscript"/>
              </w:rPr>
              <w:t>(6)</w:t>
            </w:r>
          </w:p>
        </w:tc>
        <w:tc>
          <w:tcPr>
            <w:tcW w:w="92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L+575</w:t>
            </w:r>
          </w:p>
        </w:tc>
        <w:tc>
          <w:tcPr>
            <w:tcW w:w="7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w w:val="98"/>
              </w:rPr>
              <w:t>21,500,000</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18,855,728</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19,414,500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60" w:type="dxa"/>
            <w:vAlign w:val="bottom"/>
            <w:shd w:val="clear" w:color="auto" w:fill="CCEEFF"/>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Childcare</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rPr>
                <w:sz w:val="20"/>
                <w:szCs w:val="20"/>
                <w:color w:val="auto"/>
              </w:rPr>
            </w:pPr>
            <w:r>
              <w:rPr>
                <w:rFonts w:ascii="Arial" w:cs="Arial" w:eastAsia="Arial" w:hAnsi="Arial"/>
                <w:sz w:val="13"/>
                <w:szCs w:val="13"/>
                <w:color w:val="auto"/>
              </w:rPr>
              <w:t>Specialized Technology Resources, Inc.</w:t>
            </w:r>
          </w:p>
        </w:tc>
        <w:tc>
          <w:tcPr>
            <w:tcW w:w="72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12/15/2014</w:t>
            </w:r>
          </w:p>
        </w:tc>
        <w:tc>
          <w:tcPr>
            <w:tcW w:w="2480" w:type="dxa"/>
            <w:vAlign w:val="bottom"/>
          </w:tcPr>
          <w:p>
            <w:pPr>
              <w:jc w:val="center"/>
              <w:spacing w:after="0"/>
              <w:rPr>
                <w:sz w:val="20"/>
                <w:szCs w:val="20"/>
                <w:color w:val="auto"/>
              </w:rPr>
            </w:pPr>
            <w:r>
              <w:rPr>
                <w:rFonts w:ascii="Arial" w:cs="Arial" w:eastAsia="Arial" w:hAnsi="Arial"/>
                <w:sz w:val="13"/>
                <w:szCs w:val="13"/>
                <w:color w:val="auto"/>
                <w:w w:val="93"/>
              </w:rPr>
              <w:t>Chemical, Plastics and Rubber</w:t>
            </w:r>
          </w:p>
        </w:tc>
        <w:tc>
          <w:tcPr>
            <w:tcW w:w="96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7.25%</w:t>
            </w:r>
            <w:r>
              <w:rPr>
                <w:rFonts w:ascii="Arial" w:cs="Arial" w:eastAsia="Arial" w:hAnsi="Arial"/>
                <w:sz w:val="17"/>
                <w:szCs w:val="17"/>
                <w:color w:val="auto"/>
                <w:vertAlign w:val="superscript"/>
              </w:rPr>
              <w:t>(6)</w:t>
            </w:r>
          </w:p>
        </w:tc>
        <w:tc>
          <w:tcPr>
            <w:tcW w:w="920" w:type="dxa"/>
            <w:vAlign w:val="bottom"/>
            <w:gridSpan w:val="2"/>
          </w:tcPr>
          <w:p>
            <w:pPr>
              <w:ind w:left="280"/>
              <w:spacing w:after="0"/>
              <w:rPr>
                <w:sz w:val="20"/>
                <w:szCs w:val="20"/>
                <w:color w:val="auto"/>
              </w:rPr>
            </w:pPr>
            <w:r>
              <w:rPr>
                <w:rFonts w:ascii="Arial" w:cs="Arial" w:eastAsia="Arial" w:hAnsi="Arial"/>
                <w:sz w:val="13"/>
                <w:szCs w:val="13"/>
                <w:color w:val="auto"/>
              </w:rPr>
              <w:t>L+700</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w w:val="98"/>
              </w:rPr>
              <w:t>22,500,000</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22,488,166</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22,500,000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TransFirst Holdings, Inc.</w:t>
            </w:r>
          </w:p>
        </w:tc>
        <w:tc>
          <w:tcPr>
            <w:tcW w:w="7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2"/>
              </w:rPr>
              <w:t>06/15/2015</w:t>
            </w:r>
          </w:p>
        </w:tc>
        <w:tc>
          <w:tcPr>
            <w:tcW w:w="2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Financial Services</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7.04%</w:t>
            </w:r>
            <w:r>
              <w:rPr>
                <w:rFonts w:ascii="Arial" w:cs="Arial" w:eastAsia="Arial" w:hAnsi="Arial"/>
                <w:sz w:val="17"/>
                <w:szCs w:val="17"/>
                <w:color w:val="auto"/>
                <w:vertAlign w:val="superscript"/>
              </w:rPr>
              <w:t>(6)</w:t>
            </w: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L+675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8"/>
              </w:rPr>
              <w:t>16,792,105</w:t>
            </w:r>
          </w:p>
        </w:tc>
        <w:tc>
          <w:tcPr>
            <w:tcW w:w="4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16,247,489</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15,264,023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820" w:type="dxa"/>
            <w:vAlign w:val="bottom"/>
            <w:gridSpan w:val="2"/>
          </w:tcPr>
          <w:p>
            <w:pPr>
              <w:spacing w:after="0"/>
              <w:rPr>
                <w:sz w:val="20"/>
                <w:szCs w:val="20"/>
                <w:color w:val="auto"/>
              </w:rPr>
            </w:pPr>
            <w:r>
              <w:rPr>
                <w:rFonts w:ascii="Arial" w:cs="Arial" w:eastAsia="Arial" w:hAnsi="Arial"/>
                <w:sz w:val="13"/>
                <w:szCs w:val="13"/>
                <w:b w:val="1"/>
                <w:bCs w:val="1"/>
                <w:color w:val="auto"/>
              </w:rPr>
              <w:t>Total Second Lien Secured Debt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143,571,496</w:t>
            </w:r>
          </w:p>
        </w:tc>
        <w:tc>
          <w:tcPr>
            <w:tcW w:w="860" w:type="dxa"/>
            <w:vAlign w:val="bottom"/>
            <w:gridSpan w:val="3"/>
          </w:tcPr>
          <w:p>
            <w:pPr>
              <w:jc w:val="right"/>
              <w:ind w:right="20"/>
              <w:spacing w:after="0"/>
              <w:rPr>
                <w:sz w:val="20"/>
                <w:szCs w:val="20"/>
                <w:color w:val="auto"/>
              </w:rPr>
            </w:pPr>
            <w:r>
              <w:rPr>
                <w:rFonts w:ascii="Arial" w:cs="Arial" w:eastAsia="Arial" w:hAnsi="Arial"/>
                <w:sz w:val="13"/>
                <w:szCs w:val="13"/>
                <w:color w:val="auto"/>
              </w:rPr>
              <w:t>126,382,167</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w:t>
            </w:r>
            <w:r>
              <w:rPr>
                <w:rFonts w:ascii="Arial" w:cs="Arial" w:eastAsia="Arial" w:hAnsi="Arial"/>
                <w:sz w:val="17"/>
                <w:szCs w:val="17"/>
                <w:color w:val="auto"/>
                <w:vertAlign w:val="superscript"/>
              </w:rPr>
              <w:t>(7)</w:t>
            </w:r>
            <w:r>
              <w:rPr>
                <w:rFonts w:ascii="Arial" w:cs="Arial" w:eastAsia="Arial" w:hAnsi="Arial"/>
                <w:sz w:val="11"/>
                <w:szCs w:val="11"/>
                <w:b w:val="1"/>
                <w:bCs w:val="1"/>
                <w:color w:val="auto"/>
              </w:rPr>
              <w:t xml:space="preserve"> — 3.6%</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rPr>
                <w:sz w:val="20"/>
                <w:szCs w:val="20"/>
                <w:color w:val="auto"/>
              </w:rPr>
            </w:pPr>
            <w:r>
              <w:rPr>
                <w:rFonts w:ascii="Arial" w:cs="Arial" w:eastAsia="Arial" w:hAnsi="Arial"/>
                <w:sz w:val="13"/>
                <w:szCs w:val="13"/>
                <w:color w:val="auto"/>
              </w:rPr>
              <w:t>CFHC Holdings, Inc., Class A (Consolidated Foundries, Inc.)</w:t>
            </w:r>
          </w:p>
        </w:tc>
        <w:tc>
          <w:tcPr>
            <w:tcW w:w="7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2480" w:type="dxa"/>
            <w:vAlign w:val="bottom"/>
          </w:tcPr>
          <w:p>
            <w:pPr>
              <w:jc w:val="center"/>
              <w:spacing w:after="0"/>
              <w:rPr>
                <w:sz w:val="20"/>
                <w:szCs w:val="20"/>
                <w:color w:val="auto"/>
              </w:rPr>
            </w:pPr>
            <w:r>
              <w:rPr>
                <w:rFonts w:ascii="Arial" w:cs="Arial" w:eastAsia="Arial" w:hAnsi="Arial"/>
                <w:sz w:val="13"/>
                <w:szCs w:val="13"/>
                <w:color w:val="auto"/>
                <w:w w:val="91"/>
              </w:rPr>
              <w:t>Aerospace and Defense</w:t>
            </w:r>
          </w:p>
        </w:tc>
        <w:tc>
          <w:tcPr>
            <w:tcW w:w="960" w:type="dxa"/>
            <w:vAlign w:val="bottom"/>
            <w:gridSpan w:val="3"/>
          </w:tcPr>
          <w:p>
            <w:pPr>
              <w:jc w:val="right"/>
              <w:ind w:right="280"/>
              <w:spacing w:after="0"/>
              <w:rPr>
                <w:sz w:val="20"/>
                <w:szCs w:val="20"/>
                <w:color w:val="auto"/>
              </w:rPr>
            </w:pPr>
            <w:r>
              <w:rPr>
                <w:rFonts w:ascii="Arial" w:cs="Arial" w:eastAsia="Arial" w:hAnsi="Arial"/>
                <w:sz w:val="13"/>
                <w:szCs w:val="13"/>
                <w:color w:val="auto"/>
              </w:rPr>
              <w:t>12.00%</w:t>
            </w:r>
          </w:p>
        </w:tc>
        <w:tc>
          <w:tcPr>
            <w:tcW w:w="9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797</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797,288</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949,648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i2 Holdings Ltd.</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Aerospace and Defense</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12.00%</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4,137,240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4,137,240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4,793,729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rPr>
                <w:sz w:val="20"/>
                <w:szCs w:val="20"/>
                <w:color w:val="auto"/>
              </w:rPr>
            </w:pPr>
            <w:r>
              <w:rPr>
                <w:rFonts w:ascii="Arial" w:cs="Arial" w:eastAsia="Arial" w:hAnsi="Arial"/>
                <w:sz w:val="13"/>
                <w:szCs w:val="13"/>
                <w:color w:val="auto"/>
              </w:rPr>
              <w:t>TZ Holdings, L.P., Series A (Trizetto Group, Inc.)</w:t>
            </w:r>
          </w:p>
        </w:tc>
        <w:tc>
          <w:tcPr>
            <w:tcW w:w="7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2480" w:type="dxa"/>
            <w:vAlign w:val="bottom"/>
          </w:tcPr>
          <w:p>
            <w:pPr>
              <w:jc w:val="center"/>
              <w:spacing w:after="0"/>
              <w:rPr>
                <w:sz w:val="20"/>
                <w:szCs w:val="20"/>
                <w:color w:val="auto"/>
              </w:rPr>
            </w:pPr>
            <w:r>
              <w:rPr>
                <w:rFonts w:ascii="Arial" w:cs="Arial" w:eastAsia="Arial" w:hAnsi="Arial"/>
                <w:sz w:val="13"/>
                <w:szCs w:val="13"/>
                <w:color w:val="auto"/>
                <w:w w:val="91"/>
              </w:rPr>
              <w:t>Insurance</w:t>
            </w:r>
          </w:p>
        </w:tc>
        <w:tc>
          <w:tcPr>
            <w:tcW w:w="100" w:type="dxa"/>
            <w:vAlign w:val="bottom"/>
          </w:tcPr>
          <w:p>
            <w:pPr>
              <w:spacing w:after="0"/>
              <w:rPr>
                <w:sz w:val="12"/>
                <w:szCs w:val="12"/>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9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686</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685,820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685,820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TZ Holdings, L.P., Series B (Trizetto Group, Inc.)</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Insurance</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6.50%</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1,312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1,312,006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1,410,604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rPr>
                <w:sz w:val="20"/>
                <w:szCs w:val="20"/>
                <w:color w:val="auto"/>
              </w:rPr>
            </w:pPr>
            <w:r>
              <w:rPr>
                <w:rFonts w:ascii="Arial" w:cs="Arial" w:eastAsia="Arial" w:hAnsi="Arial"/>
                <w:sz w:val="13"/>
                <w:szCs w:val="13"/>
                <w:color w:val="auto"/>
              </w:rPr>
              <w:t>UP Holdings Inc., Class A-1 (UP Acquisitions Sub Inc.)</w:t>
            </w:r>
          </w:p>
        </w:tc>
        <w:tc>
          <w:tcPr>
            <w:tcW w:w="7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2480" w:type="dxa"/>
            <w:vAlign w:val="bottom"/>
          </w:tcPr>
          <w:p>
            <w:pPr>
              <w:jc w:val="center"/>
              <w:spacing w:after="0"/>
              <w:rPr>
                <w:sz w:val="20"/>
                <w:szCs w:val="20"/>
                <w:color w:val="auto"/>
              </w:rPr>
            </w:pPr>
            <w:r>
              <w:rPr>
                <w:rFonts w:ascii="Arial" w:cs="Arial" w:eastAsia="Arial" w:hAnsi="Arial"/>
                <w:sz w:val="13"/>
                <w:szCs w:val="13"/>
                <w:color w:val="auto"/>
                <w:w w:val="93"/>
              </w:rPr>
              <w:t>Oil and Gas</w:t>
            </w:r>
          </w:p>
        </w:tc>
        <w:tc>
          <w:tcPr>
            <w:tcW w:w="960" w:type="dxa"/>
            <w:vAlign w:val="bottom"/>
            <w:gridSpan w:val="3"/>
          </w:tcPr>
          <w:p>
            <w:pPr>
              <w:jc w:val="right"/>
              <w:ind w:right="280"/>
              <w:spacing w:after="0"/>
              <w:rPr>
                <w:sz w:val="20"/>
                <w:szCs w:val="20"/>
                <w:color w:val="auto"/>
              </w:rPr>
            </w:pPr>
            <w:r>
              <w:rPr>
                <w:rFonts w:ascii="Arial" w:cs="Arial" w:eastAsia="Arial" w:hAnsi="Arial"/>
                <w:sz w:val="13"/>
                <w:szCs w:val="13"/>
                <w:color w:val="auto"/>
              </w:rPr>
              <w:t>8.00%</w:t>
            </w:r>
          </w:p>
        </w:tc>
        <w:tc>
          <w:tcPr>
            <w:tcW w:w="9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91,608</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2,499,067</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3,094,252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VSS-AHC Holdings, LLC (Advanstar Inc.)</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Other Media</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319</w:t>
            </w:r>
          </w:p>
        </w:tc>
        <w:tc>
          <w:tcPr>
            <w:tcW w:w="4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318,896</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820" w:type="dxa"/>
            <w:vAlign w:val="bottom"/>
            <w:gridSpan w:val="2"/>
          </w:tcPr>
          <w:p>
            <w:pPr>
              <w:spacing w:after="0"/>
              <w:rPr>
                <w:sz w:val="20"/>
                <w:szCs w:val="20"/>
                <w:color w:val="auto"/>
              </w:rPr>
            </w:pPr>
            <w:r>
              <w:rPr>
                <w:rFonts w:ascii="Arial" w:cs="Arial" w:eastAsia="Arial" w:hAnsi="Arial"/>
                <w:sz w:val="13"/>
                <w:szCs w:val="13"/>
                <w:b w:val="1"/>
                <w:bCs w:val="1"/>
                <w:color w:val="auto"/>
              </w:rPr>
              <w:t>Total Preferred Equity/Partnership Interests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9,750,317</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10,934,053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0"/>
              </w:rPr>
              <w:t>Basis Point</w:t>
            </w: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0"/>
              </w:rPr>
              <w:t>Spread</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right"/>
              <w:ind w:right="460"/>
              <w:spacing w:after="0" w:line="134" w:lineRule="exact"/>
              <w:rPr>
                <w:sz w:val="20"/>
                <w:szCs w:val="20"/>
                <w:color w:val="auto"/>
              </w:rPr>
            </w:pPr>
            <w:r>
              <w:rPr>
                <w:rFonts w:ascii="Arial" w:cs="Arial" w:eastAsia="Arial" w:hAnsi="Arial"/>
                <w:sz w:val="13"/>
                <w:szCs w:val="13"/>
                <w:b w:val="1"/>
                <w:bCs w:val="1"/>
                <w:color w:val="auto"/>
                <w:w w:val="93"/>
              </w:rPr>
              <w:t>Current</w:t>
            </w:r>
          </w:p>
        </w:tc>
        <w:tc>
          <w:tcPr>
            <w:tcW w:w="64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Above</w:t>
            </w: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84"/>
              </w:rPr>
              <w:t>Fair Value</w:t>
            </w:r>
            <w:r>
              <w:rPr>
                <w:rFonts w:ascii="Arial" w:cs="Arial" w:eastAsia="Arial" w:hAnsi="Arial"/>
                <w:sz w:val="22"/>
                <w:szCs w:val="22"/>
                <w:b w:val="1"/>
                <w:bCs w:val="1"/>
                <w:color w:val="auto"/>
                <w:w w:val="84"/>
                <w:vertAlign w:val="superscript"/>
              </w:rPr>
              <w:t>(3)</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160" w:type="dxa"/>
            <w:vAlign w:val="bottom"/>
          </w:tcPr>
          <w:p>
            <w:pPr>
              <w:spacing w:after="0"/>
              <w:rPr>
                <w:sz w:val="15"/>
                <w:szCs w:val="15"/>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Maturity</w:t>
            </w:r>
          </w:p>
        </w:tc>
        <w:tc>
          <w:tcPr>
            <w:tcW w:w="232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6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89"/>
              </w:rPr>
              <w:t>Coupon</w:t>
            </w:r>
          </w:p>
        </w:tc>
        <w:tc>
          <w:tcPr>
            <w:tcW w:w="640" w:type="dxa"/>
            <w:vAlign w:val="bottom"/>
          </w:tcPr>
          <w:p>
            <w:pPr>
              <w:jc w:val="center"/>
              <w:spacing w:after="0" w:line="176" w:lineRule="exact"/>
              <w:rPr>
                <w:sz w:val="20"/>
                <w:szCs w:val="20"/>
                <w:color w:val="auto"/>
              </w:rPr>
            </w:pPr>
            <w:r>
              <w:rPr>
                <w:rFonts w:ascii="Arial" w:cs="Arial" w:eastAsia="Arial" w:hAnsi="Arial"/>
                <w:sz w:val="12"/>
                <w:szCs w:val="12"/>
                <w:b w:val="1"/>
                <w:bCs w:val="1"/>
                <w:color w:val="auto"/>
                <w:w w:val="94"/>
              </w:rPr>
              <w:t xml:space="preserve">Index </w:t>
            </w:r>
            <w:r>
              <w:rPr>
                <w:rFonts w:ascii="Arial" w:cs="Arial" w:eastAsia="Arial" w:hAnsi="Arial"/>
                <w:sz w:val="20"/>
                <w:szCs w:val="20"/>
                <w:b w:val="1"/>
                <w:bCs w:val="1"/>
                <w:color w:val="auto"/>
                <w:w w:val="94"/>
                <w:vertAlign w:val="superscript"/>
              </w:rPr>
              <w:t>(4)</w:t>
            </w:r>
          </w:p>
        </w:tc>
        <w:tc>
          <w:tcPr>
            <w:tcW w:w="34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0"/>
              </w:rPr>
              <w:t>Par / Shares</w:t>
            </w:r>
          </w:p>
        </w:tc>
        <w:tc>
          <w:tcPr>
            <w:tcW w:w="80" w:type="dxa"/>
            <w:vAlign w:val="bottom"/>
          </w:tcPr>
          <w:p>
            <w:pPr>
              <w:spacing w:after="0"/>
              <w:rPr>
                <w:sz w:val="15"/>
                <w:szCs w:val="15"/>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3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9"/>
                <w:szCs w:val="9"/>
                <w:b w:val="1"/>
                <w:bCs w:val="1"/>
                <w:color w:val="auto"/>
              </w:rPr>
              <w:t xml:space="preserve">Common Equity/Warrants/Partnership Interests </w:t>
            </w:r>
            <w:r>
              <w:rPr>
                <w:rFonts w:ascii="Arial" w:cs="Arial" w:eastAsia="Arial" w:hAnsi="Arial"/>
                <w:sz w:val="14"/>
                <w:szCs w:val="14"/>
                <w:b w:val="1"/>
                <w:bCs w:val="1"/>
                <w:color w:val="auto"/>
                <w:vertAlign w:val="superscript"/>
              </w:rPr>
              <w:t>(7)</w:t>
            </w:r>
            <w:r>
              <w:rPr>
                <w:rFonts w:ascii="Arial" w:cs="Arial" w:eastAsia="Arial" w:hAnsi="Arial"/>
                <w:sz w:val="9"/>
                <w:szCs w:val="9"/>
                <w:b w:val="1"/>
                <w:bCs w:val="1"/>
                <w:color w:val="auto"/>
              </w:rPr>
              <w:t xml:space="preserve"> —</w:t>
            </w:r>
          </w:p>
        </w:tc>
        <w:tc>
          <w:tcPr>
            <w:tcW w:w="1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8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4.5%</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20"/>
                <w:szCs w:val="20"/>
                <w:color w:val="auto"/>
              </w:rPr>
            </w:pPr>
            <w:r>
              <w:rPr>
                <w:rFonts w:ascii="Arial" w:cs="Arial" w:eastAsia="Arial" w:hAnsi="Arial"/>
                <w:sz w:val="13"/>
                <w:szCs w:val="13"/>
                <w:color w:val="auto"/>
              </w:rPr>
              <w:t>AHC Mezzanine (Advanstar Inc.)</w:t>
            </w:r>
          </w:p>
        </w:tc>
        <w:tc>
          <w:tcPr>
            <w:tcW w:w="160" w:type="dxa"/>
            <w:vAlign w:val="bottom"/>
          </w:tcPr>
          <w:p>
            <w:pPr>
              <w:spacing w:after="0"/>
              <w:rPr>
                <w:sz w:val="12"/>
                <w:szCs w:val="12"/>
                <w:color w:val="auto"/>
              </w:rPr>
            </w:pPr>
          </w:p>
        </w:tc>
        <w:tc>
          <w:tcPr>
            <w:tcW w:w="78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2320" w:type="dxa"/>
            <w:vAlign w:val="bottom"/>
          </w:tcPr>
          <w:p>
            <w:pPr>
              <w:jc w:val="center"/>
              <w:spacing w:after="0"/>
              <w:rPr>
                <w:sz w:val="20"/>
                <w:szCs w:val="20"/>
                <w:color w:val="auto"/>
              </w:rPr>
            </w:pPr>
            <w:r>
              <w:rPr>
                <w:rFonts w:ascii="Arial" w:cs="Arial" w:eastAsia="Arial" w:hAnsi="Arial"/>
                <w:sz w:val="13"/>
                <w:szCs w:val="13"/>
                <w:color w:val="auto"/>
                <w:w w:val="95"/>
              </w:rPr>
              <w:t>Other Media</w:t>
            </w:r>
          </w:p>
        </w:tc>
        <w:tc>
          <w:tcPr>
            <w:tcW w:w="160" w:type="dxa"/>
            <w:vAlign w:val="bottom"/>
          </w:tcPr>
          <w:p>
            <w:pPr>
              <w:spacing w:after="0"/>
              <w:rPr>
                <w:sz w:val="12"/>
                <w:szCs w:val="12"/>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3"/>
                <w:szCs w:val="13"/>
                <w:color w:val="auto"/>
              </w:rPr>
              <w:t>—</w:t>
            </w:r>
          </w:p>
        </w:tc>
        <w:tc>
          <w:tcPr>
            <w:tcW w:w="640" w:type="dxa"/>
            <w:vAlign w:val="bottom"/>
          </w:tcPr>
          <w:p>
            <w:pPr>
              <w:ind w:left="4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3,000</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color w:val="auto"/>
              </w:rPr>
              <w:t>$  3,005,163</w:t>
            </w:r>
          </w:p>
        </w:tc>
        <w:tc>
          <w:tcPr>
            <w:tcW w:w="160" w:type="dxa"/>
            <w:vAlign w:val="bottom"/>
          </w:tcPr>
          <w:p>
            <w:pPr>
              <w:ind w:left="100"/>
              <w:spacing w:after="0"/>
              <w:rPr>
                <w:sz w:val="20"/>
                <w:szCs w:val="20"/>
                <w:color w:val="auto"/>
              </w:rPr>
            </w:pPr>
            <w:r>
              <w:rPr>
                <w:rFonts w:ascii="Arial" w:cs="Arial" w:eastAsia="Arial" w:hAnsi="Arial"/>
                <w:sz w:val="4"/>
                <w:szCs w:val="4"/>
                <w:color w:val="auto"/>
                <w:w w:val="87"/>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3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CFHC Holdings, Inc.</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3"/>
                <w:szCs w:val="13"/>
                <w:color w:val="auto"/>
              </w:rPr>
              <w:t>—</w:t>
            </w:r>
          </w:p>
        </w:tc>
        <w:tc>
          <w:tcPr>
            <w:tcW w:w="23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1"/>
              </w:rPr>
              <w:t>Aerospace and Defense</w:t>
            </w:r>
          </w:p>
        </w:tc>
        <w:tc>
          <w:tcPr>
            <w:tcW w:w="1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52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1,627</w:t>
            </w:r>
          </w:p>
        </w:tc>
        <w:tc>
          <w:tcPr>
            <w:tcW w:w="9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16,271</w:t>
            </w: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215,547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3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(Consolidated Foundries, Inc.)</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380" w:type="dxa"/>
            <w:vAlign w:val="bottom"/>
          </w:tcPr>
          <w:p>
            <w:pPr>
              <w:spacing w:after="0" w:line="138" w:lineRule="exact"/>
              <w:rPr>
                <w:sz w:val="20"/>
                <w:szCs w:val="20"/>
                <w:color w:val="auto"/>
              </w:rPr>
            </w:pPr>
            <w:r>
              <w:rPr>
                <w:rFonts w:ascii="Arial" w:cs="Arial" w:eastAsia="Arial" w:hAnsi="Arial"/>
                <w:sz w:val="13"/>
                <w:szCs w:val="13"/>
                <w:color w:val="auto"/>
              </w:rPr>
              <w:t>CT Technologies Holdings, LLC</w:t>
            </w:r>
          </w:p>
        </w:tc>
        <w:tc>
          <w:tcPr>
            <w:tcW w:w="160" w:type="dxa"/>
            <w:vAlign w:val="bottom"/>
          </w:tcPr>
          <w:p>
            <w:pPr>
              <w:spacing w:after="0"/>
              <w:rPr>
                <w:sz w:val="11"/>
                <w:szCs w:val="11"/>
                <w:color w:val="auto"/>
              </w:rPr>
            </w:pPr>
          </w:p>
        </w:tc>
        <w:tc>
          <w:tcPr>
            <w:tcW w:w="780" w:type="dxa"/>
            <w:vAlign w:val="bottom"/>
            <w:gridSpan w:val="2"/>
          </w:tcPr>
          <w:p>
            <w:pPr>
              <w:ind w:left="420"/>
              <w:spacing w:after="0" w:line="138" w:lineRule="exact"/>
              <w:rPr>
                <w:sz w:val="20"/>
                <w:szCs w:val="20"/>
                <w:color w:val="auto"/>
              </w:rPr>
            </w:pPr>
            <w:r>
              <w:rPr>
                <w:rFonts w:ascii="Arial" w:cs="Arial" w:eastAsia="Arial" w:hAnsi="Arial"/>
                <w:sz w:val="13"/>
                <w:szCs w:val="13"/>
                <w:color w:val="auto"/>
              </w:rPr>
              <w:t>—</w:t>
            </w:r>
          </w:p>
        </w:tc>
        <w:tc>
          <w:tcPr>
            <w:tcW w:w="2320" w:type="dxa"/>
            <w:vAlign w:val="bottom"/>
          </w:tcPr>
          <w:p>
            <w:pPr>
              <w:jc w:val="center"/>
              <w:spacing w:after="0" w:line="138" w:lineRule="exact"/>
              <w:rPr>
                <w:sz w:val="20"/>
                <w:szCs w:val="20"/>
                <w:color w:val="auto"/>
              </w:rPr>
            </w:pPr>
            <w:r>
              <w:rPr>
                <w:rFonts w:ascii="Arial" w:cs="Arial" w:eastAsia="Arial" w:hAnsi="Arial"/>
                <w:sz w:val="13"/>
                <w:szCs w:val="13"/>
                <w:color w:val="auto"/>
                <w:w w:val="90"/>
              </w:rPr>
              <w:t>Business Services</w:t>
            </w:r>
          </w:p>
        </w:tc>
        <w:tc>
          <w:tcPr>
            <w:tcW w:w="160" w:type="dxa"/>
            <w:vAlign w:val="bottom"/>
          </w:tcPr>
          <w:p>
            <w:pPr>
              <w:spacing w:after="0"/>
              <w:rPr>
                <w:sz w:val="11"/>
                <w:szCs w:val="11"/>
                <w:color w:val="auto"/>
              </w:rPr>
            </w:pPr>
          </w:p>
        </w:tc>
        <w:tc>
          <w:tcPr>
            <w:tcW w:w="920" w:type="dxa"/>
            <w:vAlign w:val="bottom"/>
            <w:gridSpan w:val="2"/>
          </w:tcPr>
          <w:p>
            <w:pPr>
              <w:jc w:val="right"/>
              <w:ind w:right="52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ind w:left="440"/>
              <w:spacing w:after="0" w:line="138"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80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5,556</w:t>
            </w:r>
          </w:p>
        </w:tc>
        <w:tc>
          <w:tcPr>
            <w:tcW w:w="900" w:type="dxa"/>
            <w:vAlign w:val="bottom"/>
            <w:gridSpan w:val="3"/>
          </w:tcPr>
          <w:p>
            <w:pPr>
              <w:jc w:val="right"/>
              <w:ind w:right="80"/>
              <w:spacing w:after="0" w:line="138" w:lineRule="exact"/>
              <w:rPr>
                <w:sz w:val="20"/>
                <w:szCs w:val="20"/>
                <w:color w:val="auto"/>
              </w:rPr>
            </w:pPr>
            <w:r>
              <w:rPr>
                <w:rFonts w:ascii="Arial" w:cs="Arial" w:eastAsia="Arial" w:hAnsi="Arial"/>
                <w:sz w:val="13"/>
                <w:szCs w:val="13"/>
                <w:color w:val="auto"/>
              </w:rPr>
              <w:t>3,200,000</w:t>
            </w:r>
          </w:p>
        </w:tc>
        <w:tc>
          <w:tcPr>
            <w:tcW w:w="1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6,696,281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380" w:type="dxa"/>
            <w:vAlign w:val="bottom"/>
          </w:tcPr>
          <w:p>
            <w:pPr>
              <w:spacing w:after="0"/>
              <w:rPr>
                <w:sz w:val="20"/>
                <w:szCs w:val="20"/>
                <w:color w:val="auto"/>
              </w:rPr>
            </w:pPr>
            <w:r>
              <w:rPr>
                <w:rFonts w:ascii="Arial" w:cs="Arial" w:eastAsia="Arial" w:hAnsi="Arial"/>
                <w:sz w:val="13"/>
                <w:szCs w:val="13"/>
                <w:color w:val="auto"/>
              </w:rPr>
              <w:t>(CT Technologies Intermediate Holdings, Inc.)</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i2 Holdings Ltd.</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Aerospace and Defense</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457,322</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454,030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1,293,476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380" w:type="dxa"/>
            <w:vAlign w:val="bottom"/>
          </w:tcPr>
          <w:p>
            <w:pPr>
              <w:spacing w:after="0" w:line="138" w:lineRule="exact"/>
              <w:rPr>
                <w:sz w:val="20"/>
                <w:szCs w:val="20"/>
                <w:color w:val="auto"/>
              </w:rPr>
            </w:pPr>
            <w:r>
              <w:rPr>
                <w:rFonts w:ascii="Arial" w:cs="Arial" w:eastAsia="Arial" w:hAnsi="Arial"/>
                <w:sz w:val="13"/>
                <w:szCs w:val="13"/>
                <w:color w:val="auto"/>
              </w:rPr>
              <w:t>Transportation 100 Holdco, L.L.C.</w:t>
            </w:r>
          </w:p>
        </w:tc>
        <w:tc>
          <w:tcPr>
            <w:tcW w:w="160" w:type="dxa"/>
            <w:vAlign w:val="bottom"/>
          </w:tcPr>
          <w:p>
            <w:pPr>
              <w:spacing w:after="0"/>
              <w:rPr>
                <w:sz w:val="11"/>
                <w:szCs w:val="11"/>
                <w:color w:val="auto"/>
              </w:rPr>
            </w:pPr>
          </w:p>
        </w:tc>
        <w:tc>
          <w:tcPr>
            <w:tcW w:w="780" w:type="dxa"/>
            <w:vAlign w:val="bottom"/>
            <w:gridSpan w:val="2"/>
          </w:tcPr>
          <w:p>
            <w:pPr>
              <w:ind w:left="420"/>
              <w:spacing w:after="0" w:line="138" w:lineRule="exact"/>
              <w:rPr>
                <w:sz w:val="20"/>
                <w:szCs w:val="20"/>
                <w:color w:val="auto"/>
              </w:rPr>
            </w:pPr>
            <w:r>
              <w:rPr>
                <w:rFonts w:ascii="Arial" w:cs="Arial" w:eastAsia="Arial" w:hAnsi="Arial"/>
                <w:sz w:val="13"/>
                <w:szCs w:val="13"/>
                <w:color w:val="auto"/>
              </w:rPr>
              <w:t>—</w:t>
            </w:r>
          </w:p>
        </w:tc>
        <w:tc>
          <w:tcPr>
            <w:tcW w:w="2320" w:type="dxa"/>
            <w:vAlign w:val="bottom"/>
          </w:tcPr>
          <w:p>
            <w:pPr>
              <w:jc w:val="center"/>
              <w:spacing w:after="0" w:line="138" w:lineRule="exact"/>
              <w:rPr>
                <w:sz w:val="20"/>
                <w:szCs w:val="20"/>
                <w:color w:val="auto"/>
              </w:rPr>
            </w:pPr>
            <w:r>
              <w:rPr>
                <w:rFonts w:ascii="Arial" w:cs="Arial" w:eastAsia="Arial" w:hAnsi="Arial"/>
                <w:sz w:val="13"/>
                <w:szCs w:val="13"/>
                <w:color w:val="auto"/>
                <w:w w:val="92"/>
              </w:rPr>
              <w:t>Cargo Transport</w:t>
            </w:r>
          </w:p>
        </w:tc>
        <w:tc>
          <w:tcPr>
            <w:tcW w:w="160" w:type="dxa"/>
            <w:vAlign w:val="bottom"/>
          </w:tcPr>
          <w:p>
            <w:pPr>
              <w:spacing w:after="0"/>
              <w:rPr>
                <w:sz w:val="11"/>
                <w:szCs w:val="11"/>
                <w:color w:val="auto"/>
              </w:rPr>
            </w:pPr>
          </w:p>
        </w:tc>
        <w:tc>
          <w:tcPr>
            <w:tcW w:w="920" w:type="dxa"/>
            <w:vAlign w:val="bottom"/>
            <w:gridSpan w:val="2"/>
          </w:tcPr>
          <w:p>
            <w:pPr>
              <w:jc w:val="right"/>
              <w:ind w:right="52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ind w:left="440"/>
              <w:spacing w:after="0" w:line="138"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80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106,299</w:t>
            </w:r>
          </w:p>
        </w:tc>
        <w:tc>
          <w:tcPr>
            <w:tcW w:w="900" w:type="dxa"/>
            <w:vAlign w:val="bottom"/>
            <w:gridSpan w:val="3"/>
          </w:tcPr>
          <w:p>
            <w:pPr>
              <w:jc w:val="right"/>
              <w:ind w:right="80"/>
              <w:spacing w:after="0" w:line="138" w:lineRule="exact"/>
              <w:rPr>
                <w:sz w:val="20"/>
                <w:szCs w:val="20"/>
                <w:color w:val="auto"/>
              </w:rPr>
            </w:pPr>
            <w:r>
              <w:rPr>
                <w:rFonts w:ascii="Arial" w:cs="Arial" w:eastAsia="Arial" w:hAnsi="Arial"/>
                <w:sz w:val="13"/>
                <w:szCs w:val="13"/>
                <w:color w:val="auto"/>
              </w:rPr>
              <w:t>1,779,455</w:t>
            </w:r>
          </w:p>
        </w:tc>
        <w:tc>
          <w:tcPr>
            <w:tcW w:w="1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2,391,463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380" w:type="dxa"/>
            <w:vAlign w:val="bottom"/>
          </w:tcPr>
          <w:p>
            <w:pPr>
              <w:spacing w:after="0"/>
              <w:rPr>
                <w:sz w:val="20"/>
                <w:szCs w:val="20"/>
                <w:color w:val="auto"/>
              </w:rPr>
            </w:pPr>
            <w:r>
              <w:rPr>
                <w:rFonts w:ascii="Arial" w:cs="Arial" w:eastAsia="Arial" w:hAnsi="Arial"/>
                <w:sz w:val="13"/>
                <w:szCs w:val="13"/>
                <w:color w:val="auto"/>
              </w:rPr>
              <w:t>(Greatwide Logistics Services, L.L.C)</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TZ Holdings, L.P. (Trizetto Group, Inc.)</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Insurance</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6,467</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1,337,451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20"/>
                <w:szCs w:val="20"/>
                <w:color w:val="auto"/>
              </w:rPr>
            </w:pPr>
            <w:r>
              <w:rPr>
                <w:rFonts w:ascii="Arial" w:cs="Arial" w:eastAsia="Arial" w:hAnsi="Arial"/>
                <w:sz w:val="13"/>
                <w:szCs w:val="13"/>
                <w:color w:val="auto"/>
              </w:rPr>
              <w:t>UP Holdings Inc. (UP Acquisitions Sub Inc.)</w:t>
            </w:r>
          </w:p>
        </w:tc>
        <w:tc>
          <w:tcPr>
            <w:tcW w:w="160" w:type="dxa"/>
            <w:vAlign w:val="bottom"/>
          </w:tcPr>
          <w:p>
            <w:pPr>
              <w:spacing w:after="0"/>
              <w:rPr>
                <w:sz w:val="12"/>
                <w:szCs w:val="12"/>
                <w:color w:val="auto"/>
              </w:rPr>
            </w:pPr>
          </w:p>
        </w:tc>
        <w:tc>
          <w:tcPr>
            <w:tcW w:w="78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2320" w:type="dxa"/>
            <w:vAlign w:val="bottom"/>
          </w:tcPr>
          <w:p>
            <w:pPr>
              <w:jc w:val="center"/>
              <w:spacing w:after="0"/>
              <w:rPr>
                <w:sz w:val="20"/>
                <w:szCs w:val="20"/>
                <w:color w:val="auto"/>
              </w:rPr>
            </w:pPr>
            <w:r>
              <w:rPr>
                <w:rFonts w:ascii="Arial" w:cs="Arial" w:eastAsia="Arial" w:hAnsi="Arial"/>
                <w:sz w:val="13"/>
                <w:szCs w:val="13"/>
                <w:color w:val="auto"/>
                <w:w w:val="93"/>
              </w:rPr>
              <w:t>Oil and Gas</w:t>
            </w:r>
          </w:p>
        </w:tc>
        <w:tc>
          <w:tcPr>
            <w:tcW w:w="160" w:type="dxa"/>
            <w:vAlign w:val="bottom"/>
          </w:tcPr>
          <w:p>
            <w:pPr>
              <w:spacing w:after="0"/>
              <w:rPr>
                <w:sz w:val="12"/>
                <w:szCs w:val="12"/>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3"/>
                <w:szCs w:val="13"/>
                <w:color w:val="auto"/>
              </w:rPr>
              <w:t>—</w:t>
            </w:r>
          </w:p>
        </w:tc>
        <w:tc>
          <w:tcPr>
            <w:tcW w:w="640" w:type="dxa"/>
            <w:vAlign w:val="bottom"/>
          </w:tcPr>
          <w:p>
            <w:pPr>
              <w:ind w:left="4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91,608</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color w:val="auto"/>
              </w:rPr>
              <w:t>916</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1,656,350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VSS-AHC Holdings, Inc. (Advanstar Inc.) (Warrant)</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w w:val="92"/>
              </w:rPr>
              <w:t>11/06/2018</w:t>
            </w:r>
          </w:p>
        </w:tc>
        <w:tc>
          <w:tcPr>
            <w:tcW w:w="2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Other Media</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w:t>
            </w:r>
          </w:p>
        </w:tc>
        <w:tc>
          <w:tcPr>
            <w:tcW w:w="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380" w:type="dxa"/>
            <w:vAlign w:val="bottom"/>
          </w:tcPr>
          <w:p>
            <w:pPr>
              <w:spacing w:after="0"/>
              <w:rPr>
                <w:sz w:val="20"/>
                <w:szCs w:val="20"/>
                <w:color w:val="auto"/>
              </w:rPr>
            </w:pPr>
            <w:r>
              <w:rPr>
                <w:rFonts w:ascii="Arial" w:cs="Arial" w:eastAsia="Arial" w:hAnsi="Arial"/>
                <w:sz w:val="13"/>
                <w:szCs w:val="13"/>
                <w:b w:val="1"/>
                <w:bCs w:val="1"/>
                <w:color w:val="auto"/>
              </w:rPr>
              <w:t>Total Common Equity/Warrants/Partnership Interests</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3"/>
                <w:szCs w:val="13"/>
                <w:color w:val="auto"/>
              </w:rPr>
              <w:t>8,462,302</w:t>
            </w:r>
          </w:p>
        </w:tc>
        <w:tc>
          <w:tcPr>
            <w:tcW w:w="1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13,590,568</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First Lien Secured Debt—50.1%</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20"/>
                <w:szCs w:val="20"/>
                <w:color w:val="auto"/>
              </w:rPr>
            </w:pPr>
            <w:r>
              <w:rPr>
                <w:rFonts w:ascii="Arial" w:cs="Arial" w:eastAsia="Arial" w:hAnsi="Arial"/>
                <w:sz w:val="13"/>
                <w:szCs w:val="13"/>
                <w:color w:val="auto"/>
              </w:rPr>
              <w:t>1-800 Contacts, Inc.</w:t>
            </w:r>
          </w:p>
        </w:tc>
        <w:tc>
          <w:tcPr>
            <w:tcW w:w="940" w:type="dxa"/>
            <w:vAlign w:val="bottom"/>
            <w:gridSpan w:val="3"/>
          </w:tcPr>
          <w:p>
            <w:pPr>
              <w:jc w:val="center"/>
              <w:spacing w:after="0"/>
              <w:rPr>
                <w:sz w:val="20"/>
                <w:szCs w:val="20"/>
                <w:color w:val="auto"/>
              </w:rPr>
            </w:pPr>
            <w:r>
              <w:rPr>
                <w:rFonts w:ascii="Arial" w:cs="Arial" w:eastAsia="Arial" w:hAnsi="Arial"/>
                <w:sz w:val="13"/>
                <w:szCs w:val="13"/>
                <w:color w:val="auto"/>
                <w:w w:val="92"/>
              </w:rPr>
              <w:t>03/04/2015</w:t>
            </w:r>
          </w:p>
        </w:tc>
        <w:tc>
          <w:tcPr>
            <w:tcW w:w="2320" w:type="dxa"/>
            <w:vAlign w:val="bottom"/>
          </w:tcPr>
          <w:p>
            <w:pPr>
              <w:jc w:val="center"/>
              <w:spacing w:after="0"/>
              <w:rPr>
                <w:sz w:val="20"/>
                <w:szCs w:val="20"/>
                <w:color w:val="auto"/>
              </w:rPr>
            </w:pPr>
            <w:r>
              <w:rPr>
                <w:rFonts w:ascii="Arial" w:cs="Arial" w:eastAsia="Arial" w:hAnsi="Arial"/>
                <w:sz w:val="13"/>
                <w:szCs w:val="13"/>
                <w:color w:val="auto"/>
                <w:w w:val="98"/>
              </w:rPr>
              <w:t>Distribution</w:t>
            </w:r>
          </w:p>
        </w:tc>
        <w:tc>
          <w:tcPr>
            <w:tcW w:w="1080" w:type="dxa"/>
            <w:vAlign w:val="bottom"/>
            <w:gridSpan w:val="3"/>
          </w:tcPr>
          <w:p>
            <w:pPr>
              <w:jc w:val="right"/>
              <w:ind w:right="340"/>
              <w:spacing w:after="0"/>
              <w:rPr>
                <w:sz w:val="20"/>
                <w:szCs w:val="20"/>
                <w:color w:val="auto"/>
              </w:rPr>
            </w:pPr>
            <w:r>
              <w:rPr>
                <w:rFonts w:ascii="Arial" w:cs="Arial" w:eastAsia="Arial" w:hAnsi="Arial"/>
                <w:sz w:val="13"/>
                <w:szCs w:val="13"/>
                <w:color w:val="auto"/>
              </w:rPr>
              <w:t>7.70%</w:t>
            </w:r>
          </w:p>
        </w:tc>
        <w:tc>
          <w:tcPr>
            <w:tcW w:w="980" w:type="dxa"/>
            <w:vAlign w:val="bottom"/>
            <w:gridSpan w:val="2"/>
          </w:tcPr>
          <w:p>
            <w:pPr>
              <w:jc w:val="right"/>
              <w:ind w:right="144"/>
              <w:spacing w:after="0" w:line="149" w:lineRule="exact"/>
              <w:rPr>
                <w:sz w:val="20"/>
                <w:szCs w:val="20"/>
                <w:color w:val="auto"/>
              </w:rPr>
            </w:pPr>
            <w:r>
              <w:rPr>
                <w:rFonts w:ascii="Arial" w:cs="Arial" w:eastAsia="Arial" w:hAnsi="Arial"/>
                <w:sz w:val="11"/>
                <w:szCs w:val="11"/>
                <w:color w:val="auto"/>
              </w:rPr>
              <w:t>P+295</w:t>
            </w:r>
            <w:r>
              <w:rPr>
                <w:rFonts w:ascii="Arial" w:cs="Arial" w:eastAsia="Arial" w:hAnsi="Arial"/>
                <w:sz w:val="17"/>
                <w:szCs w:val="17"/>
                <w:color w:val="auto"/>
                <w:vertAlign w:val="superscript"/>
              </w:rPr>
              <w:t>(8)</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13,929,825</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color w:val="auto"/>
              </w:rPr>
              <w:t>11,941,660</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13,720,877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Burlington Coat Factory Warehouse Corp.</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w w:val="92"/>
              </w:rPr>
              <w:t>05/28/2013</w:t>
            </w:r>
          </w:p>
        </w:tc>
        <w:tc>
          <w:tcPr>
            <w:tcW w:w="2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Retail Store</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2.57%</w:t>
            </w:r>
          </w:p>
        </w:tc>
        <w:tc>
          <w:tcPr>
            <w:tcW w:w="980" w:type="dxa"/>
            <w:vAlign w:val="bottom"/>
            <w:gridSpan w:val="2"/>
            <w:shd w:val="clear" w:color="auto" w:fill="CCEEFF"/>
          </w:tcPr>
          <w:p>
            <w:pPr>
              <w:jc w:val="right"/>
              <w:ind w:right="284"/>
              <w:spacing w:after="0"/>
              <w:rPr>
                <w:sz w:val="20"/>
                <w:szCs w:val="20"/>
                <w:color w:val="auto"/>
              </w:rPr>
            </w:pPr>
            <w:r>
              <w:rPr>
                <w:rFonts w:ascii="Arial" w:cs="Arial" w:eastAsia="Arial" w:hAnsi="Arial"/>
                <w:sz w:val="13"/>
                <w:szCs w:val="13"/>
                <w:color w:val="auto"/>
              </w:rPr>
              <w:t>L+225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2,837,374</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2,835,299</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2,578,464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w:t>
            </w:r>
          </w:p>
        </w:tc>
        <w:tc>
          <w:tcPr>
            <w:tcW w:w="940" w:type="dxa"/>
            <w:vAlign w:val="bottom"/>
            <w:gridSpan w:val="3"/>
          </w:tcPr>
          <w:p>
            <w:pPr>
              <w:jc w:val="center"/>
              <w:spacing w:after="0"/>
              <w:rPr>
                <w:sz w:val="20"/>
                <w:szCs w:val="20"/>
                <w:color w:val="auto"/>
              </w:rPr>
            </w:pPr>
            <w:r>
              <w:rPr>
                <w:rFonts w:ascii="Arial" w:cs="Arial" w:eastAsia="Arial" w:hAnsi="Arial"/>
                <w:sz w:val="13"/>
                <w:szCs w:val="13"/>
                <w:color w:val="auto"/>
                <w:w w:val="92"/>
              </w:rPr>
              <w:t>10/01/2016</w:t>
            </w:r>
          </w:p>
        </w:tc>
        <w:tc>
          <w:tcPr>
            <w:tcW w:w="2320" w:type="dxa"/>
            <w:vAlign w:val="bottom"/>
          </w:tcPr>
          <w:p>
            <w:pPr>
              <w:jc w:val="center"/>
              <w:spacing w:after="0"/>
              <w:rPr>
                <w:sz w:val="20"/>
                <w:szCs w:val="20"/>
                <w:color w:val="auto"/>
              </w:rPr>
            </w:pPr>
            <w:r>
              <w:rPr>
                <w:rFonts w:ascii="Arial" w:cs="Arial" w:eastAsia="Arial" w:hAnsi="Arial"/>
                <w:sz w:val="13"/>
                <w:szCs w:val="13"/>
                <w:color w:val="auto"/>
                <w:w w:val="94"/>
              </w:rPr>
              <w:t>Logistics</w:t>
            </w:r>
          </w:p>
        </w:tc>
        <w:tc>
          <w:tcPr>
            <w:tcW w:w="1080" w:type="dxa"/>
            <w:vAlign w:val="bottom"/>
            <w:gridSpan w:val="3"/>
          </w:tcPr>
          <w:p>
            <w:pPr>
              <w:jc w:val="right"/>
              <w:ind w:right="340"/>
              <w:spacing w:after="0"/>
              <w:rPr>
                <w:sz w:val="20"/>
                <w:szCs w:val="20"/>
                <w:color w:val="auto"/>
              </w:rPr>
            </w:pPr>
            <w:r>
              <w:rPr>
                <w:rFonts w:ascii="Arial" w:cs="Arial" w:eastAsia="Arial" w:hAnsi="Arial"/>
                <w:sz w:val="13"/>
                <w:szCs w:val="13"/>
                <w:color w:val="auto"/>
              </w:rPr>
              <w:t>11.63%</w:t>
            </w:r>
          </w:p>
        </w:tc>
        <w:tc>
          <w:tcPr>
            <w:tcW w:w="640" w:type="dxa"/>
            <w:vAlign w:val="bottom"/>
          </w:tcPr>
          <w:p>
            <w:pPr>
              <w:ind w:left="440"/>
              <w:spacing w:after="0"/>
              <w:rPr>
                <w:sz w:val="20"/>
                <w:szCs w:val="20"/>
                <w:color w:val="auto"/>
              </w:rPr>
            </w:pPr>
            <w:r>
              <w:rPr>
                <w:rFonts w:ascii="Arial" w:cs="Arial" w:eastAsia="Arial" w:hAnsi="Arial"/>
                <w:sz w:val="13"/>
                <w:szCs w:val="13"/>
                <w:color w:val="auto"/>
              </w:rPr>
              <w:t>—</w:t>
            </w:r>
          </w:p>
        </w:tc>
        <w:tc>
          <w:tcPr>
            <w:tcW w:w="340" w:type="dxa"/>
            <w:vAlign w:val="bottom"/>
            <w:vMerge w:val="restart"/>
          </w:tcPr>
          <w:p>
            <w:pPr>
              <w:jc w:val="right"/>
              <w:ind w:right="144"/>
              <w:spacing w:after="0"/>
              <w:rPr>
                <w:sz w:val="20"/>
                <w:szCs w:val="20"/>
                <w:color w:val="auto"/>
              </w:rPr>
            </w:pPr>
            <w:r>
              <w:rPr>
                <w:rFonts w:ascii="Arial" w:cs="Arial" w:eastAsia="Arial" w:hAnsi="Arial"/>
                <w:sz w:val="11"/>
                <w:szCs w:val="11"/>
                <w:color w:val="auto"/>
                <w:w w:val="88"/>
              </w:rPr>
              <w:t>(8)</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7,500,000</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color w:val="auto"/>
              </w:rPr>
              <w:t>7,284,525</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7,284,525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380" w:type="dxa"/>
            <w:vAlign w:val="bottom"/>
            <w:vMerge w:val="restart"/>
          </w:tcPr>
          <w:p>
            <w:pPr>
              <w:spacing w:after="0" w:line="122" w:lineRule="exact"/>
              <w:rPr>
                <w:sz w:val="20"/>
                <w:szCs w:val="20"/>
                <w:color w:val="auto"/>
              </w:rPr>
            </w:pPr>
            <w:r>
              <w:rPr>
                <w:rFonts w:ascii="Arial" w:cs="Arial" w:eastAsia="Arial" w:hAnsi="Arial"/>
                <w:sz w:val="13"/>
                <w:szCs w:val="13"/>
                <w:color w:val="auto"/>
              </w:rPr>
              <w:t>Chester Downs and Marina, LLC</w:t>
            </w:r>
          </w:p>
        </w:tc>
        <w:tc>
          <w:tcPr>
            <w:tcW w:w="940" w:type="dxa"/>
            <w:vAlign w:val="bottom"/>
            <w:gridSpan w:val="3"/>
            <w:vMerge w:val="restart"/>
          </w:tcPr>
          <w:p>
            <w:pPr>
              <w:jc w:val="center"/>
              <w:spacing w:after="0" w:line="122" w:lineRule="exact"/>
              <w:rPr>
                <w:sz w:val="20"/>
                <w:szCs w:val="20"/>
                <w:color w:val="auto"/>
              </w:rPr>
            </w:pPr>
            <w:r>
              <w:rPr>
                <w:rFonts w:ascii="Arial" w:cs="Arial" w:eastAsia="Arial" w:hAnsi="Arial"/>
                <w:sz w:val="13"/>
                <w:szCs w:val="13"/>
                <w:color w:val="auto"/>
                <w:w w:val="92"/>
              </w:rPr>
              <w:t>07/31/2016</w:t>
            </w:r>
          </w:p>
        </w:tc>
        <w:tc>
          <w:tcPr>
            <w:tcW w:w="2320" w:type="dxa"/>
            <w:vAlign w:val="bottom"/>
            <w:vMerge w:val="restart"/>
          </w:tcPr>
          <w:p>
            <w:pPr>
              <w:jc w:val="center"/>
              <w:spacing w:after="0" w:line="122" w:lineRule="exact"/>
              <w:rPr>
                <w:sz w:val="20"/>
                <w:szCs w:val="20"/>
                <w:color w:val="auto"/>
              </w:rPr>
            </w:pPr>
            <w:r>
              <w:rPr>
                <w:rFonts w:ascii="Arial" w:cs="Arial" w:eastAsia="Arial" w:hAnsi="Arial"/>
                <w:sz w:val="13"/>
                <w:szCs w:val="13"/>
                <w:color w:val="auto"/>
                <w:w w:val="95"/>
              </w:rPr>
              <w:t>Hotels, Motels, Inns and Gaming</w:t>
            </w:r>
          </w:p>
        </w:tc>
        <w:tc>
          <w:tcPr>
            <w:tcW w:w="1080" w:type="dxa"/>
            <w:vAlign w:val="bottom"/>
            <w:gridSpan w:val="3"/>
            <w:vMerge w:val="restart"/>
          </w:tcPr>
          <w:p>
            <w:pPr>
              <w:jc w:val="right"/>
              <w:ind w:right="340"/>
              <w:spacing w:after="0" w:line="122" w:lineRule="exact"/>
              <w:rPr>
                <w:sz w:val="20"/>
                <w:szCs w:val="20"/>
                <w:color w:val="auto"/>
              </w:rPr>
            </w:pPr>
            <w:r>
              <w:rPr>
                <w:rFonts w:ascii="Arial" w:cs="Arial" w:eastAsia="Arial" w:hAnsi="Arial"/>
                <w:sz w:val="13"/>
                <w:szCs w:val="13"/>
                <w:color w:val="auto"/>
              </w:rPr>
              <w:t>12.38%</w:t>
            </w:r>
          </w:p>
        </w:tc>
        <w:tc>
          <w:tcPr>
            <w:tcW w:w="64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800" w:type="dxa"/>
            <w:vAlign w:val="bottom"/>
            <w:gridSpan w:val="2"/>
            <w:vMerge w:val="restart"/>
          </w:tcPr>
          <w:p>
            <w:pPr>
              <w:jc w:val="right"/>
              <w:ind w:right="100"/>
              <w:spacing w:after="0" w:line="122" w:lineRule="exact"/>
              <w:rPr>
                <w:sz w:val="20"/>
                <w:szCs w:val="20"/>
                <w:color w:val="auto"/>
              </w:rPr>
            </w:pPr>
            <w:r>
              <w:rPr>
                <w:rFonts w:ascii="Arial" w:cs="Arial" w:eastAsia="Arial" w:hAnsi="Arial"/>
                <w:sz w:val="13"/>
                <w:szCs w:val="13"/>
                <w:color w:val="auto"/>
              </w:rPr>
              <w:t>10,000,000</w:t>
            </w:r>
          </w:p>
        </w:tc>
        <w:tc>
          <w:tcPr>
            <w:tcW w:w="900" w:type="dxa"/>
            <w:vAlign w:val="bottom"/>
            <w:gridSpan w:val="3"/>
            <w:vMerge w:val="restart"/>
          </w:tcPr>
          <w:p>
            <w:pPr>
              <w:jc w:val="right"/>
              <w:ind w:right="80"/>
              <w:spacing w:after="0" w:line="122" w:lineRule="exact"/>
              <w:rPr>
                <w:sz w:val="20"/>
                <w:szCs w:val="20"/>
                <w:color w:val="auto"/>
              </w:rPr>
            </w:pPr>
            <w:r>
              <w:rPr>
                <w:rFonts w:ascii="Arial" w:cs="Arial" w:eastAsia="Arial" w:hAnsi="Arial"/>
                <w:sz w:val="13"/>
                <w:szCs w:val="13"/>
                <w:color w:val="auto"/>
              </w:rPr>
              <w:t>9,421,220</w:t>
            </w:r>
          </w:p>
        </w:tc>
        <w:tc>
          <w:tcPr>
            <w:tcW w:w="160" w:type="dxa"/>
            <w:vAlign w:val="bottom"/>
          </w:tcPr>
          <w:p>
            <w:pPr>
              <w:spacing w:after="0"/>
              <w:rPr>
                <w:sz w:val="4"/>
                <w:szCs w:val="4"/>
                <w:color w:val="auto"/>
              </w:rPr>
            </w:pPr>
          </w:p>
        </w:tc>
        <w:tc>
          <w:tcPr>
            <w:tcW w:w="680" w:type="dxa"/>
            <w:vAlign w:val="bottom"/>
            <w:vMerge w:val="restart"/>
          </w:tcPr>
          <w:p>
            <w:pPr>
              <w:jc w:val="right"/>
              <w:spacing w:after="0" w:line="122" w:lineRule="exact"/>
              <w:rPr>
                <w:sz w:val="20"/>
                <w:szCs w:val="20"/>
                <w:color w:val="auto"/>
              </w:rPr>
            </w:pPr>
            <w:r>
              <w:rPr>
                <w:rFonts w:ascii="Arial" w:cs="Arial" w:eastAsia="Arial" w:hAnsi="Arial"/>
                <w:sz w:val="13"/>
                <w:szCs w:val="13"/>
                <w:color w:val="auto"/>
              </w:rPr>
              <w:t>10,050,000</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3380" w:type="dxa"/>
            <w:vAlign w:val="bottom"/>
            <w:vMerge w:val="continue"/>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2320" w:type="dxa"/>
            <w:vAlign w:val="bottom"/>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980" w:type="dxa"/>
            <w:vAlign w:val="bottom"/>
            <w:gridSpan w:val="2"/>
          </w:tcPr>
          <w:p>
            <w:pPr>
              <w:jc w:val="right"/>
              <w:ind w:right="284"/>
              <w:spacing w:after="0" w:line="68" w:lineRule="exact"/>
              <w:rPr>
                <w:sz w:val="20"/>
                <w:szCs w:val="20"/>
                <w:color w:val="auto"/>
              </w:rPr>
            </w:pPr>
            <w:r>
              <w:rPr>
                <w:rFonts w:ascii="Arial" w:cs="Arial" w:eastAsia="Arial" w:hAnsi="Arial"/>
                <w:sz w:val="7"/>
                <w:szCs w:val="7"/>
                <w:color w:val="auto"/>
              </w:rPr>
              <w:t>L+988</w:t>
            </w:r>
          </w:p>
        </w:tc>
        <w:tc>
          <w:tcPr>
            <w:tcW w:w="800" w:type="dxa"/>
            <w:vAlign w:val="bottom"/>
            <w:gridSpan w:val="2"/>
            <w:vMerge w:val="continue"/>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380" w:type="dxa"/>
            <w:vAlign w:val="bottom"/>
          </w:tcPr>
          <w:p>
            <w:pPr>
              <w:spacing w:after="0"/>
              <w:rPr>
                <w:sz w:val="20"/>
                <w:szCs w:val="20"/>
                <w:color w:val="auto"/>
              </w:rPr>
            </w:pPr>
            <w:r>
              <w:rPr>
                <w:rFonts w:ascii="Arial" w:cs="Arial" w:eastAsia="Arial" w:hAnsi="Arial"/>
                <w:sz w:val="13"/>
                <w:szCs w:val="13"/>
                <w:color w:val="auto"/>
              </w:rPr>
              <w:t>EnviroSolutions, Inc.</w:t>
            </w:r>
          </w:p>
        </w:tc>
        <w:tc>
          <w:tcPr>
            <w:tcW w:w="940" w:type="dxa"/>
            <w:vAlign w:val="bottom"/>
            <w:gridSpan w:val="3"/>
          </w:tcPr>
          <w:p>
            <w:pPr>
              <w:jc w:val="center"/>
              <w:spacing w:after="0"/>
              <w:rPr>
                <w:sz w:val="20"/>
                <w:szCs w:val="20"/>
                <w:color w:val="auto"/>
              </w:rPr>
            </w:pPr>
            <w:r>
              <w:rPr>
                <w:rFonts w:ascii="Arial" w:cs="Arial" w:eastAsia="Arial" w:hAnsi="Arial"/>
                <w:sz w:val="13"/>
                <w:szCs w:val="13"/>
                <w:color w:val="auto"/>
                <w:w w:val="92"/>
              </w:rPr>
              <w:t>07/07/2012</w:t>
            </w:r>
          </w:p>
        </w:tc>
        <w:tc>
          <w:tcPr>
            <w:tcW w:w="2320" w:type="dxa"/>
            <w:vAlign w:val="bottom"/>
          </w:tcPr>
          <w:p>
            <w:pPr>
              <w:jc w:val="center"/>
              <w:spacing w:after="0"/>
              <w:rPr>
                <w:sz w:val="20"/>
                <w:szCs w:val="20"/>
                <w:color w:val="auto"/>
              </w:rPr>
            </w:pPr>
            <w:r>
              <w:rPr>
                <w:rFonts w:ascii="Arial" w:cs="Arial" w:eastAsia="Arial" w:hAnsi="Arial"/>
                <w:sz w:val="13"/>
                <w:szCs w:val="13"/>
                <w:color w:val="auto"/>
                <w:w w:val="93"/>
              </w:rPr>
              <w:t>Environmental Services</w:t>
            </w:r>
          </w:p>
        </w:tc>
        <w:tc>
          <w:tcPr>
            <w:tcW w:w="1080" w:type="dxa"/>
            <w:vAlign w:val="bottom"/>
            <w:gridSpan w:val="3"/>
          </w:tcPr>
          <w:p>
            <w:pPr>
              <w:jc w:val="right"/>
              <w:ind w:right="200"/>
              <w:spacing w:after="0" w:line="176" w:lineRule="exact"/>
              <w:rPr>
                <w:sz w:val="20"/>
                <w:szCs w:val="20"/>
                <w:color w:val="auto"/>
              </w:rPr>
            </w:pPr>
            <w:r>
              <w:rPr>
                <w:rFonts w:ascii="Arial" w:cs="Arial" w:eastAsia="Arial" w:hAnsi="Arial"/>
                <w:sz w:val="12"/>
                <w:szCs w:val="12"/>
                <w:color w:val="auto"/>
              </w:rPr>
              <w:t>11.00%</w:t>
            </w:r>
            <w:r>
              <w:rPr>
                <w:rFonts w:ascii="Arial" w:cs="Arial" w:eastAsia="Arial" w:hAnsi="Arial"/>
                <w:sz w:val="20"/>
                <w:szCs w:val="20"/>
                <w:color w:val="auto"/>
                <w:vertAlign w:val="superscript"/>
              </w:rPr>
              <w:t>(6)</w:t>
            </w:r>
          </w:p>
        </w:tc>
        <w:tc>
          <w:tcPr>
            <w:tcW w:w="980" w:type="dxa"/>
            <w:vAlign w:val="bottom"/>
            <w:gridSpan w:val="2"/>
          </w:tcPr>
          <w:p>
            <w:pPr>
              <w:jc w:val="right"/>
              <w:ind w:right="144"/>
              <w:spacing w:after="0" w:line="176" w:lineRule="exact"/>
              <w:rPr>
                <w:sz w:val="20"/>
                <w:szCs w:val="20"/>
                <w:color w:val="auto"/>
              </w:rPr>
            </w:pPr>
            <w:r>
              <w:rPr>
                <w:rFonts w:ascii="Arial" w:cs="Arial" w:eastAsia="Arial" w:hAnsi="Arial"/>
                <w:sz w:val="12"/>
                <w:szCs w:val="12"/>
                <w:color w:val="auto"/>
              </w:rPr>
              <w:t>P+775</w:t>
            </w:r>
            <w:r>
              <w:rPr>
                <w:rFonts w:ascii="Arial" w:cs="Arial" w:eastAsia="Arial" w:hAnsi="Arial"/>
                <w:sz w:val="20"/>
                <w:szCs w:val="20"/>
                <w:color w:val="auto"/>
                <w:vertAlign w:val="superscript"/>
              </w:rPr>
              <w:t>(8)</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14,175,260</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color w:val="auto"/>
              </w:rPr>
              <w:t>13,391,908</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12,715,207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Hanley-Wood, L.L.C.</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w w:val="92"/>
              </w:rPr>
              <w:t>03/08/2014</w:t>
            </w:r>
          </w:p>
        </w:tc>
        <w:tc>
          <w:tcPr>
            <w:tcW w:w="2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Other Media</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2.49%</w:t>
            </w:r>
          </w:p>
        </w:tc>
        <w:tc>
          <w:tcPr>
            <w:tcW w:w="980" w:type="dxa"/>
            <w:vAlign w:val="bottom"/>
            <w:gridSpan w:val="2"/>
            <w:shd w:val="clear" w:color="auto" w:fill="CCEEFF"/>
          </w:tcPr>
          <w:p>
            <w:pPr>
              <w:jc w:val="right"/>
              <w:ind w:right="284"/>
              <w:spacing w:after="0"/>
              <w:rPr>
                <w:sz w:val="20"/>
                <w:szCs w:val="20"/>
                <w:color w:val="auto"/>
              </w:rPr>
            </w:pPr>
            <w:r>
              <w:rPr>
                <w:rFonts w:ascii="Arial" w:cs="Arial" w:eastAsia="Arial" w:hAnsi="Arial"/>
                <w:sz w:val="13"/>
                <w:szCs w:val="13"/>
                <w:color w:val="auto"/>
              </w:rPr>
              <w:t>L+225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8,842,500</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8,842,500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6,225,120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20"/>
                <w:szCs w:val="20"/>
                <w:color w:val="auto"/>
              </w:rPr>
            </w:pPr>
            <w:r>
              <w:rPr>
                <w:rFonts w:ascii="Arial" w:cs="Arial" w:eastAsia="Arial" w:hAnsi="Arial"/>
                <w:sz w:val="13"/>
                <w:szCs w:val="13"/>
                <w:color w:val="auto"/>
              </w:rPr>
              <w:t>Hughes Network Systems, L.L.C.</w:t>
            </w:r>
          </w:p>
        </w:tc>
        <w:tc>
          <w:tcPr>
            <w:tcW w:w="940" w:type="dxa"/>
            <w:vAlign w:val="bottom"/>
            <w:gridSpan w:val="3"/>
          </w:tcPr>
          <w:p>
            <w:pPr>
              <w:jc w:val="center"/>
              <w:spacing w:after="0"/>
              <w:rPr>
                <w:sz w:val="20"/>
                <w:szCs w:val="20"/>
                <w:color w:val="auto"/>
              </w:rPr>
            </w:pPr>
            <w:r>
              <w:rPr>
                <w:rFonts w:ascii="Arial" w:cs="Arial" w:eastAsia="Arial" w:hAnsi="Arial"/>
                <w:sz w:val="13"/>
                <w:szCs w:val="13"/>
                <w:color w:val="auto"/>
                <w:w w:val="92"/>
              </w:rPr>
              <w:t>04/15/2014</w:t>
            </w:r>
          </w:p>
        </w:tc>
        <w:tc>
          <w:tcPr>
            <w:tcW w:w="232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1080" w:type="dxa"/>
            <w:vAlign w:val="bottom"/>
            <w:gridSpan w:val="3"/>
          </w:tcPr>
          <w:p>
            <w:pPr>
              <w:jc w:val="right"/>
              <w:ind w:right="340"/>
              <w:spacing w:after="0"/>
              <w:rPr>
                <w:sz w:val="20"/>
                <w:szCs w:val="20"/>
                <w:color w:val="auto"/>
              </w:rPr>
            </w:pPr>
            <w:r>
              <w:rPr>
                <w:rFonts w:ascii="Arial" w:cs="Arial" w:eastAsia="Arial" w:hAnsi="Arial"/>
                <w:sz w:val="13"/>
                <w:szCs w:val="13"/>
                <w:color w:val="auto"/>
              </w:rPr>
              <w:t>2.88%</w:t>
            </w:r>
          </w:p>
        </w:tc>
        <w:tc>
          <w:tcPr>
            <w:tcW w:w="980" w:type="dxa"/>
            <w:vAlign w:val="bottom"/>
            <w:gridSpan w:val="2"/>
          </w:tcPr>
          <w:p>
            <w:pPr>
              <w:jc w:val="right"/>
              <w:ind w:right="284"/>
              <w:spacing w:after="0"/>
              <w:rPr>
                <w:sz w:val="20"/>
                <w:szCs w:val="20"/>
                <w:color w:val="auto"/>
              </w:rPr>
            </w:pPr>
            <w:r>
              <w:rPr>
                <w:rFonts w:ascii="Arial" w:cs="Arial" w:eastAsia="Arial" w:hAnsi="Arial"/>
                <w:sz w:val="13"/>
                <w:szCs w:val="13"/>
                <w:color w:val="auto"/>
              </w:rPr>
              <w:t>L+250</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5,000,000</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color w:val="auto"/>
              </w:rPr>
              <w:t>5,000,000</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4,562,500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3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Jacuzzi Brands Corp.</w:t>
            </w:r>
          </w:p>
        </w:tc>
        <w:tc>
          <w:tcPr>
            <w:tcW w:w="94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02/07/2014</w:t>
            </w:r>
          </w:p>
        </w:tc>
        <w:tc>
          <w:tcPr>
            <w:tcW w:w="23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Home and Office Furnishings,</w:t>
            </w:r>
          </w:p>
        </w:tc>
        <w:tc>
          <w:tcPr>
            <w:tcW w:w="1080" w:type="dxa"/>
            <w:vAlign w:val="bottom"/>
            <w:gridSpan w:val="3"/>
            <w:shd w:val="clear" w:color="auto" w:fill="CCEEFF"/>
          </w:tcPr>
          <w:p>
            <w:pPr>
              <w:jc w:val="right"/>
              <w:ind w:right="340"/>
              <w:spacing w:after="0" w:line="138" w:lineRule="exact"/>
              <w:rPr>
                <w:sz w:val="20"/>
                <w:szCs w:val="20"/>
                <w:color w:val="auto"/>
              </w:rPr>
            </w:pPr>
            <w:r>
              <w:rPr>
                <w:rFonts w:ascii="Arial" w:cs="Arial" w:eastAsia="Arial" w:hAnsi="Arial"/>
                <w:sz w:val="13"/>
                <w:szCs w:val="13"/>
                <w:color w:val="auto"/>
              </w:rPr>
              <w:t>2.53%</w:t>
            </w:r>
          </w:p>
        </w:tc>
        <w:tc>
          <w:tcPr>
            <w:tcW w:w="980" w:type="dxa"/>
            <w:vAlign w:val="bottom"/>
            <w:gridSpan w:val="2"/>
            <w:shd w:val="clear" w:color="auto" w:fill="CCEEFF"/>
          </w:tcPr>
          <w:p>
            <w:pPr>
              <w:jc w:val="right"/>
              <w:ind w:right="284"/>
              <w:spacing w:after="0" w:line="138" w:lineRule="exact"/>
              <w:rPr>
                <w:sz w:val="20"/>
                <w:szCs w:val="20"/>
                <w:color w:val="auto"/>
              </w:rPr>
            </w:pPr>
            <w:r>
              <w:rPr>
                <w:rFonts w:ascii="Arial" w:cs="Arial" w:eastAsia="Arial" w:hAnsi="Arial"/>
                <w:sz w:val="13"/>
                <w:szCs w:val="13"/>
                <w:color w:val="auto"/>
              </w:rPr>
              <w:t>L+225</w:t>
            </w:r>
          </w:p>
        </w:tc>
        <w:tc>
          <w:tcPr>
            <w:tcW w:w="80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9,817,568</w:t>
            </w:r>
          </w:p>
        </w:tc>
        <w:tc>
          <w:tcPr>
            <w:tcW w:w="9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9,817,568</w:t>
            </w: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4,810,608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Housewares and Durable Consumer</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Products</w:t>
            </w: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20"/>
                <w:szCs w:val="20"/>
                <w:color w:val="auto"/>
              </w:rPr>
            </w:pPr>
            <w:r>
              <w:rPr>
                <w:rFonts w:ascii="Arial" w:cs="Arial" w:eastAsia="Arial" w:hAnsi="Arial"/>
                <w:sz w:val="13"/>
                <w:szCs w:val="13"/>
                <w:color w:val="auto"/>
              </w:rPr>
              <w:t>Levlad, L.L.C.</w:t>
            </w:r>
          </w:p>
        </w:tc>
        <w:tc>
          <w:tcPr>
            <w:tcW w:w="940" w:type="dxa"/>
            <w:vAlign w:val="bottom"/>
            <w:gridSpan w:val="3"/>
          </w:tcPr>
          <w:p>
            <w:pPr>
              <w:jc w:val="center"/>
              <w:spacing w:after="0"/>
              <w:rPr>
                <w:sz w:val="20"/>
                <w:szCs w:val="20"/>
                <w:color w:val="auto"/>
              </w:rPr>
            </w:pPr>
            <w:r>
              <w:rPr>
                <w:rFonts w:ascii="Arial" w:cs="Arial" w:eastAsia="Arial" w:hAnsi="Arial"/>
                <w:sz w:val="13"/>
                <w:szCs w:val="13"/>
                <w:color w:val="auto"/>
                <w:w w:val="92"/>
              </w:rPr>
              <w:t>03/08/2014</w:t>
            </w:r>
          </w:p>
        </w:tc>
        <w:tc>
          <w:tcPr>
            <w:tcW w:w="2320" w:type="dxa"/>
            <w:vAlign w:val="bottom"/>
          </w:tcPr>
          <w:p>
            <w:pPr>
              <w:jc w:val="center"/>
              <w:spacing w:after="0"/>
              <w:rPr>
                <w:sz w:val="20"/>
                <w:szCs w:val="20"/>
                <w:color w:val="auto"/>
              </w:rPr>
            </w:pPr>
            <w:r>
              <w:rPr>
                <w:rFonts w:ascii="Arial" w:cs="Arial" w:eastAsia="Arial" w:hAnsi="Arial"/>
                <w:sz w:val="13"/>
                <w:szCs w:val="13"/>
                <w:color w:val="auto"/>
                <w:w w:val="92"/>
              </w:rPr>
              <w:t>Consumer Products</w:t>
            </w:r>
          </w:p>
        </w:tc>
        <w:tc>
          <w:tcPr>
            <w:tcW w:w="1080" w:type="dxa"/>
            <w:vAlign w:val="bottom"/>
            <w:gridSpan w:val="3"/>
          </w:tcPr>
          <w:p>
            <w:pPr>
              <w:jc w:val="right"/>
              <w:ind w:right="340"/>
              <w:spacing w:after="0"/>
              <w:rPr>
                <w:sz w:val="20"/>
                <w:szCs w:val="20"/>
                <w:color w:val="auto"/>
              </w:rPr>
            </w:pPr>
            <w:r>
              <w:rPr>
                <w:rFonts w:ascii="Arial" w:cs="Arial" w:eastAsia="Arial" w:hAnsi="Arial"/>
                <w:sz w:val="13"/>
                <w:szCs w:val="13"/>
                <w:color w:val="auto"/>
              </w:rPr>
              <w:t>7.75%</w:t>
            </w:r>
          </w:p>
        </w:tc>
        <w:tc>
          <w:tcPr>
            <w:tcW w:w="980" w:type="dxa"/>
            <w:vAlign w:val="bottom"/>
            <w:gridSpan w:val="2"/>
          </w:tcPr>
          <w:p>
            <w:pPr>
              <w:jc w:val="right"/>
              <w:ind w:right="284"/>
              <w:spacing w:after="0"/>
              <w:rPr>
                <w:sz w:val="20"/>
                <w:szCs w:val="20"/>
                <w:color w:val="auto"/>
              </w:rPr>
            </w:pPr>
            <w:r>
              <w:rPr>
                <w:rFonts w:ascii="Arial" w:cs="Arial" w:eastAsia="Arial" w:hAnsi="Arial"/>
                <w:sz w:val="13"/>
                <w:szCs w:val="13"/>
                <w:color w:val="auto"/>
              </w:rPr>
              <w:t>L+475</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4,434,548</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color w:val="auto"/>
              </w:rPr>
              <w:t>4,434,548</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1,064,292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Lyondell Chemical Co.</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w w:val="92"/>
              </w:rPr>
              <w:t>12/15/2009</w:t>
            </w:r>
          </w:p>
        </w:tc>
        <w:tc>
          <w:tcPr>
            <w:tcW w:w="2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Chemicals, Plastics and Rubber</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13.00%</w:t>
            </w:r>
          </w:p>
        </w:tc>
        <w:tc>
          <w:tcPr>
            <w:tcW w:w="980" w:type="dxa"/>
            <w:vAlign w:val="bottom"/>
            <w:gridSpan w:val="2"/>
            <w:shd w:val="clear" w:color="auto" w:fill="CCEEFF"/>
          </w:tcPr>
          <w:p>
            <w:pPr>
              <w:jc w:val="right"/>
              <w:ind w:right="144"/>
              <w:spacing w:after="0" w:line="149" w:lineRule="exact"/>
              <w:rPr>
                <w:sz w:val="20"/>
                <w:szCs w:val="20"/>
                <w:color w:val="auto"/>
              </w:rPr>
            </w:pPr>
            <w:r>
              <w:rPr>
                <w:rFonts w:ascii="Arial" w:cs="Arial" w:eastAsia="Arial" w:hAnsi="Arial"/>
                <w:sz w:val="11"/>
                <w:szCs w:val="11"/>
                <w:color w:val="auto"/>
              </w:rPr>
              <w:t>L+1,000</w:t>
            </w:r>
            <w:r>
              <w:rPr>
                <w:rFonts w:ascii="Arial" w:cs="Arial" w:eastAsia="Arial" w:hAnsi="Arial"/>
                <w:sz w:val="17"/>
                <w:szCs w:val="17"/>
                <w:color w:val="auto"/>
                <w:vertAlign w:val="superscript"/>
              </w:rPr>
              <w:t>(8)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12,668,615</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12,965,067</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13,169,026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1"/>
                <w:szCs w:val="11"/>
                <w:color w:val="auto"/>
              </w:rPr>
              <w:t xml:space="preserve">Lyondell Chemical Co. </w:t>
            </w:r>
            <w:r>
              <w:rPr>
                <w:rFonts w:ascii="Arial" w:cs="Arial" w:eastAsia="Arial" w:hAnsi="Arial"/>
                <w:sz w:val="17"/>
                <w:szCs w:val="17"/>
                <w:color w:val="auto"/>
                <w:vertAlign w:val="superscript"/>
              </w:rPr>
              <w:t>(9)</w:t>
            </w:r>
          </w:p>
        </w:tc>
        <w:tc>
          <w:tcPr>
            <w:tcW w:w="940" w:type="dxa"/>
            <w:vAlign w:val="bottom"/>
            <w:gridSpan w:val="3"/>
          </w:tcPr>
          <w:p>
            <w:pPr>
              <w:jc w:val="center"/>
              <w:spacing w:after="0"/>
              <w:rPr>
                <w:sz w:val="20"/>
                <w:szCs w:val="20"/>
                <w:color w:val="auto"/>
              </w:rPr>
            </w:pPr>
            <w:r>
              <w:rPr>
                <w:rFonts w:ascii="Arial" w:cs="Arial" w:eastAsia="Arial" w:hAnsi="Arial"/>
                <w:sz w:val="13"/>
                <w:szCs w:val="13"/>
                <w:color w:val="auto"/>
                <w:w w:val="92"/>
              </w:rPr>
              <w:t>12/15/2009</w:t>
            </w:r>
          </w:p>
        </w:tc>
        <w:tc>
          <w:tcPr>
            <w:tcW w:w="2320" w:type="dxa"/>
            <w:vAlign w:val="bottom"/>
          </w:tcPr>
          <w:p>
            <w:pPr>
              <w:jc w:val="center"/>
              <w:spacing w:after="0"/>
              <w:rPr>
                <w:sz w:val="20"/>
                <w:szCs w:val="20"/>
                <w:color w:val="auto"/>
              </w:rPr>
            </w:pPr>
            <w:r>
              <w:rPr>
                <w:rFonts w:ascii="Arial" w:cs="Arial" w:eastAsia="Arial" w:hAnsi="Arial"/>
                <w:sz w:val="13"/>
                <w:szCs w:val="13"/>
                <w:color w:val="auto"/>
                <w:w w:val="93"/>
              </w:rPr>
              <w:t>Chemicals, Plastics and Rubber</w:t>
            </w:r>
          </w:p>
        </w:tc>
        <w:tc>
          <w:tcPr>
            <w:tcW w:w="160" w:type="dxa"/>
            <w:vAlign w:val="bottom"/>
          </w:tcPr>
          <w:p>
            <w:pPr>
              <w:spacing w:after="0"/>
              <w:rPr>
                <w:sz w:val="12"/>
                <w:szCs w:val="12"/>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3"/>
                <w:szCs w:val="13"/>
                <w:color w:val="auto"/>
              </w:rPr>
              <w:t>—</w:t>
            </w:r>
          </w:p>
        </w:tc>
        <w:tc>
          <w:tcPr>
            <w:tcW w:w="640" w:type="dxa"/>
            <w:vAlign w:val="bottom"/>
          </w:tcPr>
          <w:p>
            <w:pPr>
              <w:ind w:left="4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6,331,385</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color w:val="auto"/>
              </w:rPr>
              <w:t>6,458,897</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6,581,474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3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Mattress Holding Corp.</w:t>
            </w:r>
          </w:p>
        </w:tc>
        <w:tc>
          <w:tcPr>
            <w:tcW w:w="94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01/18/2014</w:t>
            </w:r>
          </w:p>
        </w:tc>
        <w:tc>
          <w:tcPr>
            <w:tcW w:w="23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Home and Office Furnishings,</w:t>
            </w:r>
          </w:p>
        </w:tc>
        <w:tc>
          <w:tcPr>
            <w:tcW w:w="1080" w:type="dxa"/>
            <w:vAlign w:val="bottom"/>
            <w:gridSpan w:val="3"/>
            <w:shd w:val="clear" w:color="auto" w:fill="CCEEFF"/>
          </w:tcPr>
          <w:p>
            <w:pPr>
              <w:jc w:val="right"/>
              <w:ind w:right="340"/>
              <w:spacing w:after="0" w:line="138" w:lineRule="exact"/>
              <w:rPr>
                <w:sz w:val="20"/>
                <w:szCs w:val="20"/>
                <w:color w:val="auto"/>
              </w:rPr>
            </w:pPr>
            <w:r>
              <w:rPr>
                <w:rFonts w:ascii="Arial" w:cs="Arial" w:eastAsia="Arial" w:hAnsi="Arial"/>
                <w:sz w:val="13"/>
                <w:szCs w:val="13"/>
                <w:color w:val="auto"/>
              </w:rPr>
              <w:t>2.55%</w:t>
            </w:r>
          </w:p>
        </w:tc>
        <w:tc>
          <w:tcPr>
            <w:tcW w:w="980" w:type="dxa"/>
            <w:vAlign w:val="bottom"/>
            <w:gridSpan w:val="2"/>
            <w:shd w:val="clear" w:color="auto" w:fill="CCEEFF"/>
          </w:tcPr>
          <w:p>
            <w:pPr>
              <w:jc w:val="right"/>
              <w:ind w:right="284"/>
              <w:spacing w:after="0" w:line="138" w:lineRule="exact"/>
              <w:rPr>
                <w:sz w:val="20"/>
                <w:szCs w:val="20"/>
                <w:color w:val="auto"/>
              </w:rPr>
            </w:pPr>
            <w:r>
              <w:rPr>
                <w:rFonts w:ascii="Arial" w:cs="Arial" w:eastAsia="Arial" w:hAnsi="Arial"/>
                <w:sz w:val="13"/>
                <w:szCs w:val="13"/>
                <w:color w:val="auto"/>
              </w:rPr>
              <w:t>L+225</w:t>
            </w:r>
          </w:p>
        </w:tc>
        <w:tc>
          <w:tcPr>
            <w:tcW w:w="80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3,910,200</w:t>
            </w:r>
          </w:p>
        </w:tc>
        <w:tc>
          <w:tcPr>
            <w:tcW w:w="9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3,910,200</w:t>
            </w: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3,022,585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Housewares and Durable Consumer</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Products</w:t>
            </w: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20"/>
                <w:szCs w:val="20"/>
                <w:color w:val="auto"/>
              </w:rPr>
            </w:pPr>
            <w:r>
              <w:rPr>
                <w:rFonts w:ascii="Arial" w:cs="Arial" w:eastAsia="Arial" w:hAnsi="Arial"/>
                <w:sz w:val="13"/>
                <w:szCs w:val="13"/>
                <w:color w:val="auto"/>
              </w:rPr>
              <w:t>Mitchell International, Inc.</w:t>
            </w:r>
          </w:p>
        </w:tc>
        <w:tc>
          <w:tcPr>
            <w:tcW w:w="940" w:type="dxa"/>
            <w:vAlign w:val="bottom"/>
            <w:gridSpan w:val="3"/>
          </w:tcPr>
          <w:p>
            <w:pPr>
              <w:jc w:val="center"/>
              <w:spacing w:after="0"/>
              <w:rPr>
                <w:sz w:val="20"/>
                <w:szCs w:val="20"/>
                <w:color w:val="auto"/>
              </w:rPr>
            </w:pPr>
            <w:r>
              <w:rPr>
                <w:rFonts w:ascii="Arial" w:cs="Arial" w:eastAsia="Arial" w:hAnsi="Arial"/>
                <w:sz w:val="13"/>
                <w:szCs w:val="13"/>
                <w:color w:val="auto"/>
                <w:w w:val="92"/>
              </w:rPr>
              <w:t>03/28/2014</w:t>
            </w:r>
          </w:p>
        </w:tc>
        <w:tc>
          <w:tcPr>
            <w:tcW w:w="232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1080" w:type="dxa"/>
            <w:vAlign w:val="bottom"/>
            <w:gridSpan w:val="3"/>
          </w:tcPr>
          <w:p>
            <w:pPr>
              <w:jc w:val="right"/>
              <w:ind w:right="340"/>
              <w:spacing w:after="0"/>
              <w:rPr>
                <w:sz w:val="20"/>
                <w:szCs w:val="20"/>
                <w:color w:val="auto"/>
              </w:rPr>
            </w:pPr>
            <w:r>
              <w:rPr>
                <w:rFonts w:ascii="Arial" w:cs="Arial" w:eastAsia="Arial" w:hAnsi="Arial"/>
                <w:sz w:val="13"/>
                <w:szCs w:val="13"/>
                <w:color w:val="auto"/>
              </w:rPr>
              <w:t>2.31%</w:t>
            </w:r>
          </w:p>
        </w:tc>
        <w:tc>
          <w:tcPr>
            <w:tcW w:w="980" w:type="dxa"/>
            <w:vAlign w:val="bottom"/>
            <w:gridSpan w:val="2"/>
          </w:tcPr>
          <w:p>
            <w:pPr>
              <w:jc w:val="right"/>
              <w:ind w:right="284"/>
              <w:spacing w:after="0"/>
              <w:rPr>
                <w:sz w:val="20"/>
                <w:szCs w:val="20"/>
                <w:color w:val="auto"/>
              </w:rPr>
            </w:pPr>
            <w:r>
              <w:rPr>
                <w:rFonts w:ascii="Arial" w:cs="Arial" w:eastAsia="Arial" w:hAnsi="Arial"/>
                <w:sz w:val="13"/>
                <w:szCs w:val="13"/>
                <w:color w:val="auto"/>
              </w:rPr>
              <w:t>L+200</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1,910,204</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color w:val="auto"/>
              </w:rPr>
              <w:t>1,910,204</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1,687,346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3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National Bedding Co., L.L.C.</w:t>
            </w:r>
          </w:p>
        </w:tc>
        <w:tc>
          <w:tcPr>
            <w:tcW w:w="94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02/28/2013</w:t>
            </w:r>
          </w:p>
        </w:tc>
        <w:tc>
          <w:tcPr>
            <w:tcW w:w="23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Home and Office Furnishings,</w:t>
            </w:r>
          </w:p>
        </w:tc>
        <w:tc>
          <w:tcPr>
            <w:tcW w:w="1080" w:type="dxa"/>
            <w:vAlign w:val="bottom"/>
            <w:gridSpan w:val="3"/>
            <w:shd w:val="clear" w:color="auto" w:fill="CCEEFF"/>
          </w:tcPr>
          <w:p>
            <w:pPr>
              <w:jc w:val="right"/>
              <w:ind w:right="340"/>
              <w:spacing w:after="0" w:line="138" w:lineRule="exact"/>
              <w:rPr>
                <w:sz w:val="20"/>
                <w:szCs w:val="20"/>
                <w:color w:val="auto"/>
              </w:rPr>
            </w:pPr>
            <w:r>
              <w:rPr>
                <w:rFonts w:ascii="Arial" w:cs="Arial" w:eastAsia="Arial" w:hAnsi="Arial"/>
                <w:sz w:val="13"/>
                <w:szCs w:val="13"/>
                <w:color w:val="auto"/>
              </w:rPr>
              <w:t>2.26%</w:t>
            </w:r>
          </w:p>
        </w:tc>
        <w:tc>
          <w:tcPr>
            <w:tcW w:w="980" w:type="dxa"/>
            <w:vAlign w:val="bottom"/>
            <w:gridSpan w:val="2"/>
            <w:shd w:val="clear" w:color="auto" w:fill="CCEEFF"/>
          </w:tcPr>
          <w:p>
            <w:pPr>
              <w:jc w:val="right"/>
              <w:ind w:right="284"/>
              <w:spacing w:after="0" w:line="138" w:lineRule="exact"/>
              <w:rPr>
                <w:sz w:val="20"/>
                <w:szCs w:val="20"/>
                <w:color w:val="auto"/>
              </w:rPr>
            </w:pPr>
            <w:r>
              <w:rPr>
                <w:rFonts w:ascii="Arial" w:cs="Arial" w:eastAsia="Arial" w:hAnsi="Arial"/>
                <w:sz w:val="13"/>
                <w:szCs w:val="13"/>
                <w:color w:val="auto"/>
              </w:rPr>
              <w:t>L+200</w:t>
            </w:r>
          </w:p>
        </w:tc>
        <w:tc>
          <w:tcPr>
            <w:tcW w:w="80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6,825,000</w:t>
            </w:r>
          </w:p>
        </w:tc>
        <w:tc>
          <w:tcPr>
            <w:tcW w:w="9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6,829,243</w:t>
            </w: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6,142,500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Housewares and Durable Consumer</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Products</w:t>
            </w: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20"/>
                <w:szCs w:val="20"/>
                <w:color w:val="auto"/>
              </w:rPr>
            </w:pPr>
            <w:r>
              <w:rPr>
                <w:rFonts w:ascii="Arial" w:cs="Arial" w:eastAsia="Arial" w:hAnsi="Arial"/>
                <w:sz w:val="13"/>
                <w:szCs w:val="13"/>
                <w:color w:val="auto"/>
              </w:rPr>
              <w:t>Penton Media, Inc.</w:t>
            </w:r>
          </w:p>
        </w:tc>
        <w:tc>
          <w:tcPr>
            <w:tcW w:w="940" w:type="dxa"/>
            <w:vAlign w:val="bottom"/>
            <w:gridSpan w:val="3"/>
          </w:tcPr>
          <w:p>
            <w:pPr>
              <w:jc w:val="center"/>
              <w:spacing w:after="0"/>
              <w:rPr>
                <w:sz w:val="20"/>
                <w:szCs w:val="20"/>
                <w:color w:val="auto"/>
              </w:rPr>
            </w:pPr>
            <w:r>
              <w:rPr>
                <w:rFonts w:ascii="Arial" w:cs="Arial" w:eastAsia="Arial" w:hAnsi="Arial"/>
                <w:sz w:val="13"/>
                <w:szCs w:val="13"/>
                <w:color w:val="auto"/>
                <w:w w:val="92"/>
              </w:rPr>
              <w:t>02/01/2013</w:t>
            </w:r>
          </w:p>
        </w:tc>
        <w:tc>
          <w:tcPr>
            <w:tcW w:w="2320" w:type="dxa"/>
            <w:vAlign w:val="bottom"/>
          </w:tcPr>
          <w:p>
            <w:pPr>
              <w:jc w:val="center"/>
              <w:spacing w:after="0"/>
              <w:rPr>
                <w:sz w:val="20"/>
                <w:szCs w:val="20"/>
                <w:color w:val="auto"/>
              </w:rPr>
            </w:pPr>
            <w:r>
              <w:rPr>
                <w:rFonts w:ascii="Arial" w:cs="Arial" w:eastAsia="Arial" w:hAnsi="Arial"/>
                <w:sz w:val="13"/>
                <w:szCs w:val="13"/>
                <w:color w:val="auto"/>
                <w:w w:val="95"/>
              </w:rPr>
              <w:t>Other Media</w:t>
            </w:r>
          </w:p>
        </w:tc>
        <w:tc>
          <w:tcPr>
            <w:tcW w:w="1080" w:type="dxa"/>
            <w:vAlign w:val="bottom"/>
            <w:gridSpan w:val="3"/>
          </w:tcPr>
          <w:p>
            <w:pPr>
              <w:jc w:val="right"/>
              <w:ind w:right="340"/>
              <w:spacing w:after="0"/>
              <w:rPr>
                <w:sz w:val="20"/>
                <w:szCs w:val="20"/>
                <w:color w:val="auto"/>
              </w:rPr>
            </w:pPr>
            <w:r>
              <w:rPr>
                <w:rFonts w:ascii="Arial" w:cs="Arial" w:eastAsia="Arial" w:hAnsi="Arial"/>
                <w:sz w:val="13"/>
                <w:szCs w:val="13"/>
                <w:color w:val="auto"/>
              </w:rPr>
              <w:t>2.73%</w:t>
            </w:r>
          </w:p>
        </w:tc>
        <w:tc>
          <w:tcPr>
            <w:tcW w:w="980" w:type="dxa"/>
            <w:vAlign w:val="bottom"/>
            <w:gridSpan w:val="2"/>
          </w:tcPr>
          <w:p>
            <w:pPr>
              <w:jc w:val="right"/>
              <w:ind w:right="284"/>
              <w:spacing w:after="0"/>
              <w:rPr>
                <w:sz w:val="20"/>
                <w:szCs w:val="20"/>
                <w:color w:val="auto"/>
              </w:rPr>
            </w:pPr>
            <w:r>
              <w:rPr>
                <w:rFonts w:ascii="Arial" w:cs="Arial" w:eastAsia="Arial" w:hAnsi="Arial"/>
                <w:sz w:val="13"/>
                <w:szCs w:val="13"/>
                <w:color w:val="auto"/>
              </w:rPr>
              <w:t>L+225</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4,875,000</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color w:val="auto"/>
              </w:rPr>
              <w:t>4,875,000</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3,568,500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Philosophy, Inc.</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w w:val="92"/>
              </w:rPr>
              <w:t>03/16/2014</w:t>
            </w:r>
          </w:p>
        </w:tc>
        <w:tc>
          <w:tcPr>
            <w:tcW w:w="2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Consumer Products</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2.25%</w:t>
            </w:r>
          </w:p>
        </w:tc>
        <w:tc>
          <w:tcPr>
            <w:tcW w:w="980" w:type="dxa"/>
            <w:vAlign w:val="bottom"/>
            <w:gridSpan w:val="2"/>
            <w:shd w:val="clear" w:color="auto" w:fill="CCEEFF"/>
          </w:tcPr>
          <w:p>
            <w:pPr>
              <w:jc w:val="right"/>
              <w:ind w:right="284"/>
              <w:spacing w:after="0"/>
              <w:rPr>
                <w:sz w:val="20"/>
                <w:szCs w:val="20"/>
                <w:color w:val="auto"/>
              </w:rPr>
            </w:pPr>
            <w:r>
              <w:rPr>
                <w:rFonts w:ascii="Arial" w:cs="Arial" w:eastAsia="Arial" w:hAnsi="Arial"/>
                <w:sz w:val="13"/>
                <w:szCs w:val="13"/>
                <w:color w:val="auto"/>
              </w:rPr>
              <w:t>L+200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1,426,506</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1,426,506</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1,148,337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20"/>
                <w:szCs w:val="20"/>
                <w:color w:val="auto"/>
              </w:rPr>
            </w:pPr>
            <w:r>
              <w:rPr>
                <w:rFonts w:ascii="Arial" w:cs="Arial" w:eastAsia="Arial" w:hAnsi="Arial"/>
                <w:sz w:val="13"/>
                <w:szCs w:val="13"/>
                <w:color w:val="auto"/>
              </w:rPr>
              <w:t>Questex Media Group, Inc.</w:t>
            </w:r>
          </w:p>
        </w:tc>
        <w:tc>
          <w:tcPr>
            <w:tcW w:w="940" w:type="dxa"/>
            <w:vAlign w:val="bottom"/>
            <w:gridSpan w:val="3"/>
          </w:tcPr>
          <w:p>
            <w:pPr>
              <w:jc w:val="center"/>
              <w:spacing w:after="0"/>
              <w:rPr>
                <w:sz w:val="20"/>
                <w:szCs w:val="20"/>
                <w:color w:val="auto"/>
              </w:rPr>
            </w:pPr>
            <w:r>
              <w:rPr>
                <w:rFonts w:ascii="Arial" w:cs="Arial" w:eastAsia="Arial" w:hAnsi="Arial"/>
                <w:sz w:val="13"/>
                <w:szCs w:val="13"/>
                <w:color w:val="auto"/>
                <w:w w:val="92"/>
              </w:rPr>
              <w:t>05/04/2014</w:t>
            </w:r>
          </w:p>
        </w:tc>
        <w:tc>
          <w:tcPr>
            <w:tcW w:w="2320" w:type="dxa"/>
            <w:vAlign w:val="bottom"/>
          </w:tcPr>
          <w:p>
            <w:pPr>
              <w:jc w:val="center"/>
              <w:spacing w:after="0"/>
              <w:rPr>
                <w:sz w:val="20"/>
                <w:szCs w:val="20"/>
                <w:color w:val="auto"/>
              </w:rPr>
            </w:pPr>
            <w:r>
              <w:rPr>
                <w:rFonts w:ascii="Arial" w:cs="Arial" w:eastAsia="Arial" w:hAnsi="Arial"/>
                <w:sz w:val="13"/>
                <w:szCs w:val="13"/>
                <w:color w:val="auto"/>
                <w:w w:val="95"/>
              </w:rPr>
              <w:t>Other Media</w:t>
            </w:r>
          </w:p>
        </w:tc>
        <w:tc>
          <w:tcPr>
            <w:tcW w:w="1080" w:type="dxa"/>
            <w:vAlign w:val="bottom"/>
            <w:gridSpan w:val="3"/>
          </w:tcPr>
          <w:p>
            <w:pPr>
              <w:jc w:val="right"/>
              <w:ind w:right="200"/>
              <w:spacing w:after="0" w:line="149" w:lineRule="exact"/>
              <w:rPr>
                <w:sz w:val="20"/>
                <w:szCs w:val="20"/>
                <w:color w:val="auto"/>
              </w:rPr>
            </w:pPr>
            <w:r>
              <w:rPr>
                <w:rFonts w:ascii="Arial" w:cs="Arial" w:eastAsia="Arial" w:hAnsi="Arial"/>
                <w:sz w:val="11"/>
                <w:szCs w:val="11"/>
                <w:color w:val="auto"/>
              </w:rPr>
              <w:t>5.25%</w:t>
            </w:r>
            <w:r>
              <w:rPr>
                <w:rFonts w:ascii="Arial" w:cs="Arial" w:eastAsia="Arial" w:hAnsi="Arial"/>
                <w:sz w:val="17"/>
                <w:szCs w:val="17"/>
                <w:color w:val="auto"/>
                <w:vertAlign w:val="superscript"/>
              </w:rPr>
              <w:t>(7)</w:t>
            </w:r>
          </w:p>
        </w:tc>
        <w:tc>
          <w:tcPr>
            <w:tcW w:w="980" w:type="dxa"/>
            <w:vAlign w:val="bottom"/>
            <w:gridSpan w:val="2"/>
          </w:tcPr>
          <w:p>
            <w:pPr>
              <w:jc w:val="right"/>
              <w:ind w:right="284"/>
              <w:spacing w:after="0"/>
              <w:rPr>
                <w:sz w:val="20"/>
                <w:szCs w:val="20"/>
                <w:color w:val="auto"/>
              </w:rPr>
            </w:pPr>
            <w:r>
              <w:rPr>
                <w:rFonts w:ascii="Arial" w:cs="Arial" w:eastAsia="Arial" w:hAnsi="Arial"/>
                <w:sz w:val="13"/>
                <w:szCs w:val="13"/>
                <w:color w:val="auto"/>
              </w:rPr>
              <w:t>L+200</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4,886,667</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color w:val="auto"/>
              </w:rPr>
              <w:t>4,886,667</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2,912,600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Rexair, L.L.C.</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w w:val="92"/>
              </w:rPr>
              <w:t>06/30/2010</w:t>
            </w:r>
          </w:p>
        </w:tc>
        <w:tc>
          <w:tcPr>
            <w:tcW w:w="2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Retail</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4.50%</w:t>
            </w:r>
          </w:p>
        </w:tc>
        <w:tc>
          <w:tcPr>
            <w:tcW w:w="980" w:type="dxa"/>
            <w:vAlign w:val="bottom"/>
            <w:gridSpan w:val="2"/>
            <w:shd w:val="clear" w:color="auto" w:fill="CCEEFF"/>
          </w:tcPr>
          <w:p>
            <w:pPr>
              <w:jc w:val="right"/>
              <w:ind w:right="284"/>
              <w:spacing w:after="0"/>
              <w:rPr>
                <w:sz w:val="20"/>
                <w:szCs w:val="20"/>
                <w:color w:val="auto"/>
              </w:rPr>
            </w:pPr>
            <w:r>
              <w:rPr>
                <w:rFonts w:ascii="Arial" w:cs="Arial" w:eastAsia="Arial" w:hAnsi="Arial"/>
                <w:sz w:val="13"/>
                <w:szCs w:val="13"/>
                <w:color w:val="auto"/>
              </w:rPr>
              <w:t>L+425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6,695,795</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5,507,847</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5,189,241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20"/>
                <w:szCs w:val="20"/>
                <w:color w:val="auto"/>
              </w:rPr>
            </w:pPr>
            <w:r>
              <w:rPr>
                <w:rFonts w:ascii="Arial" w:cs="Arial" w:eastAsia="Arial" w:hAnsi="Arial"/>
                <w:sz w:val="13"/>
                <w:szCs w:val="13"/>
                <w:color w:val="auto"/>
              </w:rPr>
              <w:t>Rexnord , L.L.C.</w:t>
            </w:r>
          </w:p>
        </w:tc>
        <w:tc>
          <w:tcPr>
            <w:tcW w:w="940" w:type="dxa"/>
            <w:vAlign w:val="bottom"/>
            <w:gridSpan w:val="3"/>
          </w:tcPr>
          <w:p>
            <w:pPr>
              <w:jc w:val="center"/>
              <w:spacing w:after="0"/>
              <w:rPr>
                <w:sz w:val="20"/>
                <w:szCs w:val="20"/>
                <w:color w:val="auto"/>
              </w:rPr>
            </w:pPr>
            <w:r>
              <w:rPr>
                <w:rFonts w:ascii="Arial" w:cs="Arial" w:eastAsia="Arial" w:hAnsi="Arial"/>
                <w:sz w:val="13"/>
                <w:szCs w:val="13"/>
                <w:color w:val="auto"/>
                <w:w w:val="92"/>
              </w:rPr>
              <w:t>07/19/2013</w:t>
            </w:r>
          </w:p>
        </w:tc>
        <w:tc>
          <w:tcPr>
            <w:tcW w:w="2320" w:type="dxa"/>
            <w:vAlign w:val="bottom"/>
          </w:tcPr>
          <w:p>
            <w:pPr>
              <w:jc w:val="center"/>
              <w:spacing w:after="0"/>
              <w:rPr>
                <w:sz w:val="20"/>
                <w:szCs w:val="20"/>
                <w:color w:val="auto"/>
              </w:rPr>
            </w:pPr>
            <w:r>
              <w:rPr>
                <w:rFonts w:ascii="Arial" w:cs="Arial" w:eastAsia="Arial" w:hAnsi="Arial"/>
                <w:sz w:val="13"/>
                <w:szCs w:val="13"/>
                <w:color w:val="auto"/>
                <w:w w:val="96"/>
              </w:rPr>
              <w:t>Manufacturing/Basic Industry</w:t>
            </w:r>
          </w:p>
        </w:tc>
        <w:tc>
          <w:tcPr>
            <w:tcW w:w="1080" w:type="dxa"/>
            <w:vAlign w:val="bottom"/>
            <w:gridSpan w:val="3"/>
          </w:tcPr>
          <w:p>
            <w:pPr>
              <w:jc w:val="right"/>
              <w:ind w:right="340"/>
              <w:spacing w:after="0"/>
              <w:rPr>
                <w:sz w:val="20"/>
                <w:szCs w:val="20"/>
                <w:color w:val="auto"/>
              </w:rPr>
            </w:pPr>
            <w:r>
              <w:rPr>
                <w:rFonts w:ascii="Arial" w:cs="Arial" w:eastAsia="Arial" w:hAnsi="Arial"/>
                <w:sz w:val="13"/>
                <w:szCs w:val="13"/>
                <w:color w:val="auto"/>
              </w:rPr>
              <w:t>2.50%</w:t>
            </w:r>
          </w:p>
        </w:tc>
        <w:tc>
          <w:tcPr>
            <w:tcW w:w="980" w:type="dxa"/>
            <w:vAlign w:val="bottom"/>
            <w:gridSpan w:val="2"/>
          </w:tcPr>
          <w:p>
            <w:pPr>
              <w:jc w:val="right"/>
              <w:ind w:right="284"/>
              <w:spacing w:after="0"/>
              <w:rPr>
                <w:sz w:val="20"/>
                <w:szCs w:val="20"/>
                <w:color w:val="auto"/>
              </w:rPr>
            </w:pPr>
            <w:r>
              <w:rPr>
                <w:rFonts w:ascii="Arial" w:cs="Arial" w:eastAsia="Arial" w:hAnsi="Arial"/>
                <w:sz w:val="13"/>
                <w:szCs w:val="13"/>
                <w:color w:val="auto"/>
              </w:rPr>
              <w:t>L+200</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2,887,881</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color w:val="auto"/>
              </w:rPr>
              <w:t>2,887,881</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2,768,756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Sitel, L.L.C.</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w w:val="92"/>
              </w:rPr>
              <w:t>01/30/2014</w:t>
            </w:r>
          </w:p>
        </w:tc>
        <w:tc>
          <w:tcPr>
            <w:tcW w:w="2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5.95%</w:t>
            </w:r>
          </w:p>
        </w:tc>
        <w:tc>
          <w:tcPr>
            <w:tcW w:w="980" w:type="dxa"/>
            <w:vAlign w:val="bottom"/>
            <w:gridSpan w:val="2"/>
            <w:shd w:val="clear" w:color="auto" w:fill="CCEEFF"/>
          </w:tcPr>
          <w:p>
            <w:pPr>
              <w:jc w:val="right"/>
              <w:ind w:right="284"/>
              <w:spacing w:after="0"/>
              <w:rPr>
                <w:sz w:val="20"/>
                <w:szCs w:val="20"/>
                <w:color w:val="auto"/>
              </w:rPr>
            </w:pPr>
            <w:r>
              <w:rPr>
                <w:rFonts w:ascii="Arial" w:cs="Arial" w:eastAsia="Arial" w:hAnsi="Arial"/>
                <w:sz w:val="13"/>
                <w:szCs w:val="13"/>
                <w:color w:val="auto"/>
              </w:rPr>
              <w:t>L+550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2,682,328</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2,682,328</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2,226,332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20"/>
                <w:szCs w:val="20"/>
                <w:color w:val="auto"/>
              </w:rPr>
            </w:pPr>
            <w:r>
              <w:rPr>
                <w:rFonts w:ascii="Arial" w:cs="Arial" w:eastAsia="Arial" w:hAnsi="Arial"/>
                <w:sz w:val="13"/>
                <w:szCs w:val="13"/>
                <w:color w:val="auto"/>
              </w:rPr>
              <w:t>Sugarhouse HSP Gaming Prop.</w:t>
            </w:r>
          </w:p>
        </w:tc>
        <w:tc>
          <w:tcPr>
            <w:tcW w:w="940" w:type="dxa"/>
            <w:vAlign w:val="bottom"/>
            <w:gridSpan w:val="3"/>
          </w:tcPr>
          <w:p>
            <w:pPr>
              <w:jc w:val="center"/>
              <w:spacing w:after="0"/>
              <w:rPr>
                <w:sz w:val="20"/>
                <w:szCs w:val="20"/>
                <w:color w:val="auto"/>
              </w:rPr>
            </w:pPr>
            <w:r>
              <w:rPr>
                <w:rFonts w:ascii="Arial" w:cs="Arial" w:eastAsia="Arial" w:hAnsi="Arial"/>
                <w:sz w:val="13"/>
                <w:szCs w:val="13"/>
                <w:color w:val="auto"/>
                <w:w w:val="92"/>
              </w:rPr>
              <w:t>09/23/2014</w:t>
            </w:r>
          </w:p>
        </w:tc>
        <w:tc>
          <w:tcPr>
            <w:tcW w:w="2320" w:type="dxa"/>
            <w:vAlign w:val="bottom"/>
          </w:tcPr>
          <w:p>
            <w:pPr>
              <w:jc w:val="center"/>
              <w:spacing w:after="0"/>
              <w:rPr>
                <w:sz w:val="20"/>
                <w:szCs w:val="20"/>
                <w:color w:val="auto"/>
              </w:rPr>
            </w:pPr>
            <w:r>
              <w:rPr>
                <w:rFonts w:ascii="Arial" w:cs="Arial" w:eastAsia="Arial" w:hAnsi="Arial"/>
                <w:sz w:val="13"/>
                <w:szCs w:val="13"/>
                <w:color w:val="auto"/>
                <w:w w:val="95"/>
              </w:rPr>
              <w:t>Hotels, Motels, Inns and Gaming</w:t>
            </w:r>
          </w:p>
        </w:tc>
        <w:tc>
          <w:tcPr>
            <w:tcW w:w="1080" w:type="dxa"/>
            <w:vAlign w:val="bottom"/>
            <w:gridSpan w:val="3"/>
          </w:tcPr>
          <w:p>
            <w:pPr>
              <w:jc w:val="right"/>
              <w:ind w:right="340"/>
              <w:spacing w:after="0"/>
              <w:rPr>
                <w:sz w:val="20"/>
                <w:szCs w:val="20"/>
                <w:color w:val="auto"/>
              </w:rPr>
            </w:pPr>
            <w:r>
              <w:rPr>
                <w:rFonts w:ascii="Arial" w:cs="Arial" w:eastAsia="Arial" w:hAnsi="Arial"/>
                <w:sz w:val="13"/>
                <w:szCs w:val="13"/>
                <w:color w:val="auto"/>
              </w:rPr>
              <w:t>11.25%</w:t>
            </w:r>
          </w:p>
        </w:tc>
        <w:tc>
          <w:tcPr>
            <w:tcW w:w="980" w:type="dxa"/>
            <w:vAlign w:val="bottom"/>
            <w:gridSpan w:val="2"/>
          </w:tcPr>
          <w:p>
            <w:pPr>
              <w:jc w:val="right"/>
              <w:ind w:right="144"/>
              <w:spacing w:after="0" w:line="149" w:lineRule="exact"/>
              <w:rPr>
                <w:sz w:val="20"/>
                <w:szCs w:val="20"/>
                <w:color w:val="auto"/>
              </w:rPr>
            </w:pPr>
            <w:r>
              <w:rPr>
                <w:rFonts w:ascii="Arial" w:cs="Arial" w:eastAsia="Arial" w:hAnsi="Arial"/>
                <w:sz w:val="11"/>
                <w:szCs w:val="11"/>
                <w:color w:val="auto"/>
              </w:rPr>
              <w:t>L+825</w:t>
            </w:r>
            <w:r>
              <w:rPr>
                <w:rFonts w:ascii="Arial" w:cs="Arial" w:eastAsia="Arial" w:hAnsi="Arial"/>
                <w:sz w:val="17"/>
                <w:szCs w:val="17"/>
                <w:color w:val="auto"/>
                <w:vertAlign w:val="superscript"/>
              </w:rPr>
              <w:t>(8)</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20,000,000</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color w:val="auto"/>
              </w:rPr>
              <w:t>19,203,528</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19,600,000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U.S. Xpress Enterprises, Inc.</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w w:val="92"/>
              </w:rPr>
              <w:t>10/12/2014</w:t>
            </w:r>
          </w:p>
        </w:tc>
        <w:tc>
          <w:tcPr>
            <w:tcW w:w="2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Cargo Transportation</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4.26%</w:t>
            </w:r>
          </w:p>
        </w:tc>
        <w:tc>
          <w:tcPr>
            <w:tcW w:w="980" w:type="dxa"/>
            <w:vAlign w:val="bottom"/>
            <w:gridSpan w:val="2"/>
            <w:shd w:val="clear" w:color="auto" w:fill="CCEEFF"/>
          </w:tcPr>
          <w:p>
            <w:pPr>
              <w:jc w:val="right"/>
              <w:ind w:right="284"/>
              <w:spacing w:after="0"/>
              <w:rPr>
                <w:sz w:val="20"/>
                <w:szCs w:val="20"/>
                <w:color w:val="auto"/>
              </w:rPr>
            </w:pPr>
            <w:r>
              <w:rPr>
                <w:rFonts w:ascii="Arial" w:cs="Arial" w:eastAsia="Arial" w:hAnsi="Arial"/>
                <w:sz w:val="13"/>
                <w:szCs w:val="13"/>
                <w:color w:val="auto"/>
              </w:rPr>
              <w:t>L+400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14,966,254</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10,315,732</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10,887,950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20"/>
                <w:szCs w:val="20"/>
                <w:color w:val="auto"/>
              </w:rPr>
            </w:pPr>
            <w:r>
              <w:rPr>
                <w:rFonts w:ascii="Arial" w:cs="Arial" w:eastAsia="Arial" w:hAnsi="Arial"/>
                <w:sz w:val="13"/>
                <w:szCs w:val="13"/>
                <w:color w:val="auto"/>
              </w:rPr>
              <w:t>World Color Press Inc.</w:t>
            </w:r>
          </w:p>
        </w:tc>
        <w:tc>
          <w:tcPr>
            <w:tcW w:w="940" w:type="dxa"/>
            <w:vAlign w:val="bottom"/>
            <w:gridSpan w:val="3"/>
          </w:tcPr>
          <w:p>
            <w:pPr>
              <w:jc w:val="center"/>
              <w:spacing w:after="0"/>
              <w:rPr>
                <w:sz w:val="20"/>
                <w:szCs w:val="20"/>
                <w:color w:val="auto"/>
              </w:rPr>
            </w:pPr>
            <w:r>
              <w:rPr>
                <w:rFonts w:ascii="Arial" w:cs="Arial" w:eastAsia="Arial" w:hAnsi="Arial"/>
                <w:sz w:val="13"/>
                <w:szCs w:val="13"/>
                <w:color w:val="auto"/>
                <w:w w:val="92"/>
              </w:rPr>
              <w:t>07/21/2012</w:t>
            </w:r>
          </w:p>
        </w:tc>
        <w:tc>
          <w:tcPr>
            <w:tcW w:w="2320" w:type="dxa"/>
            <w:vAlign w:val="bottom"/>
          </w:tcPr>
          <w:p>
            <w:pPr>
              <w:jc w:val="center"/>
              <w:spacing w:after="0"/>
              <w:rPr>
                <w:sz w:val="20"/>
                <w:szCs w:val="20"/>
                <w:color w:val="auto"/>
              </w:rPr>
            </w:pPr>
            <w:r>
              <w:rPr>
                <w:rFonts w:ascii="Arial" w:cs="Arial" w:eastAsia="Arial" w:hAnsi="Arial"/>
                <w:sz w:val="13"/>
                <w:szCs w:val="13"/>
                <w:color w:val="auto"/>
                <w:w w:val="99"/>
              </w:rPr>
              <w:t>Printing</w:t>
            </w:r>
          </w:p>
        </w:tc>
        <w:tc>
          <w:tcPr>
            <w:tcW w:w="1080" w:type="dxa"/>
            <w:vAlign w:val="bottom"/>
            <w:gridSpan w:val="3"/>
          </w:tcPr>
          <w:p>
            <w:pPr>
              <w:jc w:val="right"/>
              <w:ind w:right="340"/>
              <w:spacing w:after="0"/>
              <w:rPr>
                <w:sz w:val="20"/>
                <w:szCs w:val="20"/>
                <w:color w:val="auto"/>
              </w:rPr>
            </w:pPr>
            <w:r>
              <w:rPr>
                <w:rFonts w:ascii="Arial" w:cs="Arial" w:eastAsia="Arial" w:hAnsi="Arial"/>
                <w:sz w:val="13"/>
                <w:szCs w:val="13"/>
                <w:color w:val="auto"/>
              </w:rPr>
              <w:t>9.00%</w:t>
            </w:r>
          </w:p>
        </w:tc>
        <w:tc>
          <w:tcPr>
            <w:tcW w:w="980" w:type="dxa"/>
            <w:vAlign w:val="bottom"/>
            <w:gridSpan w:val="2"/>
          </w:tcPr>
          <w:p>
            <w:pPr>
              <w:jc w:val="right"/>
              <w:ind w:right="144"/>
              <w:spacing w:after="0" w:line="149" w:lineRule="exact"/>
              <w:rPr>
                <w:sz w:val="20"/>
                <w:szCs w:val="20"/>
                <w:color w:val="auto"/>
              </w:rPr>
            </w:pPr>
            <w:r>
              <w:rPr>
                <w:rFonts w:ascii="Arial" w:cs="Arial" w:eastAsia="Arial" w:hAnsi="Arial"/>
                <w:sz w:val="11"/>
                <w:szCs w:val="11"/>
                <w:color w:val="auto"/>
              </w:rPr>
              <w:t>P+500</w:t>
            </w:r>
            <w:r>
              <w:rPr>
                <w:rFonts w:ascii="Arial" w:cs="Arial" w:eastAsia="Arial" w:hAnsi="Arial"/>
                <w:sz w:val="17"/>
                <w:szCs w:val="17"/>
                <w:color w:val="auto"/>
                <w:vertAlign w:val="superscript"/>
              </w:rPr>
              <w:t>(8)</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3,500,000</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color w:val="auto"/>
              </w:rPr>
              <w:t>3,177,842</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3,491,250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Yonkers Racing Corp. </w:t>
            </w:r>
            <w:r>
              <w:rPr>
                <w:rFonts w:ascii="Arial" w:cs="Arial" w:eastAsia="Arial" w:hAnsi="Arial"/>
                <w:sz w:val="17"/>
                <w:szCs w:val="17"/>
                <w:color w:val="auto"/>
                <w:vertAlign w:val="superscript"/>
              </w:rPr>
              <w:t>(5)</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w w:val="92"/>
              </w:rPr>
              <w:t>07/15/2016</w:t>
            </w:r>
          </w:p>
        </w:tc>
        <w:tc>
          <w:tcPr>
            <w:tcW w:w="2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Hotels, Motels, Inns and Gaming</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11.38%</w:t>
            </w:r>
          </w:p>
        </w:tc>
        <w:tc>
          <w:tcPr>
            <w:tcW w:w="6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5,000,000</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4,857,698</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3"/>
                <w:szCs w:val="13"/>
                <w:b w:val="1"/>
                <w:bCs w:val="1"/>
                <w:color w:val="auto"/>
              </w:rPr>
              <w:t>Total First Lien Secured Debt</w:t>
            </w: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3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w w:val="99"/>
              </w:rPr>
              <w:t>164,863,868</w:t>
            </w:r>
          </w:p>
        </w:tc>
        <w:tc>
          <w:tcPr>
            <w:tcW w:w="16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w w:val="91"/>
              </w:rPr>
              <w:t>150,607,490</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320" w:type="dxa"/>
            <w:vAlign w:val="bottom"/>
            <w:gridSpan w:val="4"/>
            <w:shd w:val="clear" w:color="auto" w:fill="CCEEFF"/>
          </w:tcPr>
          <w:p>
            <w:pPr>
              <w:spacing w:after="0"/>
              <w:rPr>
                <w:sz w:val="20"/>
                <w:szCs w:val="20"/>
                <w:color w:val="auto"/>
              </w:rPr>
            </w:pPr>
            <w:r>
              <w:rPr>
                <w:rFonts w:ascii="Arial" w:cs="Arial" w:eastAsia="Arial" w:hAnsi="Arial"/>
                <w:sz w:val="13"/>
                <w:szCs w:val="13"/>
                <w:b w:val="1"/>
                <w:bCs w:val="1"/>
                <w:color w:val="auto"/>
              </w:rPr>
              <w:t>Investments in Non-Controlled, Non-Affiliated Portfolio Companies</w:t>
            </w:r>
          </w:p>
        </w:tc>
        <w:tc>
          <w:tcPr>
            <w:tcW w:w="2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9"/>
              </w:rPr>
              <w:t>479,909,805</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453,644,335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-2776855</wp:posOffset>
            </wp:positionV>
            <wp:extent cx="7132320" cy="939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459"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Basis Point</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Spread</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460"/>
              <w:spacing w:after="0" w:line="134" w:lineRule="exact"/>
              <w:rPr>
                <w:sz w:val="20"/>
                <w:szCs w:val="20"/>
                <w:color w:val="auto"/>
              </w:rPr>
            </w:pPr>
            <w:r>
              <w:rPr>
                <w:rFonts w:ascii="Arial" w:cs="Arial" w:eastAsia="Arial" w:hAnsi="Arial"/>
                <w:sz w:val="13"/>
                <w:szCs w:val="13"/>
                <w:b w:val="1"/>
                <w:bCs w:val="1"/>
                <w:color w:val="auto"/>
                <w:w w:val="97"/>
              </w:rPr>
              <w:t>Current</w:t>
            </w:r>
          </w:p>
        </w:tc>
        <w:tc>
          <w:tcPr>
            <w:tcW w:w="82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w w:val="90"/>
              </w:rPr>
              <w:t>Above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3"/>
                <w:szCs w:val="13"/>
                <w:b w:val="1"/>
                <w:bCs w:val="1"/>
                <w:color w:val="auto"/>
                <w:w w:val="92"/>
              </w:rPr>
              <w:t>Fair Value</w:t>
            </w:r>
            <w:r>
              <w:rPr>
                <w:rFonts w:ascii="Arial" w:cs="Arial" w:eastAsia="Arial" w:hAnsi="Arial"/>
                <w:sz w:val="22"/>
                <w:szCs w:val="22"/>
                <w:b w:val="1"/>
                <w:bCs w:val="1"/>
                <w:color w:val="auto"/>
                <w:w w:val="92"/>
                <w:vertAlign w:val="superscript"/>
              </w:rPr>
              <w:t>(3)</w:t>
            </w:r>
          </w:p>
        </w:tc>
        <w:tc>
          <w:tcPr>
            <w:tcW w:w="0" w:type="dxa"/>
            <w:vAlign w:val="bottom"/>
          </w:tcPr>
          <w:p>
            <w:pPr>
              <w:spacing w:after="0"/>
              <w:rPr>
                <w:sz w:val="1"/>
                <w:szCs w:val="1"/>
                <w:color w:val="auto"/>
              </w:rPr>
            </w:pPr>
          </w:p>
        </w:tc>
      </w:tr>
      <w:tr>
        <w:trPr>
          <w:trHeight w:val="176"/>
        </w:trPr>
        <w:tc>
          <w:tcPr>
            <w:tcW w:w="404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18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Maturity</w:t>
            </w: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80" w:type="dxa"/>
            <w:vAlign w:val="bottom"/>
          </w:tcPr>
          <w:p>
            <w:pPr>
              <w:spacing w:after="0"/>
              <w:rPr>
                <w:sz w:val="15"/>
                <w:szCs w:val="15"/>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3"/>
              </w:rPr>
              <w:t>Coupon</w:t>
            </w:r>
          </w:p>
        </w:tc>
        <w:tc>
          <w:tcPr>
            <w:tcW w:w="820" w:type="dxa"/>
            <w:vAlign w:val="bottom"/>
            <w:gridSpan w:val="2"/>
          </w:tcPr>
          <w:p>
            <w:pPr>
              <w:jc w:val="center"/>
              <w:ind w:right="180"/>
              <w:spacing w:after="0" w:line="176" w:lineRule="exact"/>
              <w:rPr>
                <w:sz w:val="20"/>
                <w:szCs w:val="20"/>
                <w:color w:val="auto"/>
              </w:rPr>
            </w:pPr>
            <w:r>
              <w:rPr>
                <w:rFonts w:ascii="Arial" w:cs="Arial" w:eastAsia="Arial" w:hAnsi="Arial"/>
                <w:sz w:val="12"/>
                <w:szCs w:val="12"/>
                <w:b w:val="1"/>
                <w:bCs w:val="1"/>
                <w:color w:val="auto"/>
                <w:w w:val="94"/>
              </w:rPr>
              <w:t xml:space="preserve">Index </w:t>
            </w:r>
            <w:r>
              <w:rPr>
                <w:rFonts w:ascii="Arial" w:cs="Arial" w:eastAsia="Arial" w:hAnsi="Arial"/>
                <w:sz w:val="20"/>
                <w:szCs w:val="20"/>
                <w:b w:val="1"/>
                <w:bCs w:val="1"/>
                <w:color w:val="auto"/>
                <w:w w:val="94"/>
                <w:vertAlign w:val="superscript"/>
              </w:rPr>
              <w:t>(4)</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Par / Shares</w:t>
            </w:r>
          </w:p>
        </w:tc>
        <w:tc>
          <w:tcPr>
            <w:tcW w:w="60" w:type="dxa"/>
            <w:vAlign w:val="bottom"/>
          </w:tcPr>
          <w:p>
            <w:pPr>
              <w:spacing w:after="0"/>
              <w:rPr>
                <w:sz w:val="15"/>
                <w:szCs w:val="15"/>
                <w:color w:val="auto"/>
              </w:rPr>
            </w:pPr>
          </w:p>
        </w:tc>
        <w:tc>
          <w:tcPr>
            <w:tcW w:w="680" w:type="dxa"/>
            <w:vAlign w:val="bottom"/>
          </w:tcPr>
          <w:p>
            <w:pPr>
              <w:jc w:val="right"/>
              <w:ind w:right="173"/>
              <w:spacing w:after="0"/>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404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Investments in Non-Controlled, Affiliated Portfolio Companies—</w:t>
            </w:r>
          </w:p>
        </w:tc>
        <w:tc>
          <w:tcPr>
            <w:tcW w:w="18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58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040" w:type="dxa"/>
            <w:vAlign w:val="bottom"/>
            <w:shd w:val="clear" w:color="auto" w:fill="CCEEFF"/>
          </w:tcPr>
          <w:p>
            <w:pPr>
              <w:ind w:left="220"/>
              <w:spacing w:after="0" w:line="176" w:lineRule="exact"/>
              <w:rPr>
                <w:sz w:val="20"/>
                <w:szCs w:val="20"/>
                <w:color w:val="auto"/>
              </w:rPr>
            </w:pPr>
            <w:r>
              <w:rPr>
                <w:rFonts w:ascii="Arial" w:cs="Arial" w:eastAsia="Arial" w:hAnsi="Arial"/>
                <w:sz w:val="20"/>
                <w:szCs w:val="20"/>
                <w:b w:val="1"/>
                <w:bCs w:val="1"/>
                <w:color w:val="auto"/>
                <w:vertAlign w:val="subscript"/>
              </w:rPr>
              <w:t>5.4%</w:t>
            </w:r>
            <w:r>
              <w:rPr>
                <w:rFonts w:ascii="Arial" w:cs="Arial" w:eastAsia="Arial" w:hAnsi="Arial"/>
                <w:sz w:val="10"/>
                <w:szCs w:val="10"/>
                <w:b w:val="1"/>
                <w:bCs w:val="1"/>
                <w:color w:val="auto"/>
              </w:rPr>
              <w:t xml:space="preserve"> (1),(2)</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20"/>
                <w:szCs w:val="20"/>
                <w:color w:val="auto"/>
              </w:rPr>
            </w:pPr>
            <w:r>
              <w:rPr>
                <w:rFonts w:ascii="Arial" w:cs="Arial" w:eastAsia="Arial" w:hAnsi="Arial"/>
                <w:sz w:val="13"/>
                <w:szCs w:val="13"/>
                <w:b w:val="1"/>
                <w:bCs w:val="1"/>
                <w:color w:val="auto"/>
              </w:rPr>
              <w:t>Subordinated Debt/Corporate Notes—1.7%</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Performance Holdings, Inc.</w:t>
            </w:r>
          </w:p>
        </w:tc>
        <w:tc>
          <w:tcPr>
            <w:tcW w:w="98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w w:val="95"/>
              </w:rPr>
              <w:t>07/02/2014</w:t>
            </w: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Leisure, Amusement, Motion</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5,077,822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4,878,081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4,988,960</w:t>
            </w:r>
          </w:p>
        </w:tc>
        <w:tc>
          <w:tcPr>
            <w:tcW w:w="0" w:type="dxa"/>
            <w:vAlign w:val="bottom"/>
          </w:tcPr>
          <w:p>
            <w:pPr>
              <w:spacing w:after="0"/>
              <w:rPr>
                <w:sz w:val="1"/>
                <w:szCs w:val="1"/>
                <w:color w:val="auto"/>
              </w:rPr>
            </w:pPr>
          </w:p>
        </w:tc>
      </w:tr>
      <w:tr>
        <w:trPr>
          <w:trHeight w:val="142"/>
        </w:trPr>
        <w:tc>
          <w:tcPr>
            <w:tcW w:w="40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CCEEFF"/>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3"/>
              </w:rPr>
              <w:t>Pictures, Entertainment</w:t>
            </w:r>
          </w:p>
        </w:tc>
        <w:tc>
          <w:tcPr>
            <w:tcW w:w="1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20"/>
                <w:szCs w:val="20"/>
                <w:color w:val="auto"/>
              </w:rPr>
            </w:pPr>
            <w:r>
              <w:rPr>
                <w:rFonts w:ascii="Arial" w:cs="Arial" w:eastAsia="Arial" w:hAnsi="Arial"/>
                <w:sz w:val="13"/>
                <w:szCs w:val="13"/>
                <w:b w:val="1"/>
                <w:bCs w:val="1"/>
                <w:color w:val="auto"/>
              </w:rPr>
              <w:t>Second Lien Secured Debt—2.7%</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Performance, Inc.</w:t>
            </w:r>
          </w:p>
        </w:tc>
        <w:tc>
          <w:tcPr>
            <w:tcW w:w="98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w w:val="95"/>
              </w:rPr>
              <w:t>07/02/2013</w:t>
            </w: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Leisure, Amusement, Motion</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6.24%</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L+575</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8,750,000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8,750,000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8,019,375</w:t>
            </w:r>
          </w:p>
        </w:tc>
        <w:tc>
          <w:tcPr>
            <w:tcW w:w="0" w:type="dxa"/>
            <w:vAlign w:val="bottom"/>
          </w:tcPr>
          <w:p>
            <w:pPr>
              <w:spacing w:after="0"/>
              <w:rPr>
                <w:sz w:val="1"/>
                <w:szCs w:val="1"/>
                <w:color w:val="auto"/>
              </w:rPr>
            </w:pPr>
          </w:p>
        </w:tc>
      </w:tr>
      <w:tr>
        <w:trPr>
          <w:trHeight w:val="142"/>
        </w:trPr>
        <w:tc>
          <w:tcPr>
            <w:tcW w:w="40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CCEEFF"/>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3"/>
              </w:rPr>
              <w:t>Pictures, Entertainment</w:t>
            </w:r>
          </w:p>
        </w:tc>
        <w:tc>
          <w:tcPr>
            <w:tcW w:w="1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line="149" w:lineRule="exact"/>
              <w:rPr>
                <w:sz w:val="20"/>
                <w:szCs w:val="20"/>
                <w:color w:val="auto"/>
              </w:rPr>
            </w:pPr>
            <w:r>
              <w:rPr>
                <w:rFonts w:ascii="Arial" w:cs="Arial" w:eastAsia="Arial" w:hAnsi="Arial"/>
                <w:sz w:val="11"/>
                <w:szCs w:val="11"/>
                <w:b w:val="1"/>
                <w:bCs w:val="1"/>
                <w:color w:val="auto"/>
              </w:rPr>
              <w:t>Common Equity/Partnership Interest</w:t>
            </w:r>
            <w:r>
              <w:rPr>
                <w:rFonts w:ascii="Arial" w:cs="Arial" w:eastAsia="Arial" w:hAnsi="Arial"/>
                <w:sz w:val="17"/>
                <w:szCs w:val="17"/>
                <w:b w:val="1"/>
                <w:bCs w:val="1"/>
                <w:color w:val="auto"/>
                <w:vertAlign w:val="superscript"/>
              </w:rPr>
              <w:t>(7)</w:t>
            </w:r>
            <w:r>
              <w:rPr>
                <w:rFonts w:ascii="Arial" w:cs="Arial" w:eastAsia="Arial" w:hAnsi="Arial"/>
                <w:sz w:val="11"/>
                <w:szCs w:val="11"/>
                <w:b w:val="1"/>
                <w:bCs w:val="1"/>
                <w:color w:val="auto"/>
              </w:rPr>
              <w:t>—1.0%</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NCP-Performance (Performance Holdings, Inc.)</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Leisure, Amusement, Motion</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37,500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3,750,000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3,107,403</w:t>
            </w:r>
          </w:p>
        </w:tc>
        <w:tc>
          <w:tcPr>
            <w:tcW w:w="0" w:type="dxa"/>
            <w:vAlign w:val="bottom"/>
          </w:tcPr>
          <w:p>
            <w:pPr>
              <w:spacing w:after="0"/>
              <w:rPr>
                <w:sz w:val="1"/>
                <w:szCs w:val="1"/>
                <w:color w:val="auto"/>
              </w:rPr>
            </w:pPr>
          </w:p>
        </w:tc>
      </w:tr>
      <w:tr>
        <w:trPr>
          <w:trHeight w:val="142"/>
        </w:trPr>
        <w:tc>
          <w:tcPr>
            <w:tcW w:w="40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CCEEFF"/>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3"/>
              </w:rPr>
              <w:t>Pictures, Entertainment</w:t>
            </w:r>
          </w:p>
        </w:tc>
        <w:tc>
          <w:tcPr>
            <w:tcW w:w="1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40" w:type="dxa"/>
            <w:vAlign w:val="bottom"/>
          </w:tcPr>
          <w:p>
            <w:pPr>
              <w:spacing w:after="0"/>
              <w:rPr>
                <w:sz w:val="20"/>
                <w:szCs w:val="20"/>
                <w:color w:val="auto"/>
              </w:rPr>
            </w:pPr>
            <w:r>
              <w:rPr>
                <w:rFonts w:ascii="Arial" w:cs="Arial" w:eastAsia="Arial" w:hAnsi="Arial"/>
                <w:sz w:val="13"/>
                <w:szCs w:val="13"/>
                <w:b w:val="1"/>
                <w:bCs w:val="1"/>
                <w:color w:val="auto"/>
              </w:rPr>
              <w:t>Investments in Non-Controlled, Affiliated Portfolio Companies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17,378,081</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16,115,738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Investments—156.3%</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497,287,886</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469,760,073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040" w:type="dxa"/>
            <w:vAlign w:val="bottom"/>
          </w:tcPr>
          <w:p>
            <w:pPr>
              <w:spacing w:after="0"/>
              <w:rPr>
                <w:sz w:val="20"/>
                <w:szCs w:val="20"/>
                <w:color w:val="auto"/>
              </w:rPr>
            </w:pPr>
            <w:r>
              <w:rPr>
                <w:rFonts w:ascii="Arial" w:cs="Arial" w:eastAsia="Arial" w:hAnsi="Arial"/>
                <w:sz w:val="13"/>
                <w:szCs w:val="13"/>
                <w:color w:val="auto"/>
              </w:rPr>
              <w:t>Cash Equivalents—11.1%</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w w:val="92"/>
              </w:rPr>
              <w:t>33,247,666</w:t>
            </w: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33,247,666</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33,247,666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Investments and Cash Equivalents—167.4%</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530,535,552</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503,007,739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3"/>
                <w:szCs w:val="13"/>
                <w:b w:val="1"/>
                <w:bCs w:val="1"/>
                <w:color w:val="auto"/>
              </w:rPr>
              <w:t>Liabilities in Excess of Other Assets—(67.4%)</w:t>
            </w: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w w:val="91"/>
              </w:rPr>
              <w:t>(202,427,471)</w:t>
            </w:r>
          </w:p>
        </w:tc>
        <w:tc>
          <w:tcPr>
            <w:tcW w:w="0" w:type="dxa"/>
            <w:vAlign w:val="bottom"/>
          </w:tcPr>
          <w:p>
            <w:pPr>
              <w:spacing w:after="0"/>
              <w:rPr>
                <w:sz w:val="1"/>
                <w:szCs w:val="1"/>
                <w:color w:val="auto"/>
              </w:rPr>
            </w:pPr>
          </w:p>
        </w:tc>
      </w:tr>
      <w:tr>
        <w:trPr>
          <w:trHeight w:val="148"/>
        </w:trPr>
        <w:tc>
          <w:tcPr>
            <w:tcW w:w="40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Assets—100.0%</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300,580,268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12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34" w:lineRule="exact"/>
        <w:rPr>
          <w:sz w:val="20"/>
          <w:szCs w:val="20"/>
          <w:color w:val="auto"/>
        </w:rPr>
      </w:pPr>
    </w:p>
    <w:p>
      <w:pPr>
        <w:ind w:left="460" w:right="200" w:hanging="452"/>
        <w:spacing w:after="0" w:line="254"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used in this Schedule of Investments and in accordance with the 1940 Act, “non-controlled” means we own less than 25% of a portfolio company’s voting securities.</w:t>
      </w:r>
    </w:p>
    <w:p>
      <w:pPr>
        <w:ind w:left="460" w:right="380" w:hanging="452"/>
        <w:spacing w:after="0" w:line="281"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Valued based on our accounting policy (see Note 2 to our financial statements).</w:t>
      </w:r>
    </w:p>
    <w:p>
      <w:pPr>
        <w:spacing w:after="0" w:line="9"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floating rate instruments that accrue interest at a predetermined spread relative to an index, typically the applicable London Interbank Offer Rate (LIBOR or “L”) or Prime Rate (Prime or “P”).</w:t>
      </w:r>
    </w:p>
    <w:p>
      <w:pPr>
        <w:ind w:left="460" w:right="14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Security is exempt from registration under Rule 144A promulgated under the Securities Act of 1933. The security may be resold in transactions that are exempt from registration, normally to qualified institutional buyers.</w:t>
      </w: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Coupon is payable in cash and/or in-kind (“PIK”).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Non-income producing securities.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Coupon is subject to a LIBOR or Prime rate floor.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purchase of a security with delayed settlement. This security does not have a basis point spread above an index.</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459"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jc w:val="right"/>
              <w:ind w:right="33"/>
              <w:spacing w:after="0"/>
              <w:rPr>
                <w:sz w:val="20"/>
                <w:szCs w:val="20"/>
                <w:color w:val="auto"/>
              </w:rPr>
            </w:pPr>
            <w:r>
              <w:rPr>
                <w:rFonts w:ascii="Arial" w:cs="Arial" w:eastAsia="Arial" w:hAnsi="Arial"/>
                <w:sz w:val="13"/>
                <w:szCs w:val="13"/>
                <w:b w:val="1"/>
                <w:bCs w:val="1"/>
                <w:color w:val="auto"/>
              </w:rPr>
              <w:t>Basis Point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0"/>
              </w:rPr>
              <w:t>Spread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20" w:type="dxa"/>
            <w:vAlign w:val="bottom"/>
          </w:tcPr>
          <w:p>
            <w:pPr>
              <w:jc w:val="right"/>
              <w:ind w:right="301"/>
              <w:spacing w:after="0" w:line="148" w:lineRule="exact"/>
              <w:rPr>
                <w:sz w:val="20"/>
                <w:szCs w:val="20"/>
                <w:color w:val="auto"/>
              </w:rPr>
            </w:pPr>
            <w:r>
              <w:rPr>
                <w:rFonts w:ascii="Arial" w:cs="Arial" w:eastAsia="Arial" w:hAnsi="Arial"/>
                <w:sz w:val="13"/>
                <w:szCs w:val="13"/>
                <w:b w:val="1"/>
                <w:bCs w:val="1"/>
                <w:color w:val="auto"/>
              </w:rPr>
              <w:t>Current</w:t>
            </w:r>
          </w:p>
        </w:tc>
        <w:tc>
          <w:tcPr>
            <w:tcW w:w="8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0"/>
              </w:rPr>
              <w:t>Above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89"/>
        </w:trPr>
        <w:tc>
          <w:tcPr>
            <w:tcW w:w="424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18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b w:val="1"/>
                <w:bCs w:val="1"/>
                <w:color w:val="auto"/>
              </w:rPr>
              <w:t>Maturity</w:t>
            </w: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920" w:type="dxa"/>
            <w:vAlign w:val="bottom"/>
          </w:tcPr>
          <w:p>
            <w:pPr>
              <w:jc w:val="right"/>
              <w:ind w:right="301"/>
              <w:spacing w:after="0"/>
              <w:rPr>
                <w:sz w:val="20"/>
                <w:szCs w:val="20"/>
                <w:color w:val="auto"/>
              </w:rPr>
            </w:pPr>
            <w:r>
              <w:rPr>
                <w:rFonts w:ascii="Arial" w:cs="Arial" w:eastAsia="Arial" w:hAnsi="Arial"/>
                <w:sz w:val="13"/>
                <w:szCs w:val="13"/>
                <w:b w:val="1"/>
                <w:bCs w:val="1"/>
                <w:color w:val="auto"/>
              </w:rPr>
              <w:t>Coupon</w:t>
            </w:r>
          </w:p>
        </w:tc>
        <w:tc>
          <w:tcPr>
            <w:tcW w:w="86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7"/>
              </w:rPr>
              <w:t xml:space="preserve">Index </w:t>
            </w:r>
            <w:r>
              <w:rPr>
                <w:rFonts w:ascii="Arial" w:cs="Arial" w:eastAsia="Arial" w:hAnsi="Arial"/>
                <w:sz w:val="21"/>
                <w:szCs w:val="21"/>
                <w:b w:val="1"/>
                <w:bCs w:val="1"/>
                <w:color w:val="auto"/>
                <w:w w:val="87"/>
                <w:vertAlign w:val="superscript"/>
              </w:rPr>
              <w:t>(4)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rPr>
              <w:t>Par</w:t>
            </w:r>
          </w:p>
        </w:tc>
        <w:tc>
          <w:tcPr>
            <w:tcW w:w="8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424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b w:val="1"/>
                <w:bCs w:val="1"/>
                <w:color w:val="auto"/>
              </w:rPr>
              <w:t>Investments in Non-Controlled, Non-Affiliated Portfolio</w:t>
            </w:r>
          </w:p>
        </w:tc>
        <w:tc>
          <w:tcPr>
            <w:tcW w:w="1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240" w:type="dxa"/>
            <w:vAlign w:val="bottom"/>
          </w:tcPr>
          <w:p>
            <w:pPr>
              <w:ind w:left="220"/>
              <w:spacing w:after="0" w:line="176" w:lineRule="exact"/>
              <w:rPr>
                <w:sz w:val="20"/>
                <w:szCs w:val="20"/>
                <w:color w:val="auto"/>
              </w:rPr>
            </w:pPr>
            <w:r>
              <w:rPr>
                <w:rFonts w:ascii="Arial" w:cs="Arial" w:eastAsia="Arial" w:hAnsi="Arial"/>
                <w:sz w:val="12"/>
                <w:szCs w:val="12"/>
                <w:b w:val="1"/>
                <w:bCs w:val="1"/>
                <w:color w:val="auto"/>
              </w:rPr>
              <w:t xml:space="preserve">Companies—168.1% </w:t>
            </w:r>
            <w:r>
              <w:rPr>
                <w:rFonts w:ascii="Arial" w:cs="Arial" w:eastAsia="Arial" w:hAnsi="Arial"/>
                <w:sz w:val="20"/>
                <w:szCs w:val="20"/>
                <w:b w:val="1"/>
                <w:bCs w:val="1"/>
                <w:color w:val="auto"/>
                <w:vertAlign w:val="superscript"/>
              </w:rPr>
              <w:t>(1), (2)</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Subordinated Debt/Corporate Notes—76.8%</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20"/>
                <w:szCs w:val="20"/>
                <w:color w:val="auto"/>
              </w:rPr>
            </w:pPr>
            <w:r>
              <w:rPr>
                <w:rFonts w:ascii="Arial" w:cs="Arial" w:eastAsia="Arial" w:hAnsi="Arial"/>
                <w:sz w:val="13"/>
                <w:szCs w:val="13"/>
                <w:color w:val="auto"/>
              </w:rPr>
              <w:t>Advanstar, Inc.</w:t>
            </w:r>
          </w:p>
        </w:tc>
        <w:tc>
          <w:tcPr>
            <w:tcW w:w="900" w:type="dxa"/>
            <w:vAlign w:val="bottom"/>
            <w:gridSpan w:val="2"/>
          </w:tcPr>
          <w:p>
            <w:pPr>
              <w:ind w:left="200"/>
              <w:spacing w:after="0"/>
              <w:rPr>
                <w:sz w:val="20"/>
                <w:szCs w:val="20"/>
                <w:color w:val="auto"/>
              </w:rPr>
            </w:pPr>
            <w:r>
              <w:rPr>
                <w:rFonts w:ascii="Arial" w:cs="Arial" w:eastAsia="Arial" w:hAnsi="Arial"/>
                <w:sz w:val="13"/>
                <w:szCs w:val="13"/>
                <w:color w:val="auto"/>
              </w:rPr>
              <w:t>11/30/2015</w:t>
            </w:r>
          </w:p>
        </w:tc>
        <w:tc>
          <w:tcPr>
            <w:tcW w:w="1620" w:type="dxa"/>
            <w:vAlign w:val="bottom"/>
          </w:tcPr>
          <w:p>
            <w:pPr>
              <w:jc w:val="center"/>
              <w:spacing w:after="0"/>
              <w:rPr>
                <w:sz w:val="20"/>
                <w:szCs w:val="20"/>
                <w:color w:val="auto"/>
              </w:rPr>
            </w:pPr>
            <w:r>
              <w:rPr>
                <w:rFonts w:ascii="Arial" w:cs="Arial" w:eastAsia="Arial" w:hAnsi="Arial"/>
                <w:sz w:val="13"/>
                <w:szCs w:val="13"/>
                <w:color w:val="auto"/>
                <w:w w:val="97"/>
              </w:rPr>
              <w:t>Other Media</w:t>
            </w:r>
          </w:p>
        </w:tc>
        <w:tc>
          <w:tcPr>
            <w:tcW w:w="920" w:type="dxa"/>
            <w:vAlign w:val="bottom"/>
          </w:tcPr>
          <w:p>
            <w:pPr>
              <w:jc w:val="right"/>
              <w:ind w:right="61"/>
              <w:spacing w:after="0" w:line="149" w:lineRule="exact"/>
              <w:rPr>
                <w:sz w:val="20"/>
                <w:szCs w:val="20"/>
                <w:color w:val="auto"/>
              </w:rPr>
            </w:pPr>
            <w:r>
              <w:rPr>
                <w:rFonts w:ascii="Arial" w:cs="Arial" w:eastAsia="Arial" w:hAnsi="Arial"/>
                <w:sz w:val="11"/>
                <w:szCs w:val="11"/>
                <w:color w:val="auto"/>
              </w:rPr>
              <w:t>10.76%</w:t>
            </w:r>
            <w:r>
              <w:rPr>
                <w:rFonts w:ascii="Arial" w:cs="Arial" w:eastAsia="Arial" w:hAnsi="Arial"/>
                <w:sz w:val="17"/>
                <w:szCs w:val="17"/>
                <w:color w:val="auto"/>
                <w:vertAlign w:val="superscript"/>
              </w:rPr>
              <w:t>(6)</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L+700</w:t>
            </w:r>
          </w:p>
        </w:tc>
        <w:tc>
          <w:tcPr>
            <w:tcW w:w="1020" w:type="dxa"/>
            <w:vAlign w:val="bottom"/>
            <w:gridSpan w:val="5"/>
          </w:tcPr>
          <w:p>
            <w:pPr>
              <w:jc w:val="right"/>
              <w:ind w:right="180"/>
              <w:spacing w:after="0"/>
              <w:rPr>
                <w:sz w:val="20"/>
                <w:szCs w:val="20"/>
                <w:color w:val="auto"/>
              </w:rPr>
            </w:pPr>
            <w:r>
              <w:rPr>
                <w:rFonts w:ascii="Arial" w:cs="Arial" w:eastAsia="Arial" w:hAnsi="Arial"/>
                <w:sz w:val="13"/>
                <w:szCs w:val="13"/>
                <w:color w:val="auto"/>
              </w:rPr>
              <w:t>$ 16,268,634</w:t>
            </w:r>
          </w:p>
        </w:tc>
        <w:tc>
          <w:tcPr>
            <w:tcW w:w="740" w:type="dxa"/>
            <w:vAlign w:val="bottom"/>
          </w:tcPr>
          <w:p>
            <w:pPr>
              <w:jc w:val="right"/>
              <w:spacing w:after="0"/>
              <w:rPr>
                <w:sz w:val="20"/>
                <w:szCs w:val="20"/>
                <w:color w:val="auto"/>
              </w:rPr>
            </w:pPr>
            <w:r>
              <w:rPr>
                <w:rFonts w:ascii="Arial" w:cs="Arial" w:eastAsia="Arial" w:hAnsi="Arial"/>
                <w:sz w:val="13"/>
                <w:szCs w:val="13"/>
                <w:color w:val="auto"/>
                <w:w w:val="94"/>
              </w:rPr>
              <w:t>$ 16,268,634</w:t>
            </w:r>
          </w:p>
        </w:tc>
        <w:tc>
          <w:tcPr>
            <w:tcW w:w="10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$ 12,567,520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Affinion Group Holdings, Inc.</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03/01/2012</w:t>
            </w: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Consumer Products</w:t>
            </w:r>
          </w:p>
        </w:tc>
        <w:tc>
          <w:tcPr>
            <w:tcW w:w="920" w:type="dxa"/>
            <w:vAlign w:val="bottom"/>
            <w:shd w:val="clear" w:color="auto" w:fill="CCEEFF"/>
          </w:tcPr>
          <w:p>
            <w:pPr>
              <w:jc w:val="right"/>
              <w:ind w:right="61"/>
              <w:spacing w:after="0" w:line="149" w:lineRule="exact"/>
              <w:rPr>
                <w:sz w:val="20"/>
                <w:szCs w:val="20"/>
                <w:color w:val="auto"/>
              </w:rPr>
            </w:pPr>
            <w:r>
              <w:rPr>
                <w:rFonts w:ascii="Arial" w:cs="Arial" w:eastAsia="Arial" w:hAnsi="Arial"/>
                <w:sz w:val="11"/>
                <w:szCs w:val="11"/>
                <w:color w:val="auto"/>
              </w:rPr>
              <w:t>9.37%</w:t>
            </w:r>
            <w:r>
              <w:rPr>
                <w:rFonts w:ascii="Arial" w:cs="Arial" w:eastAsia="Arial" w:hAnsi="Arial"/>
                <w:sz w:val="17"/>
                <w:szCs w:val="17"/>
                <w:color w:val="auto"/>
                <w:vertAlign w:val="superscript"/>
              </w:rPr>
              <w:t>(6)</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L+625</w:t>
            </w:r>
          </w:p>
        </w:tc>
        <w:tc>
          <w:tcPr>
            <w:tcW w:w="1020" w:type="dxa"/>
            <w:vAlign w:val="bottom"/>
            <w:gridSpan w:val="5"/>
            <w:shd w:val="clear" w:color="auto" w:fill="CCEEFF"/>
          </w:tcPr>
          <w:p>
            <w:pPr>
              <w:jc w:val="right"/>
              <w:ind w:right="180"/>
              <w:spacing w:after="0"/>
              <w:rPr>
                <w:sz w:val="20"/>
                <w:szCs w:val="20"/>
                <w:color w:val="auto"/>
              </w:rPr>
            </w:pPr>
            <w:r>
              <w:rPr>
                <w:rFonts w:ascii="Arial" w:cs="Arial" w:eastAsia="Arial" w:hAnsi="Arial"/>
                <w:sz w:val="13"/>
                <w:szCs w:val="13"/>
                <w:color w:val="auto"/>
              </w:rPr>
              <w:t>22,500,000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21,587,384</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18,562,500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20"/>
                <w:szCs w:val="20"/>
                <w:color w:val="auto"/>
              </w:rPr>
            </w:pPr>
            <w:r>
              <w:rPr>
                <w:rFonts w:ascii="Arial" w:cs="Arial" w:eastAsia="Arial" w:hAnsi="Arial"/>
                <w:sz w:val="13"/>
                <w:szCs w:val="13"/>
                <w:color w:val="auto"/>
              </w:rPr>
              <w:t>Consolidated Foundries, Inc.</w:t>
            </w: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04/17/2015</w:t>
            </w:r>
          </w:p>
        </w:tc>
        <w:tc>
          <w:tcPr>
            <w:tcW w:w="1620" w:type="dxa"/>
            <w:vAlign w:val="bottom"/>
          </w:tcPr>
          <w:p>
            <w:pPr>
              <w:jc w:val="center"/>
              <w:spacing w:after="0"/>
              <w:rPr>
                <w:sz w:val="20"/>
                <w:szCs w:val="20"/>
                <w:color w:val="auto"/>
              </w:rPr>
            </w:pPr>
            <w:r>
              <w:rPr>
                <w:rFonts w:ascii="Arial" w:cs="Arial" w:eastAsia="Arial" w:hAnsi="Arial"/>
                <w:sz w:val="13"/>
                <w:szCs w:val="13"/>
                <w:color w:val="auto"/>
                <w:w w:val="90"/>
              </w:rPr>
              <w:t>Aerospace and Defense</w:t>
            </w:r>
          </w:p>
        </w:tc>
        <w:tc>
          <w:tcPr>
            <w:tcW w:w="920" w:type="dxa"/>
            <w:vAlign w:val="bottom"/>
          </w:tcPr>
          <w:p>
            <w:pPr>
              <w:jc w:val="right"/>
              <w:ind w:right="61"/>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860" w:type="dxa"/>
            <w:vAlign w:val="bottom"/>
          </w:tcPr>
          <w:p>
            <w:pPr>
              <w:ind w:left="560"/>
              <w:spacing w:after="0"/>
              <w:rPr>
                <w:sz w:val="20"/>
                <w:szCs w:val="20"/>
                <w:color w:val="auto"/>
              </w:rPr>
            </w:pPr>
            <w:r>
              <w:rPr>
                <w:rFonts w:ascii="Arial" w:cs="Arial" w:eastAsia="Arial" w:hAnsi="Arial"/>
                <w:sz w:val="13"/>
                <w:szCs w:val="13"/>
                <w:color w:val="auto"/>
              </w:rPr>
              <w:t>—</w:t>
            </w:r>
          </w:p>
        </w:tc>
        <w:tc>
          <w:tcPr>
            <w:tcW w:w="1020" w:type="dxa"/>
            <w:vAlign w:val="bottom"/>
            <w:gridSpan w:val="5"/>
          </w:tcPr>
          <w:p>
            <w:pPr>
              <w:jc w:val="right"/>
              <w:ind w:right="180"/>
              <w:spacing w:after="0"/>
              <w:rPr>
                <w:sz w:val="20"/>
                <w:szCs w:val="20"/>
                <w:color w:val="auto"/>
              </w:rPr>
            </w:pPr>
            <w:r>
              <w:rPr>
                <w:rFonts w:ascii="Arial" w:cs="Arial" w:eastAsia="Arial" w:hAnsi="Arial"/>
                <w:sz w:val="13"/>
                <w:szCs w:val="13"/>
                <w:color w:val="auto"/>
              </w:rPr>
              <w:t>8,000,000</w:t>
            </w:r>
          </w:p>
        </w:tc>
        <w:tc>
          <w:tcPr>
            <w:tcW w:w="740" w:type="dxa"/>
            <w:vAlign w:val="bottom"/>
          </w:tcPr>
          <w:p>
            <w:pPr>
              <w:jc w:val="right"/>
              <w:spacing w:after="0"/>
              <w:rPr>
                <w:sz w:val="20"/>
                <w:szCs w:val="20"/>
                <w:color w:val="auto"/>
              </w:rPr>
            </w:pPr>
            <w:r>
              <w:rPr>
                <w:rFonts w:ascii="Arial" w:cs="Arial" w:eastAsia="Arial" w:hAnsi="Arial"/>
                <w:sz w:val="13"/>
                <w:szCs w:val="13"/>
                <w:color w:val="auto"/>
              </w:rPr>
              <w:t>7,831,761</w:t>
            </w:r>
          </w:p>
        </w:tc>
        <w:tc>
          <w:tcPr>
            <w:tcW w:w="10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8,000,000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CT Technologies Intermediate Holdings, Inc.</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03/19/2014</w:t>
            </w: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920" w:type="dxa"/>
            <w:vAlign w:val="bottom"/>
            <w:shd w:val="clear" w:color="auto" w:fill="CCEEFF"/>
          </w:tcPr>
          <w:p>
            <w:pPr>
              <w:jc w:val="right"/>
              <w:ind w:right="61"/>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860" w:type="dxa"/>
            <w:vAlign w:val="bottom"/>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20" w:type="dxa"/>
            <w:vAlign w:val="bottom"/>
            <w:gridSpan w:val="5"/>
            <w:shd w:val="clear" w:color="auto" w:fill="CCEEFF"/>
          </w:tcPr>
          <w:p>
            <w:pPr>
              <w:jc w:val="right"/>
              <w:ind w:right="180"/>
              <w:spacing w:after="0"/>
              <w:rPr>
                <w:sz w:val="20"/>
                <w:szCs w:val="20"/>
                <w:color w:val="auto"/>
              </w:rPr>
            </w:pPr>
            <w:r>
              <w:rPr>
                <w:rFonts w:ascii="Arial" w:cs="Arial" w:eastAsia="Arial" w:hAnsi="Arial"/>
                <w:sz w:val="13"/>
                <w:szCs w:val="13"/>
                <w:color w:val="auto"/>
              </w:rPr>
              <w:t>20,000,000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19,502,246</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20"/>
                <w:szCs w:val="20"/>
                <w:color w:val="auto"/>
              </w:rPr>
            </w:pPr>
            <w:r>
              <w:rPr>
                <w:rFonts w:ascii="Arial" w:cs="Arial" w:eastAsia="Arial" w:hAnsi="Arial"/>
                <w:sz w:val="13"/>
                <w:szCs w:val="13"/>
                <w:color w:val="auto"/>
              </w:rPr>
              <w:t>i2 Holdings Ltd.</w:t>
            </w: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06/06/2014</w:t>
            </w:r>
          </w:p>
        </w:tc>
        <w:tc>
          <w:tcPr>
            <w:tcW w:w="1620" w:type="dxa"/>
            <w:vAlign w:val="bottom"/>
          </w:tcPr>
          <w:p>
            <w:pPr>
              <w:jc w:val="center"/>
              <w:spacing w:after="0"/>
              <w:rPr>
                <w:sz w:val="20"/>
                <w:szCs w:val="20"/>
                <w:color w:val="auto"/>
              </w:rPr>
            </w:pPr>
            <w:r>
              <w:rPr>
                <w:rFonts w:ascii="Arial" w:cs="Arial" w:eastAsia="Arial" w:hAnsi="Arial"/>
                <w:sz w:val="13"/>
                <w:szCs w:val="13"/>
                <w:color w:val="auto"/>
                <w:w w:val="90"/>
              </w:rPr>
              <w:t>Aerospace and Defense</w:t>
            </w:r>
          </w:p>
        </w:tc>
        <w:tc>
          <w:tcPr>
            <w:tcW w:w="920" w:type="dxa"/>
            <w:vAlign w:val="bottom"/>
          </w:tcPr>
          <w:p>
            <w:pPr>
              <w:jc w:val="right"/>
              <w:ind w:right="61"/>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860" w:type="dxa"/>
            <w:vAlign w:val="bottom"/>
          </w:tcPr>
          <w:p>
            <w:pPr>
              <w:ind w:left="560"/>
              <w:spacing w:after="0"/>
              <w:rPr>
                <w:sz w:val="20"/>
                <w:szCs w:val="20"/>
                <w:color w:val="auto"/>
              </w:rPr>
            </w:pPr>
            <w:r>
              <w:rPr>
                <w:rFonts w:ascii="Arial" w:cs="Arial" w:eastAsia="Arial" w:hAnsi="Arial"/>
                <w:sz w:val="13"/>
                <w:szCs w:val="13"/>
                <w:color w:val="auto"/>
              </w:rPr>
              <w:t>—</w:t>
            </w:r>
          </w:p>
        </w:tc>
        <w:tc>
          <w:tcPr>
            <w:tcW w:w="1020" w:type="dxa"/>
            <w:vAlign w:val="bottom"/>
            <w:gridSpan w:val="5"/>
          </w:tcPr>
          <w:p>
            <w:pPr>
              <w:jc w:val="right"/>
              <w:ind w:right="180"/>
              <w:spacing w:after="0"/>
              <w:rPr>
                <w:sz w:val="20"/>
                <w:szCs w:val="20"/>
                <w:color w:val="auto"/>
              </w:rPr>
            </w:pPr>
            <w:r>
              <w:rPr>
                <w:rFonts w:ascii="Arial" w:cs="Arial" w:eastAsia="Arial" w:hAnsi="Arial"/>
                <w:sz w:val="13"/>
                <w:szCs w:val="13"/>
                <w:color w:val="auto"/>
              </w:rPr>
              <w:t>22,041,438</w:t>
            </w:r>
          </w:p>
        </w:tc>
        <w:tc>
          <w:tcPr>
            <w:tcW w:w="740" w:type="dxa"/>
            <w:vAlign w:val="bottom"/>
          </w:tcPr>
          <w:p>
            <w:pPr>
              <w:jc w:val="right"/>
              <w:spacing w:after="0"/>
              <w:rPr>
                <w:sz w:val="20"/>
                <w:szCs w:val="20"/>
                <w:color w:val="auto"/>
              </w:rPr>
            </w:pPr>
            <w:r>
              <w:rPr>
                <w:rFonts w:ascii="Arial" w:cs="Arial" w:eastAsia="Arial" w:hAnsi="Arial"/>
                <w:sz w:val="13"/>
                <w:szCs w:val="13"/>
                <w:color w:val="auto"/>
              </w:rPr>
              <w:t>21,649,325</w:t>
            </w:r>
          </w:p>
        </w:tc>
        <w:tc>
          <w:tcPr>
            <w:tcW w:w="10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22,041,438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IDQ Holdings, Inc.</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05/20/2012</w:t>
            </w: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Auto Sector</w:t>
            </w: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3"/>
                <w:szCs w:val="13"/>
                <w:color w:val="auto"/>
              </w:rPr>
              <w:t>13.75%</w:t>
            </w:r>
          </w:p>
        </w:tc>
        <w:tc>
          <w:tcPr>
            <w:tcW w:w="860" w:type="dxa"/>
            <w:vAlign w:val="bottom"/>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20" w:type="dxa"/>
            <w:vAlign w:val="bottom"/>
            <w:gridSpan w:val="5"/>
            <w:shd w:val="clear" w:color="auto" w:fill="CCEEFF"/>
          </w:tcPr>
          <w:p>
            <w:pPr>
              <w:jc w:val="right"/>
              <w:ind w:right="180"/>
              <w:spacing w:after="0"/>
              <w:rPr>
                <w:sz w:val="20"/>
                <w:szCs w:val="20"/>
                <w:color w:val="auto"/>
              </w:rPr>
            </w:pPr>
            <w:r>
              <w:rPr>
                <w:rFonts w:ascii="Arial" w:cs="Arial" w:eastAsia="Arial" w:hAnsi="Arial"/>
                <w:sz w:val="13"/>
                <w:szCs w:val="13"/>
                <w:color w:val="auto"/>
              </w:rPr>
              <w:t>20,000,000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19,555,782</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20"/>
                <w:szCs w:val="20"/>
                <w:color w:val="auto"/>
              </w:rPr>
            </w:pPr>
            <w:r>
              <w:rPr>
                <w:rFonts w:ascii="Arial" w:cs="Arial" w:eastAsia="Arial" w:hAnsi="Arial"/>
                <w:sz w:val="13"/>
                <w:szCs w:val="13"/>
                <w:color w:val="auto"/>
              </w:rPr>
              <w:t>Learning Care Group, Inc.</w:t>
            </w: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12/28/2015</w:t>
            </w:r>
          </w:p>
        </w:tc>
        <w:tc>
          <w:tcPr>
            <w:tcW w:w="1620" w:type="dxa"/>
            <w:vAlign w:val="bottom"/>
          </w:tcPr>
          <w:p>
            <w:pPr>
              <w:jc w:val="center"/>
              <w:spacing w:after="0"/>
              <w:rPr>
                <w:sz w:val="20"/>
                <w:szCs w:val="20"/>
                <w:color w:val="auto"/>
              </w:rPr>
            </w:pPr>
            <w:r>
              <w:rPr>
                <w:rFonts w:ascii="Arial" w:cs="Arial" w:eastAsia="Arial" w:hAnsi="Arial"/>
                <w:sz w:val="13"/>
                <w:szCs w:val="13"/>
                <w:color w:val="auto"/>
                <w:w w:val="93"/>
              </w:rPr>
              <w:t>Education</w:t>
            </w:r>
          </w:p>
        </w:tc>
        <w:tc>
          <w:tcPr>
            <w:tcW w:w="920" w:type="dxa"/>
            <w:vAlign w:val="bottom"/>
          </w:tcPr>
          <w:p>
            <w:pPr>
              <w:jc w:val="right"/>
              <w:ind w:right="61"/>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860" w:type="dxa"/>
            <w:vAlign w:val="bottom"/>
          </w:tcPr>
          <w:p>
            <w:pPr>
              <w:ind w:left="560"/>
              <w:spacing w:after="0"/>
              <w:rPr>
                <w:sz w:val="20"/>
                <w:szCs w:val="20"/>
                <w:color w:val="auto"/>
              </w:rPr>
            </w:pPr>
            <w:r>
              <w:rPr>
                <w:rFonts w:ascii="Arial" w:cs="Arial" w:eastAsia="Arial" w:hAnsi="Arial"/>
                <w:sz w:val="13"/>
                <w:szCs w:val="13"/>
                <w:color w:val="auto"/>
              </w:rPr>
              <w:t>—</w:t>
            </w:r>
          </w:p>
        </w:tc>
        <w:tc>
          <w:tcPr>
            <w:tcW w:w="1020" w:type="dxa"/>
            <w:vAlign w:val="bottom"/>
            <w:gridSpan w:val="5"/>
          </w:tcPr>
          <w:p>
            <w:pPr>
              <w:jc w:val="right"/>
              <w:ind w:right="180"/>
              <w:spacing w:after="0"/>
              <w:rPr>
                <w:sz w:val="20"/>
                <w:szCs w:val="20"/>
                <w:color w:val="auto"/>
              </w:rPr>
            </w:pPr>
            <w:r>
              <w:rPr>
                <w:rFonts w:ascii="Arial" w:cs="Arial" w:eastAsia="Arial" w:hAnsi="Arial"/>
                <w:sz w:val="13"/>
                <w:szCs w:val="13"/>
                <w:color w:val="auto"/>
              </w:rPr>
              <w:t>10,067,361</w:t>
            </w:r>
          </w:p>
        </w:tc>
        <w:tc>
          <w:tcPr>
            <w:tcW w:w="740" w:type="dxa"/>
            <w:vAlign w:val="bottom"/>
          </w:tcPr>
          <w:p>
            <w:pPr>
              <w:jc w:val="right"/>
              <w:spacing w:after="0"/>
              <w:rPr>
                <w:sz w:val="20"/>
                <w:szCs w:val="20"/>
                <w:color w:val="auto"/>
              </w:rPr>
            </w:pPr>
            <w:r>
              <w:rPr>
                <w:rFonts w:ascii="Arial" w:cs="Arial" w:eastAsia="Arial" w:hAnsi="Arial"/>
                <w:sz w:val="13"/>
                <w:szCs w:val="13"/>
                <w:color w:val="auto"/>
              </w:rPr>
              <w:t>9,922,722</w:t>
            </w:r>
          </w:p>
        </w:tc>
        <w:tc>
          <w:tcPr>
            <w:tcW w:w="10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10,067,361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Realogy Corp.</w:t>
            </w:r>
          </w:p>
        </w:tc>
        <w:tc>
          <w:tcPr>
            <w:tcW w:w="18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04/15/2015   Buildings and Real Estate</w:t>
            </w: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3"/>
                <w:szCs w:val="13"/>
                <w:color w:val="auto"/>
              </w:rPr>
              <w:t>12.38%</w:t>
            </w:r>
          </w:p>
        </w:tc>
        <w:tc>
          <w:tcPr>
            <w:tcW w:w="860" w:type="dxa"/>
            <w:vAlign w:val="bottom"/>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20" w:type="dxa"/>
            <w:vAlign w:val="bottom"/>
            <w:gridSpan w:val="5"/>
            <w:shd w:val="clear" w:color="auto" w:fill="CCEEFF"/>
          </w:tcPr>
          <w:p>
            <w:pPr>
              <w:jc w:val="right"/>
              <w:ind w:right="180"/>
              <w:spacing w:after="0"/>
              <w:rPr>
                <w:sz w:val="20"/>
                <w:szCs w:val="20"/>
                <w:color w:val="auto"/>
              </w:rPr>
            </w:pPr>
            <w:r>
              <w:rPr>
                <w:rFonts w:ascii="Arial" w:cs="Arial" w:eastAsia="Arial" w:hAnsi="Arial"/>
                <w:sz w:val="13"/>
                <w:szCs w:val="13"/>
                <w:color w:val="auto"/>
              </w:rPr>
              <w:t>28,000,000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26,337,698</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9,520,000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20"/>
                <w:szCs w:val="20"/>
                <w:color w:val="auto"/>
              </w:rPr>
            </w:pPr>
            <w:r>
              <w:rPr>
                <w:rFonts w:ascii="Arial" w:cs="Arial" w:eastAsia="Arial" w:hAnsi="Arial"/>
                <w:sz w:val="13"/>
                <w:szCs w:val="13"/>
                <w:color w:val="auto"/>
              </w:rPr>
              <w:t>Trizetto Group, Inc.</w:t>
            </w: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10/01/2016</w:t>
            </w:r>
          </w:p>
        </w:tc>
        <w:tc>
          <w:tcPr>
            <w:tcW w:w="1620" w:type="dxa"/>
            <w:vAlign w:val="bottom"/>
          </w:tcPr>
          <w:p>
            <w:pPr>
              <w:jc w:val="center"/>
              <w:spacing w:after="0"/>
              <w:rPr>
                <w:sz w:val="20"/>
                <w:szCs w:val="20"/>
                <w:color w:val="auto"/>
              </w:rPr>
            </w:pPr>
            <w:r>
              <w:rPr>
                <w:rFonts w:ascii="Arial" w:cs="Arial" w:eastAsia="Arial" w:hAnsi="Arial"/>
                <w:sz w:val="13"/>
                <w:szCs w:val="13"/>
                <w:color w:val="auto"/>
                <w:w w:val="94"/>
              </w:rPr>
              <w:t>Insurance</w:t>
            </w:r>
          </w:p>
        </w:tc>
        <w:tc>
          <w:tcPr>
            <w:tcW w:w="920" w:type="dxa"/>
            <w:vAlign w:val="bottom"/>
          </w:tcPr>
          <w:p>
            <w:pPr>
              <w:jc w:val="right"/>
              <w:ind w:right="61"/>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860" w:type="dxa"/>
            <w:vAlign w:val="bottom"/>
          </w:tcPr>
          <w:p>
            <w:pPr>
              <w:ind w:left="560"/>
              <w:spacing w:after="0"/>
              <w:rPr>
                <w:sz w:val="20"/>
                <w:szCs w:val="20"/>
                <w:color w:val="auto"/>
              </w:rPr>
            </w:pPr>
            <w:r>
              <w:rPr>
                <w:rFonts w:ascii="Arial" w:cs="Arial" w:eastAsia="Arial" w:hAnsi="Arial"/>
                <w:sz w:val="13"/>
                <w:szCs w:val="13"/>
                <w:color w:val="auto"/>
              </w:rPr>
              <w:t>—</w:t>
            </w:r>
          </w:p>
        </w:tc>
        <w:tc>
          <w:tcPr>
            <w:tcW w:w="1020" w:type="dxa"/>
            <w:vAlign w:val="bottom"/>
            <w:gridSpan w:val="5"/>
          </w:tcPr>
          <w:p>
            <w:pPr>
              <w:jc w:val="right"/>
              <w:ind w:right="180"/>
              <w:spacing w:after="0"/>
              <w:rPr>
                <w:sz w:val="20"/>
                <w:szCs w:val="20"/>
                <w:color w:val="auto"/>
              </w:rPr>
            </w:pPr>
            <w:r>
              <w:rPr>
                <w:rFonts w:ascii="Arial" w:cs="Arial" w:eastAsia="Arial" w:hAnsi="Arial"/>
                <w:sz w:val="13"/>
                <w:szCs w:val="13"/>
                <w:color w:val="auto"/>
              </w:rPr>
              <w:t>20,000,000</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19,811,785</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UP Acquisitions Sub Inc.</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02/08/2015</w:t>
            </w: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Oil and Gas</w:t>
            </w: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3"/>
                <w:szCs w:val="13"/>
                <w:color w:val="auto"/>
              </w:rPr>
              <w:t>13.50%</w:t>
            </w:r>
          </w:p>
        </w:tc>
        <w:tc>
          <w:tcPr>
            <w:tcW w:w="860" w:type="dxa"/>
            <w:vAlign w:val="bottom"/>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21,000,000</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20,428,146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40" w:type="dxa"/>
            <w:vAlign w:val="bottom"/>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gridSpan w:val="5"/>
          </w:tcPr>
          <w:p>
            <w:pPr>
              <w:jc w:val="right"/>
              <w:ind w:right="180"/>
              <w:spacing w:after="0"/>
              <w:rPr>
                <w:sz w:val="20"/>
                <w:szCs w:val="20"/>
                <w:color w:val="auto"/>
              </w:rPr>
            </w:pPr>
            <w:r>
              <w:rPr>
                <w:rFonts w:ascii="Arial" w:cs="Arial" w:eastAsia="Arial" w:hAnsi="Arial"/>
                <w:sz w:val="13"/>
                <w:szCs w:val="13"/>
                <w:color w:val="auto"/>
              </w:rPr>
              <w:t>187,877,433</w:t>
            </w:r>
          </w:p>
        </w:tc>
        <w:tc>
          <w:tcPr>
            <w:tcW w:w="740" w:type="dxa"/>
            <w:vAlign w:val="bottom"/>
          </w:tcPr>
          <w:p>
            <w:pPr>
              <w:jc w:val="right"/>
              <w:spacing w:after="0"/>
              <w:rPr>
                <w:sz w:val="20"/>
                <w:szCs w:val="20"/>
                <w:color w:val="auto"/>
              </w:rPr>
            </w:pPr>
            <w:r>
              <w:rPr>
                <w:rFonts w:ascii="Arial" w:cs="Arial" w:eastAsia="Arial" w:hAnsi="Arial"/>
                <w:sz w:val="13"/>
                <w:szCs w:val="13"/>
                <w:color w:val="auto"/>
                <w:w w:val="99"/>
              </w:rPr>
              <w:t>182,895,483</w:t>
            </w:r>
          </w:p>
        </w:tc>
        <w:tc>
          <w:tcPr>
            <w:tcW w:w="100" w:type="dxa"/>
            <w:vAlign w:val="bottom"/>
          </w:tcPr>
          <w:p>
            <w:pPr>
              <w:spacing w:after="0"/>
              <w:rPr>
                <w:sz w:val="14"/>
                <w:szCs w:val="14"/>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3"/>
                <w:szCs w:val="13"/>
                <w:color w:val="auto"/>
              </w:rPr>
              <w:t>161,758,819</w:t>
            </w:r>
          </w:p>
        </w:tc>
        <w:tc>
          <w:tcPr>
            <w:tcW w:w="0" w:type="dxa"/>
            <w:vAlign w:val="bottom"/>
          </w:tcPr>
          <w:p>
            <w:pPr>
              <w:spacing w:after="0"/>
              <w:rPr>
                <w:sz w:val="1"/>
                <w:szCs w:val="1"/>
                <w:color w:val="auto"/>
              </w:rPr>
            </w:pPr>
          </w:p>
        </w:tc>
      </w:tr>
      <w:tr>
        <w:trPr>
          <w:trHeight w:val="148"/>
        </w:trPr>
        <w:tc>
          <w:tcPr>
            <w:tcW w:w="4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Second Lien Secured Debt—45.5%</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20"/>
                <w:szCs w:val="20"/>
                <w:color w:val="auto"/>
              </w:rPr>
            </w:pPr>
            <w:r>
              <w:rPr>
                <w:rFonts w:ascii="Arial" w:cs="Arial" w:eastAsia="Arial" w:hAnsi="Arial"/>
                <w:sz w:val="13"/>
                <w:szCs w:val="13"/>
                <w:color w:val="auto"/>
              </w:rPr>
              <w:t>Brand Energy and Infrastructure Services, Inc.</w:t>
            </w: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02/07/2015</w:t>
            </w:r>
          </w:p>
        </w:tc>
        <w:tc>
          <w:tcPr>
            <w:tcW w:w="1620" w:type="dxa"/>
            <w:vAlign w:val="bottom"/>
          </w:tcPr>
          <w:p>
            <w:pPr>
              <w:jc w:val="center"/>
              <w:spacing w:after="0"/>
              <w:rPr>
                <w:sz w:val="20"/>
                <w:szCs w:val="20"/>
                <w:color w:val="auto"/>
              </w:rPr>
            </w:pPr>
            <w:r>
              <w:rPr>
                <w:rFonts w:ascii="Arial" w:cs="Arial" w:eastAsia="Arial" w:hAnsi="Arial"/>
                <w:sz w:val="13"/>
                <w:szCs w:val="13"/>
                <w:color w:val="auto"/>
                <w:w w:val="99"/>
              </w:rPr>
              <w:t>Energy/Utilities</w:t>
            </w:r>
          </w:p>
        </w:tc>
        <w:tc>
          <w:tcPr>
            <w:tcW w:w="920" w:type="dxa"/>
            <w:vAlign w:val="bottom"/>
          </w:tcPr>
          <w:p>
            <w:pPr>
              <w:jc w:val="right"/>
              <w:ind w:right="181"/>
              <w:spacing w:after="0"/>
              <w:rPr>
                <w:sz w:val="20"/>
                <w:szCs w:val="20"/>
                <w:color w:val="auto"/>
              </w:rPr>
            </w:pPr>
            <w:r>
              <w:rPr>
                <w:rFonts w:ascii="Arial" w:cs="Arial" w:eastAsia="Arial" w:hAnsi="Arial"/>
                <w:sz w:val="13"/>
                <w:szCs w:val="13"/>
                <w:color w:val="auto"/>
              </w:rPr>
              <w:t>9.81%</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L+700</w:t>
            </w:r>
          </w:p>
        </w:tc>
        <w:tc>
          <w:tcPr>
            <w:tcW w:w="1020" w:type="dxa"/>
            <w:vAlign w:val="bottom"/>
            <w:gridSpan w:val="5"/>
          </w:tcPr>
          <w:p>
            <w:pPr>
              <w:jc w:val="right"/>
              <w:ind w:right="180"/>
              <w:spacing w:after="0"/>
              <w:rPr>
                <w:sz w:val="20"/>
                <w:szCs w:val="20"/>
                <w:color w:val="auto"/>
              </w:rPr>
            </w:pPr>
            <w:r>
              <w:rPr>
                <w:rFonts w:ascii="Arial" w:cs="Arial" w:eastAsia="Arial" w:hAnsi="Arial"/>
                <w:sz w:val="13"/>
                <w:szCs w:val="13"/>
                <w:color w:val="auto"/>
              </w:rPr>
              <w:t>12,000,000</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11,682,795</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11,160,000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Brand Energy and Infrastructure Services, Inc.</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02/07/2015</w:t>
            </w: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Energy/Utilities</w:t>
            </w: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3"/>
                <w:szCs w:val="13"/>
                <w:color w:val="auto"/>
              </w:rPr>
              <w:t>8.81%</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L+600</w:t>
            </w:r>
          </w:p>
        </w:tc>
        <w:tc>
          <w:tcPr>
            <w:tcW w:w="1020" w:type="dxa"/>
            <w:vAlign w:val="bottom"/>
            <w:gridSpan w:val="5"/>
            <w:shd w:val="clear" w:color="auto" w:fill="CCEEFF"/>
          </w:tcPr>
          <w:p>
            <w:pPr>
              <w:jc w:val="right"/>
              <w:ind w:right="180"/>
              <w:spacing w:after="0"/>
              <w:rPr>
                <w:sz w:val="20"/>
                <w:szCs w:val="20"/>
                <w:color w:val="auto"/>
              </w:rPr>
            </w:pPr>
            <w:r>
              <w:rPr>
                <w:rFonts w:ascii="Arial" w:cs="Arial" w:eastAsia="Arial" w:hAnsi="Arial"/>
                <w:sz w:val="13"/>
                <w:szCs w:val="13"/>
                <w:color w:val="auto"/>
              </w:rPr>
              <w:t>13,600,000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13,068,290</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12,342,000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40" w:type="dxa"/>
            <w:vAlign w:val="bottom"/>
          </w:tcPr>
          <w:p>
            <w:pPr>
              <w:spacing w:after="0" w:line="138" w:lineRule="exact"/>
              <w:rPr>
                <w:sz w:val="20"/>
                <w:szCs w:val="20"/>
                <w:color w:val="auto"/>
              </w:rPr>
            </w:pPr>
            <w:r>
              <w:rPr>
                <w:rFonts w:ascii="Arial" w:cs="Arial" w:eastAsia="Arial" w:hAnsi="Arial"/>
                <w:sz w:val="13"/>
                <w:szCs w:val="13"/>
                <w:color w:val="auto"/>
              </w:rPr>
              <w:t>Generics International (U.S.), Inc.</w:t>
            </w:r>
          </w:p>
        </w:tc>
        <w:tc>
          <w:tcPr>
            <w:tcW w:w="900" w:type="dxa"/>
            <w:vAlign w:val="bottom"/>
            <w:gridSpan w:val="2"/>
          </w:tcPr>
          <w:p>
            <w:pPr>
              <w:ind w:left="180"/>
              <w:spacing w:after="0" w:line="138" w:lineRule="exact"/>
              <w:rPr>
                <w:sz w:val="20"/>
                <w:szCs w:val="20"/>
                <w:color w:val="auto"/>
              </w:rPr>
            </w:pPr>
            <w:r>
              <w:rPr>
                <w:rFonts w:ascii="Arial" w:cs="Arial" w:eastAsia="Arial" w:hAnsi="Arial"/>
                <w:sz w:val="13"/>
                <w:szCs w:val="13"/>
                <w:color w:val="auto"/>
              </w:rPr>
              <w:t>04/30/2015</w:t>
            </w:r>
          </w:p>
        </w:tc>
        <w:tc>
          <w:tcPr>
            <w:tcW w:w="1620" w:type="dxa"/>
            <w:vAlign w:val="bottom"/>
          </w:tcPr>
          <w:p>
            <w:pPr>
              <w:jc w:val="center"/>
              <w:spacing w:after="0" w:line="138" w:lineRule="exact"/>
              <w:rPr>
                <w:sz w:val="20"/>
                <w:szCs w:val="20"/>
                <w:color w:val="auto"/>
              </w:rPr>
            </w:pPr>
            <w:r>
              <w:rPr>
                <w:rFonts w:ascii="Arial" w:cs="Arial" w:eastAsia="Arial" w:hAnsi="Arial"/>
                <w:sz w:val="13"/>
                <w:szCs w:val="13"/>
                <w:color w:val="auto"/>
                <w:w w:val="92"/>
              </w:rPr>
              <w:t>Healthcare, Education and</w:t>
            </w:r>
          </w:p>
        </w:tc>
        <w:tc>
          <w:tcPr>
            <w:tcW w:w="920" w:type="dxa"/>
            <w:vAlign w:val="bottom"/>
          </w:tcPr>
          <w:p>
            <w:pPr>
              <w:jc w:val="right"/>
              <w:ind w:right="181"/>
              <w:spacing w:after="0" w:line="138" w:lineRule="exact"/>
              <w:rPr>
                <w:sz w:val="20"/>
                <w:szCs w:val="20"/>
                <w:color w:val="auto"/>
              </w:rPr>
            </w:pPr>
            <w:r>
              <w:rPr>
                <w:rFonts w:ascii="Arial" w:cs="Arial" w:eastAsia="Arial" w:hAnsi="Arial"/>
                <w:sz w:val="13"/>
                <w:szCs w:val="13"/>
                <w:color w:val="auto"/>
              </w:rPr>
              <w:t>11.26%</w:t>
            </w:r>
          </w:p>
        </w:tc>
        <w:tc>
          <w:tcPr>
            <w:tcW w:w="860" w:type="dxa"/>
            <w:vAlign w:val="bottom"/>
          </w:tcPr>
          <w:p>
            <w:pPr>
              <w:jc w:val="right"/>
              <w:ind w:right="33"/>
              <w:spacing w:after="0" w:line="138" w:lineRule="exact"/>
              <w:rPr>
                <w:sz w:val="20"/>
                <w:szCs w:val="20"/>
                <w:color w:val="auto"/>
              </w:rPr>
            </w:pPr>
            <w:r>
              <w:rPr>
                <w:rFonts w:ascii="Arial" w:cs="Arial" w:eastAsia="Arial" w:hAnsi="Arial"/>
                <w:sz w:val="13"/>
                <w:szCs w:val="13"/>
                <w:color w:val="auto"/>
              </w:rPr>
              <w:t>L+750</w:t>
            </w:r>
          </w:p>
        </w:tc>
        <w:tc>
          <w:tcPr>
            <w:tcW w:w="1020" w:type="dxa"/>
            <w:vAlign w:val="bottom"/>
            <w:gridSpan w:val="5"/>
          </w:tcPr>
          <w:p>
            <w:pPr>
              <w:jc w:val="right"/>
              <w:ind w:right="180"/>
              <w:spacing w:after="0" w:line="138" w:lineRule="exact"/>
              <w:rPr>
                <w:sz w:val="20"/>
                <w:szCs w:val="20"/>
                <w:color w:val="auto"/>
              </w:rPr>
            </w:pPr>
            <w:r>
              <w:rPr>
                <w:rFonts w:ascii="Arial" w:cs="Arial" w:eastAsia="Arial" w:hAnsi="Arial"/>
                <w:sz w:val="13"/>
                <w:szCs w:val="13"/>
                <w:color w:val="auto"/>
              </w:rPr>
              <w:t>12,000,000</w:t>
            </w:r>
          </w:p>
        </w:tc>
        <w:tc>
          <w:tcPr>
            <w:tcW w:w="8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11,947,073</w:t>
            </w:r>
          </w:p>
        </w:tc>
        <w:tc>
          <w:tcPr>
            <w:tcW w:w="8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10,080,000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3"/>
                <w:szCs w:val="13"/>
                <w:color w:val="auto"/>
                <w:w w:val="98"/>
              </w:rPr>
              <w:t>Childcare</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Questex Media Group, Inc.</w:t>
            </w: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11/04/2014</w:t>
            </w: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Other Media</w:t>
            </w: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3"/>
                <w:szCs w:val="13"/>
                <w:color w:val="auto"/>
              </w:rPr>
              <w:t>9.31%</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L+650</w:t>
            </w:r>
          </w:p>
        </w:tc>
        <w:tc>
          <w:tcPr>
            <w:tcW w:w="1020" w:type="dxa"/>
            <w:vAlign w:val="bottom"/>
            <w:gridSpan w:val="5"/>
            <w:shd w:val="clear" w:color="auto" w:fill="CCEEFF"/>
          </w:tcPr>
          <w:p>
            <w:pPr>
              <w:jc w:val="right"/>
              <w:ind w:right="180"/>
              <w:spacing w:after="0"/>
              <w:rPr>
                <w:sz w:val="20"/>
                <w:szCs w:val="20"/>
                <w:color w:val="auto"/>
              </w:rPr>
            </w:pPr>
            <w:r>
              <w:rPr>
                <w:rFonts w:ascii="Arial" w:cs="Arial" w:eastAsia="Arial" w:hAnsi="Arial"/>
                <w:sz w:val="13"/>
                <w:szCs w:val="13"/>
                <w:color w:val="auto"/>
              </w:rPr>
              <w:t>10,000,000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10,000,000</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8,700,000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05/15/2015</w:t>
            </w:r>
          </w:p>
        </w:tc>
        <w:tc>
          <w:tcPr>
            <w:tcW w:w="1620" w:type="dxa"/>
            <w:vAlign w:val="bottom"/>
          </w:tcPr>
          <w:p>
            <w:pPr>
              <w:jc w:val="center"/>
              <w:spacing w:after="0"/>
              <w:rPr>
                <w:sz w:val="20"/>
                <w:szCs w:val="20"/>
                <w:color w:val="auto"/>
              </w:rPr>
            </w:pPr>
            <w:r>
              <w:rPr>
                <w:rFonts w:ascii="Arial" w:cs="Arial" w:eastAsia="Arial" w:hAnsi="Arial"/>
                <w:sz w:val="13"/>
                <w:szCs w:val="13"/>
                <w:color w:val="auto"/>
                <w:w w:val="93"/>
              </w:rPr>
              <w:t>Transportation</w:t>
            </w:r>
          </w:p>
        </w:tc>
        <w:tc>
          <w:tcPr>
            <w:tcW w:w="920" w:type="dxa"/>
            <w:vAlign w:val="bottom"/>
          </w:tcPr>
          <w:p>
            <w:pPr>
              <w:jc w:val="right"/>
              <w:ind w:right="181"/>
              <w:spacing w:after="0"/>
              <w:rPr>
                <w:sz w:val="20"/>
                <w:szCs w:val="20"/>
                <w:color w:val="auto"/>
              </w:rPr>
            </w:pPr>
            <w:r>
              <w:rPr>
                <w:rFonts w:ascii="Arial" w:cs="Arial" w:eastAsia="Arial" w:hAnsi="Arial"/>
                <w:sz w:val="13"/>
                <w:szCs w:val="13"/>
                <w:color w:val="auto"/>
              </w:rPr>
              <w:t>10.55%</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L+775</w:t>
            </w:r>
          </w:p>
        </w:tc>
        <w:tc>
          <w:tcPr>
            <w:tcW w:w="1020" w:type="dxa"/>
            <w:vAlign w:val="bottom"/>
            <w:gridSpan w:val="5"/>
          </w:tcPr>
          <w:p>
            <w:pPr>
              <w:jc w:val="right"/>
              <w:ind w:right="180"/>
              <w:spacing w:after="0"/>
              <w:rPr>
                <w:sz w:val="20"/>
                <w:szCs w:val="20"/>
                <w:color w:val="auto"/>
              </w:rPr>
            </w:pPr>
            <w:r>
              <w:rPr>
                <w:rFonts w:ascii="Arial" w:cs="Arial" w:eastAsia="Arial" w:hAnsi="Arial"/>
                <w:sz w:val="13"/>
                <w:szCs w:val="13"/>
                <w:color w:val="auto"/>
              </w:rPr>
              <w:t>10,000,000</w:t>
            </w:r>
          </w:p>
        </w:tc>
        <w:tc>
          <w:tcPr>
            <w:tcW w:w="740" w:type="dxa"/>
            <w:vAlign w:val="bottom"/>
          </w:tcPr>
          <w:p>
            <w:pPr>
              <w:jc w:val="right"/>
              <w:spacing w:after="0"/>
              <w:rPr>
                <w:sz w:val="20"/>
                <w:szCs w:val="20"/>
                <w:color w:val="auto"/>
              </w:rPr>
            </w:pPr>
            <w:r>
              <w:rPr>
                <w:rFonts w:ascii="Arial" w:cs="Arial" w:eastAsia="Arial" w:hAnsi="Arial"/>
                <w:sz w:val="13"/>
                <w:szCs w:val="13"/>
                <w:color w:val="auto"/>
              </w:rPr>
              <w:t>9,951,058</w:t>
            </w:r>
          </w:p>
        </w:tc>
        <w:tc>
          <w:tcPr>
            <w:tcW w:w="10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3,100,000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05/15/2017</w:t>
            </w: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Transportation</w:t>
            </w: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3"/>
                <w:szCs w:val="13"/>
                <w:color w:val="auto"/>
              </w:rPr>
              <w:t>12.50%</w:t>
            </w:r>
          </w:p>
        </w:tc>
        <w:tc>
          <w:tcPr>
            <w:tcW w:w="860" w:type="dxa"/>
            <w:vAlign w:val="bottom"/>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20" w:type="dxa"/>
            <w:vAlign w:val="bottom"/>
            <w:gridSpan w:val="5"/>
            <w:shd w:val="clear" w:color="auto" w:fill="CCEEFF"/>
          </w:tcPr>
          <w:p>
            <w:pPr>
              <w:jc w:val="right"/>
              <w:ind w:right="180"/>
              <w:spacing w:after="0"/>
              <w:rPr>
                <w:sz w:val="20"/>
                <w:szCs w:val="20"/>
                <w:color w:val="auto"/>
              </w:rPr>
            </w:pPr>
            <w:r>
              <w:rPr>
                <w:rFonts w:ascii="Arial" w:cs="Arial" w:eastAsia="Arial" w:hAnsi="Arial"/>
                <w:sz w:val="13"/>
                <w:szCs w:val="13"/>
                <w:color w:val="auto"/>
              </w:rPr>
              <w:t>19,000,000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16,565,952</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6,270,000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40" w:type="dxa"/>
            <w:vAlign w:val="bottom"/>
          </w:tcPr>
          <w:p>
            <w:pPr>
              <w:spacing w:after="0" w:line="138" w:lineRule="exact"/>
              <w:rPr>
                <w:sz w:val="20"/>
                <w:szCs w:val="20"/>
                <w:color w:val="auto"/>
              </w:rPr>
            </w:pPr>
            <w:r>
              <w:rPr>
                <w:rFonts w:ascii="Arial" w:cs="Arial" w:eastAsia="Arial" w:hAnsi="Arial"/>
                <w:sz w:val="13"/>
                <w:szCs w:val="13"/>
                <w:color w:val="auto"/>
              </w:rPr>
              <w:t>Sheridan Holdings, Inc.</w:t>
            </w:r>
          </w:p>
        </w:tc>
        <w:tc>
          <w:tcPr>
            <w:tcW w:w="900" w:type="dxa"/>
            <w:vAlign w:val="bottom"/>
            <w:gridSpan w:val="2"/>
          </w:tcPr>
          <w:p>
            <w:pPr>
              <w:ind w:left="180"/>
              <w:spacing w:after="0" w:line="138" w:lineRule="exact"/>
              <w:rPr>
                <w:sz w:val="20"/>
                <w:szCs w:val="20"/>
                <w:color w:val="auto"/>
              </w:rPr>
            </w:pPr>
            <w:r>
              <w:rPr>
                <w:rFonts w:ascii="Arial" w:cs="Arial" w:eastAsia="Arial" w:hAnsi="Arial"/>
                <w:sz w:val="13"/>
                <w:szCs w:val="13"/>
                <w:color w:val="auto"/>
              </w:rPr>
              <w:t>06/15/2015</w:t>
            </w:r>
          </w:p>
        </w:tc>
        <w:tc>
          <w:tcPr>
            <w:tcW w:w="1620" w:type="dxa"/>
            <w:vAlign w:val="bottom"/>
          </w:tcPr>
          <w:p>
            <w:pPr>
              <w:jc w:val="center"/>
              <w:spacing w:after="0" w:line="138" w:lineRule="exact"/>
              <w:rPr>
                <w:sz w:val="20"/>
                <w:szCs w:val="20"/>
                <w:color w:val="auto"/>
              </w:rPr>
            </w:pPr>
            <w:r>
              <w:rPr>
                <w:rFonts w:ascii="Arial" w:cs="Arial" w:eastAsia="Arial" w:hAnsi="Arial"/>
                <w:sz w:val="13"/>
                <w:szCs w:val="13"/>
                <w:color w:val="auto"/>
                <w:w w:val="92"/>
              </w:rPr>
              <w:t>Healthcare, Education and</w:t>
            </w:r>
          </w:p>
        </w:tc>
        <w:tc>
          <w:tcPr>
            <w:tcW w:w="920" w:type="dxa"/>
            <w:vAlign w:val="bottom"/>
          </w:tcPr>
          <w:p>
            <w:pPr>
              <w:jc w:val="right"/>
              <w:ind w:right="61"/>
              <w:spacing w:after="0" w:line="138" w:lineRule="exact"/>
              <w:rPr>
                <w:sz w:val="20"/>
                <w:szCs w:val="20"/>
                <w:color w:val="auto"/>
              </w:rPr>
            </w:pPr>
            <w:r>
              <w:rPr>
                <w:rFonts w:ascii="Arial" w:cs="Arial" w:eastAsia="Arial" w:hAnsi="Arial"/>
                <w:sz w:val="10"/>
                <w:szCs w:val="10"/>
                <w:color w:val="auto"/>
              </w:rPr>
              <w:t>8.54%</w:t>
            </w:r>
            <w:r>
              <w:rPr>
                <w:rFonts w:ascii="Arial" w:cs="Arial" w:eastAsia="Arial" w:hAnsi="Arial"/>
                <w:sz w:val="15"/>
                <w:szCs w:val="15"/>
                <w:color w:val="auto"/>
                <w:vertAlign w:val="superscript"/>
              </w:rPr>
              <w:t>(6)</w:t>
            </w:r>
          </w:p>
        </w:tc>
        <w:tc>
          <w:tcPr>
            <w:tcW w:w="860" w:type="dxa"/>
            <w:vAlign w:val="bottom"/>
          </w:tcPr>
          <w:p>
            <w:pPr>
              <w:jc w:val="right"/>
              <w:ind w:right="33"/>
              <w:spacing w:after="0" w:line="138" w:lineRule="exact"/>
              <w:rPr>
                <w:sz w:val="20"/>
                <w:szCs w:val="20"/>
                <w:color w:val="auto"/>
              </w:rPr>
            </w:pPr>
            <w:r>
              <w:rPr>
                <w:rFonts w:ascii="Arial" w:cs="Arial" w:eastAsia="Arial" w:hAnsi="Arial"/>
                <w:sz w:val="13"/>
                <w:szCs w:val="13"/>
                <w:color w:val="auto"/>
              </w:rPr>
              <w:t>L+575</w:t>
            </w:r>
          </w:p>
        </w:tc>
        <w:tc>
          <w:tcPr>
            <w:tcW w:w="1020" w:type="dxa"/>
            <w:vAlign w:val="bottom"/>
            <w:gridSpan w:val="5"/>
          </w:tcPr>
          <w:p>
            <w:pPr>
              <w:jc w:val="right"/>
              <w:ind w:right="180"/>
              <w:spacing w:after="0" w:line="138" w:lineRule="exact"/>
              <w:rPr>
                <w:sz w:val="20"/>
                <w:szCs w:val="20"/>
                <w:color w:val="auto"/>
              </w:rPr>
            </w:pPr>
            <w:r>
              <w:rPr>
                <w:rFonts w:ascii="Arial" w:cs="Arial" w:eastAsia="Arial" w:hAnsi="Arial"/>
                <w:sz w:val="13"/>
                <w:szCs w:val="13"/>
                <w:color w:val="auto"/>
              </w:rPr>
              <w:t>12,500,000</w:t>
            </w:r>
          </w:p>
        </w:tc>
        <w:tc>
          <w:tcPr>
            <w:tcW w:w="8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11,838,114</w:t>
            </w:r>
          </w:p>
        </w:tc>
        <w:tc>
          <w:tcPr>
            <w:tcW w:w="8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10,500,000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3"/>
                <w:szCs w:val="13"/>
                <w:color w:val="auto"/>
                <w:w w:val="98"/>
              </w:rPr>
              <w:t>Childcare</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2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Specialized Technology Resources, Inc.</w:t>
            </w:r>
          </w:p>
        </w:tc>
        <w:tc>
          <w:tcPr>
            <w:tcW w:w="900" w:type="dxa"/>
            <w:vAlign w:val="bottom"/>
            <w:gridSpan w:val="2"/>
            <w:shd w:val="clear" w:color="auto" w:fill="CCEEFF"/>
          </w:tcPr>
          <w:p>
            <w:pPr>
              <w:ind w:left="180"/>
              <w:spacing w:after="0" w:line="138" w:lineRule="exact"/>
              <w:rPr>
                <w:sz w:val="20"/>
                <w:szCs w:val="20"/>
                <w:color w:val="auto"/>
              </w:rPr>
            </w:pPr>
            <w:r>
              <w:rPr>
                <w:rFonts w:ascii="Arial" w:cs="Arial" w:eastAsia="Arial" w:hAnsi="Arial"/>
                <w:sz w:val="13"/>
                <w:szCs w:val="13"/>
                <w:color w:val="auto"/>
              </w:rPr>
              <w:t>12/15/2014</w:t>
            </w:r>
          </w:p>
        </w:tc>
        <w:tc>
          <w:tcPr>
            <w:tcW w:w="1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Chemical, Plastics and</w:t>
            </w:r>
          </w:p>
        </w:tc>
        <w:tc>
          <w:tcPr>
            <w:tcW w:w="920" w:type="dxa"/>
            <w:vAlign w:val="bottom"/>
            <w:shd w:val="clear" w:color="auto" w:fill="CCEEFF"/>
          </w:tcPr>
          <w:p>
            <w:pPr>
              <w:jc w:val="right"/>
              <w:ind w:right="61"/>
              <w:spacing w:after="0" w:line="138" w:lineRule="exact"/>
              <w:rPr>
                <w:sz w:val="20"/>
                <w:szCs w:val="20"/>
                <w:color w:val="auto"/>
              </w:rPr>
            </w:pPr>
            <w:r>
              <w:rPr>
                <w:rFonts w:ascii="Arial" w:cs="Arial" w:eastAsia="Arial" w:hAnsi="Arial"/>
                <w:sz w:val="10"/>
                <w:szCs w:val="10"/>
                <w:color w:val="auto"/>
              </w:rPr>
              <w:t>10.70%</w:t>
            </w:r>
            <w:r>
              <w:rPr>
                <w:rFonts w:ascii="Arial" w:cs="Arial" w:eastAsia="Arial" w:hAnsi="Arial"/>
                <w:sz w:val="16"/>
                <w:szCs w:val="16"/>
                <w:color w:val="auto"/>
                <w:vertAlign w:val="superscript"/>
              </w:rPr>
              <w:t>(6)</w:t>
            </w:r>
          </w:p>
        </w:tc>
        <w:tc>
          <w:tcPr>
            <w:tcW w:w="86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L+700</w:t>
            </w:r>
          </w:p>
        </w:tc>
        <w:tc>
          <w:tcPr>
            <w:tcW w:w="1020" w:type="dxa"/>
            <w:vAlign w:val="bottom"/>
            <w:gridSpan w:val="5"/>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22,500,000</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22,485,895</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19,800,000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Rubber</w:t>
            </w:r>
          </w:p>
        </w:tc>
        <w:tc>
          <w:tcPr>
            <w:tcW w:w="9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40" w:type="dxa"/>
            <w:vAlign w:val="bottom"/>
          </w:tcPr>
          <w:p>
            <w:pPr>
              <w:spacing w:after="0"/>
              <w:rPr>
                <w:sz w:val="20"/>
                <w:szCs w:val="20"/>
                <w:color w:val="auto"/>
              </w:rPr>
            </w:pPr>
            <w:r>
              <w:rPr>
                <w:rFonts w:ascii="Arial" w:cs="Arial" w:eastAsia="Arial" w:hAnsi="Arial"/>
                <w:sz w:val="13"/>
                <w:szCs w:val="13"/>
                <w:color w:val="auto"/>
              </w:rPr>
              <w:t>TransFirst Holdings, Inc.</w:t>
            </w: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06/15/2015</w:t>
            </w:r>
          </w:p>
        </w:tc>
        <w:tc>
          <w:tcPr>
            <w:tcW w:w="1620" w:type="dxa"/>
            <w:vAlign w:val="bottom"/>
          </w:tcPr>
          <w:p>
            <w:pPr>
              <w:jc w:val="center"/>
              <w:spacing w:after="0"/>
              <w:rPr>
                <w:sz w:val="20"/>
                <w:szCs w:val="20"/>
                <w:color w:val="auto"/>
              </w:rPr>
            </w:pPr>
            <w:r>
              <w:rPr>
                <w:rFonts w:ascii="Arial" w:cs="Arial" w:eastAsia="Arial" w:hAnsi="Arial"/>
                <w:sz w:val="13"/>
                <w:szCs w:val="13"/>
                <w:color w:val="auto"/>
                <w:w w:val="92"/>
              </w:rPr>
              <w:t>Financial Services</w:t>
            </w:r>
          </w:p>
        </w:tc>
        <w:tc>
          <w:tcPr>
            <w:tcW w:w="920" w:type="dxa"/>
            <w:vAlign w:val="bottom"/>
          </w:tcPr>
          <w:p>
            <w:pPr>
              <w:jc w:val="right"/>
              <w:ind w:right="61"/>
              <w:spacing w:after="0" w:line="149" w:lineRule="exact"/>
              <w:rPr>
                <w:sz w:val="20"/>
                <w:szCs w:val="20"/>
                <w:color w:val="auto"/>
              </w:rPr>
            </w:pPr>
            <w:r>
              <w:rPr>
                <w:rFonts w:ascii="Arial" w:cs="Arial" w:eastAsia="Arial" w:hAnsi="Arial"/>
                <w:sz w:val="11"/>
                <w:szCs w:val="11"/>
                <w:color w:val="auto"/>
              </w:rPr>
              <w:t>9.77%</w:t>
            </w:r>
            <w:r>
              <w:rPr>
                <w:rFonts w:ascii="Arial" w:cs="Arial" w:eastAsia="Arial" w:hAnsi="Arial"/>
                <w:sz w:val="17"/>
                <w:szCs w:val="17"/>
                <w:color w:val="auto"/>
                <w:vertAlign w:val="superscript"/>
              </w:rPr>
              <w:t>(6)</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L+600</w:t>
            </w:r>
          </w:p>
        </w:tc>
        <w:tc>
          <w:tcPr>
            <w:tcW w:w="10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16,500,000</w:t>
            </w: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15,866,044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13,942,500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Total Second Lien Secured Debt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w w:val="99"/>
              </w:rPr>
              <w:t>128,100,000</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123,405,221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95,894,500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7"/>
              </w:rPr>
              <w:t>Shares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4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Preferred Equity—4.4%</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20"/>
                <w:szCs w:val="20"/>
                <w:color w:val="auto"/>
              </w:rPr>
            </w:pPr>
            <w:r>
              <w:rPr>
                <w:rFonts w:ascii="Arial" w:cs="Arial" w:eastAsia="Arial" w:hAnsi="Arial"/>
                <w:sz w:val="13"/>
                <w:szCs w:val="13"/>
                <w:color w:val="auto"/>
              </w:rPr>
              <w:t>CFHC Holdings, Inc., Class A (Consolidated Foundries, Inc.)</w:t>
            </w:r>
          </w:p>
        </w:tc>
        <w:tc>
          <w:tcPr>
            <w:tcW w:w="180" w:type="dxa"/>
            <w:vAlign w:val="bottom"/>
          </w:tcPr>
          <w:p>
            <w:pPr>
              <w:spacing w:after="0"/>
              <w:rPr>
                <w:sz w:val="12"/>
                <w:szCs w:val="12"/>
                <w:color w:val="auto"/>
              </w:rPr>
            </w:pPr>
          </w:p>
        </w:tc>
        <w:tc>
          <w:tcPr>
            <w:tcW w:w="720" w:type="dxa"/>
            <w:vAlign w:val="bottom"/>
          </w:tcPr>
          <w:p>
            <w:pPr>
              <w:ind w:left="420"/>
              <w:spacing w:after="0"/>
              <w:rPr>
                <w:sz w:val="20"/>
                <w:szCs w:val="20"/>
                <w:color w:val="auto"/>
              </w:rPr>
            </w:pPr>
            <w:r>
              <w:rPr>
                <w:rFonts w:ascii="Arial" w:cs="Arial" w:eastAsia="Arial" w:hAnsi="Arial"/>
                <w:sz w:val="13"/>
                <w:szCs w:val="13"/>
                <w:color w:val="auto"/>
              </w:rPr>
              <w:t>—</w:t>
            </w:r>
          </w:p>
        </w:tc>
        <w:tc>
          <w:tcPr>
            <w:tcW w:w="1620" w:type="dxa"/>
            <w:vAlign w:val="bottom"/>
          </w:tcPr>
          <w:p>
            <w:pPr>
              <w:jc w:val="center"/>
              <w:spacing w:after="0"/>
              <w:rPr>
                <w:sz w:val="20"/>
                <w:szCs w:val="20"/>
                <w:color w:val="auto"/>
              </w:rPr>
            </w:pPr>
            <w:r>
              <w:rPr>
                <w:rFonts w:ascii="Arial" w:cs="Arial" w:eastAsia="Arial" w:hAnsi="Arial"/>
                <w:sz w:val="13"/>
                <w:szCs w:val="13"/>
                <w:color w:val="auto"/>
                <w:w w:val="90"/>
              </w:rPr>
              <w:t>Aerospace and Defense</w:t>
            </w:r>
          </w:p>
        </w:tc>
        <w:tc>
          <w:tcPr>
            <w:tcW w:w="920" w:type="dxa"/>
            <w:vAlign w:val="bottom"/>
          </w:tcPr>
          <w:p>
            <w:pPr>
              <w:jc w:val="right"/>
              <w:ind w:right="61"/>
              <w:spacing w:after="0" w:line="149" w:lineRule="exact"/>
              <w:rPr>
                <w:sz w:val="20"/>
                <w:szCs w:val="20"/>
                <w:color w:val="auto"/>
              </w:rPr>
            </w:pPr>
            <w:r>
              <w:rPr>
                <w:rFonts w:ascii="Arial" w:cs="Arial" w:eastAsia="Arial" w:hAnsi="Arial"/>
                <w:sz w:val="11"/>
                <w:szCs w:val="11"/>
                <w:color w:val="auto"/>
              </w:rPr>
              <w:t>12.00%</w:t>
            </w:r>
            <w:r>
              <w:rPr>
                <w:rFonts w:ascii="Arial" w:cs="Arial" w:eastAsia="Arial" w:hAnsi="Arial"/>
                <w:sz w:val="17"/>
                <w:szCs w:val="17"/>
                <w:color w:val="auto"/>
                <w:vertAlign w:val="superscript"/>
              </w:rPr>
              <w:t>(6)</w:t>
            </w:r>
          </w:p>
        </w:tc>
        <w:tc>
          <w:tcPr>
            <w:tcW w:w="860" w:type="dxa"/>
            <w:vAlign w:val="bottom"/>
          </w:tcPr>
          <w:p>
            <w:pPr>
              <w:ind w:left="560"/>
              <w:spacing w:after="0"/>
              <w:rPr>
                <w:sz w:val="20"/>
                <w:szCs w:val="20"/>
                <w:color w:val="auto"/>
              </w:rPr>
            </w:pPr>
            <w:r>
              <w:rPr>
                <w:rFonts w:ascii="Arial" w:cs="Arial" w:eastAsia="Arial" w:hAnsi="Arial"/>
                <w:sz w:val="13"/>
                <w:szCs w:val="13"/>
                <w:color w:val="auto"/>
              </w:rPr>
              <w:t>—</w:t>
            </w:r>
          </w:p>
        </w:tc>
        <w:tc>
          <w:tcPr>
            <w:tcW w:w="1020" w:type="dxa"/>
            <w:vAlign w:val="bottom"/>
            <w:gridSpan w:val="5"/>
          </w:tcPr>
          <w:p>
            <w:pPr>
              <w:jc w:val="right"/>
              <w:ind w:right="180"/>
              <w:spacing w:after="0"/>
              <w:rPr>
                <w:sz w:val="20"/>
                <w:szCs w:val="20"/>
                <w:color w:val="auto"/>
              </w:rPr>
            </w:pPr>
            <w:r>
              <w:rPr>
                <w:rFonts w:ascii="Arial" w:cs="Arial" w:eastAsia="Arial" w:hAnsi="Arial"/>
                <w:sz w:val="13"/>
                <w:szCs w:val="13"/>
                <w:color w:val="auto"/>
              </w:rPr>
              <w:t>842</w:t>
            </w:r>
          </w:p>
        </w:tc>
        <w:tc>
          <w:tcPr>
            <w:tcW w:w="740" w:type="dxa"/>
            <w:vAlign w:val="bottom"/>
          </w:tcPr>
          <w:p>
            <w:pPr>
              <w:jc w:val="right"/>
              <w:spacing w:after="0"/>
              <w:rPr>
                <w:sz w:val="20"/>
                <w:szCs w:val="20"/>
                <w:color w:val="auto"/>
              </w:rPr>
            </w:pPr>
            <w:r>
              <w:rPr>
                <w:rFonts w:ascii="Arial" w:cs="Arial" w:eastAsia="Arial" w:hAnsi="Arial"/>
                <w:sz w:val="13"/>
                <w:szCs w:val="13"/>
                <w:color w:val="auto"/>
              </w:rPr>
              <w:t>841,927</w:t>
            </w:r>
          </w:p>
        </w:tc>
        <w:tc>
          <w:tcPr>
            <w:tcW w:w="10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841,927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i2 Holdings Ltd.</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Aerospace and Defense</w:t>
            </w:r>
          </w:p>
        </w:tc>
        <w:tc>
          <w:tcPr>
            <w:tcW w:w="920" w:type="dxa"/>
            <w:vAlign w:val="bottom"/>
            <w:shd w:val="clear" w:color="auto" w:fill="CCEEFF"/>
          </w:tcPr>
          <w:p>
            <w:pPr>
              <w:jc w:val="right"/>
              <w:ind w:right="61"/>
              <w:spacing w:after="0" w:line="149" w:lineRule="exact"/>
              <w:rPr>
                <w:sz w:val="20"/>
                <w:szCs w:val="20"/>
                <w:color w:val="auto"/>
              </w:rPr>
            </w:pPr>
            <w:r>
              <w:rPr>
                <w:rFonts w:ascii="Arial" w:cs="Arial" w:eastAsia="Arial" w:hAnsi="Arial"/>
                <w:sz w:val="11"/>
                <w:szCs w:val="11"/>
                <w:color w:val="auto"/>
              </w:rPr>
              <w:t>12.00%</w:t>
            </w:r>
            <w:r>
              <w:rPr>
                <w:rFonts w:ascii="Arial" w:cs="Arial" w:eastAsia="Arial" w:hAnsi="Arial"/>
                <w:sz w:val="17"/>
                <w:szCs w:val="17"/>
                <w:color w:val="auto"/>
                <w:vertAlign w:val="superscript"/>
              </w:rPr>
              <w:t>(6)</w:t>
            </w:r>
          </w:p>
        </w:tc>
        <w:tc>
          <w:tcPr>
            <w:tcW w:w="860" w:type="dxa"/>
            <w:vAlign w:val="bottom"/>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20" w:type="dxa"/>
            <w:vAlign w:val="bottom"/>
            <w:gridSpan w:val="5"/>
            <w:shd w:val="clear" w:color="auto" w:fill="CCEEFF"/>
          </w:tcPr>
          <w:p>
            <w:pPr>
              <w:jc w:val="right"/>
              <w:ind w:right="180"/>
              <w:spacing w:after="0"/>
              <w:rPr>
                <w:sz w:val="20"/>
                <w:szCs w:val="20"/>
                <w:color w:val="auto"/>
              </w:rPr>
            </w:pPr>
            <w:r>
              <w:rPr>
                <w:rFonts w:ascii="Arial" w:cs="Arial" w:eastAsia="Arial" w:hAnsi="Arial"/>
                <w:sz w:val="13"/>
                <w:szCs w:val="13"/>
                <w:color w:val="auto"/>
              </w:rPr>
              <w:t>3,960,000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3,960,000</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40" w:type="dxa"/>
            <w:vAlign w:val="bottom"/>
          </w:tcPr>
          <w:p>
            <w:pPr>
              <w:spacing w:after="0" w:line="138" w:lineRule="exact"/>
              <w:rPr>
                <w:sz w:val="20"/>
                <w:szCs w:val="20"/>
                <w:color w:val="auto"/>
              </w:rPr>
            </w:pPr>
            <w:r>
              <w:rPr>
                <w:rFonts w:ascii="Arial" w:cs="Arial" w:eastAsia="Arial" w:hAnsi="Arial"/>
                <w:sz w:val="13"/>
                <w:szCs w:val="13"/>
                <w:color w:val="auto"/>
              </w:rPr>
              <w:t>TZ Holdings, L.P., Series A</w:t>
            </w:r>
          </w:p>
        </w:tc>
        <w:tc>
          <w:tcPr>
            <w:tcW w:w="180" w:type="dxa"/>
            <w:vAlign w:val="bottom"/>
          </w:tcPr>
          <w:p>
            <w:pPr>
              <w:spacing w:after="0"/>
              <w:rPr>
                <w:sz w:val="11"/>
                <w:szCs w:val="11"/>
                <w:color w:val="auto"/>
              </w:rPr>
            </w:pPr>
          </w:p>
        </w:tc>
        <w:tc>
          <w:tcPr>
            <w:tcW w:w="720" w:type="dxa"/>
            <w:vAlign w:val="bottom"/>
          </w:tcPr>
          <w:p>
            <w:pPr>
              <w:ind w:left="420"/>
              <w:spacing w:after="0" w:line="138" w:lineRule="exact"/>
              <w:rPr>
                <w:sz w:val="20"/>
                <w:szCs w:val="20"/>
                <w:color w:val="auto"/>
              </w:rPr>
            </w:pPr>
            <w:r>
              <w:rPr>
                <w:rFonts w:ascii="Arial" w:cs="Arial" w:eastAsia="Arial" w:hAnsi="Arial"/>
                <w:sz w:val="13"/>
                <w:szCs w:val="13"/>
                <w:color w:val="auto"/>
              </w:rPr>
              <w:t>—</w:t>
            </w:r>
          </w:p>
        </w:tc>
        <w:tc>
          <w:tcPr>
            <w:tcW w:w="1620" w:type="dxa"/>
            <w:vAlign w:val="bottom"/>
          </w:tcPr>
          <w:p>
            <w:pPr>
              <w:jc w:val="center"/>
              <w:spacing w:after="0" w:line="138" w:lineRule="exact"/>
              <w:rPr>
                <w:sz w:val="20"/>
                <w:szCs w:val="20"/>
                <w:color w:val="auto"/>
              </w:rPr>
            </w:pPr>
            <w:r>
              <w:rPr>
                <w:rFonts w:ascii="Arial" w:cs="Arial" w:eastAsia="Arial" w:hAnsi="Arial"/>
                <w:sz w:val="13"/>
                <w:szCs w:val="13"/>
                <w:color w:val="auto"/>
                <w:w w:val="94"/>
              </w:rPr>
              <w:t>Insurance</w:t>
            </w:r>
          </w:p>
        </w:tc>
        <w:tc>
          <w:tcPr>
            <w:tcW w:w="920" w:type="dxa"/>
            <w:vAlign w:val="bottom"/>
          </w:tcPr>
          <w:p>
            <w:pPr>
              <w:jc w:val="right"/>
              <w:ind w:right="161"/>
              <w:spacing w:after="0" w:line="138"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8"/>
                <w:szCs w:val="8"/>
                <w:color w:val="auto"/>
              </w:rPr>
              <w:t xml:space="preserve"> (7)</w:t>
            </w:r>
          </w:p>
        </w:tc>
        <w:tc>
          <w:tcPr>
            <w:tcW w:w="860" w:type="dxa"/>
            <w:vAlign w:val="bottom"/>
          </w:tcPr>
          <w:p>
            <w:pPr>
              <w:ind w:left="560"/>
              <w:spacing w:after="0" w:line="138" w:lineRule="exact"/>
              <w:rPr>
                <w:sz w:val="20"/>
                <w:szCs w:val="20"/>
                <w:color w:val="auto"/>
              </w:rPr>
            </w:pPr>
            <w:r>
              <w:rPr>
                <w:rFonts w:ascii="Arial" w:cs="Arial" w:eastAsia="Arial" w:hAnsi="Arial"/>
                <w:sz w:val="13"/>
                <w:szCs w:val="13"/>
                <w:color w:val="auto"/>
              </w:rPr>
              <w:t>—</w:t>
            </w:r>
          </w:p>
        </w:tc>
        <w:tc>
          <w:tcPr>
            <w:tcW w:w="1020" w:type="dxa"/>
            <w:vAlign w:val="bottom"/>
            <w:gridSpan w:val="5"/>
          </w:tcPr>
          <w:p>
            <w:pPr>
              <w:jc w:val="right"/>
              <w:ind w:right="180"/>
              <w:spacing w:after="0" w:line="138" w:lineRule="exact"/>
              <w:rPr>
                <w:sz w:val="20"/>
                <w:szCs w:val="20"/>
                <w:color w:val="auto"/>
              </w:rPr>
            </w:pPr>
            <w:r>
              <w:rPr>
                <w:rFonts w:ascii="Arial" w:cs="Arial" w:eastAsia="Arial" w:hAnsi="Arial"/>
                <w:sz w:val="13"/>
                <w:szCs w:val="13"/>
                <w:color w:val="auto"/>
              </w:rPr>
              <w:t>686</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685,820</w:t>
            </w:r>
          </w:p>
        </w:tc>
        <w:tc>
          <w:tcPr>
            <w:tcW w:w="100" w:type="dxa"/>
            <w:vAlign w:val="bottom"/>
          </w:tcPr>
          <w:p>
            <w:pPr>
              <w:spacing w:after="0"/>
              <w:rPr>
                <w:sz w:val="11"/>
                <w:szCs w:val="11"/>
                <w:color w:val="auto"/>
              </w:rPr>
            </w:pPr>
          </w:p>
        </w:tc>
        <w:tc>
          <w:tcPr>
            <w:tcW w:w="8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685,820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240" w:type="dxa"/>
            <w:vAlign w:val="bottom"/>
          </w:tcPr>
          <w:p>
            <w:pPr>
              <w:spacing w:after="0"/>
              <w:rPr>
                <w:sz w:val="20"/>
                <w:szCs w:val="20"/>
                <w:color w:val="auto"/>
              </w:rPr>
            </w:pPr>
            <w:r>
              <w:rPr>
                <w:rFonts w:ascii="Arial" w:cs="Arial" w:eastAsia="Arial" w:hAnsi="Arial"/>
                <w:sz w:val="13"/>
                <w:szCs w:val="13"/>
                <w:color w:val="auto"/>
              </w:rPr>
              <w:t>(Trizetto Group, Inc.)</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2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TZ Holdings, L.P., Series B</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ind w:left="420"/>
              <w:spacing w:after="0" w:line="138" w:lineRule="exact"/>
              <w:rPr>
                <w:sz w:val="20"/>
                <w:szCs w:val="20"/>
                <w:color w:val="auto"/>
              </w:rPr>
            </w:pPr>
            <w:r>
              <w:rPr>
                <w:rFonts w:ascii="Arial" w:cs="Arial" w:eastAsia="Arial" w:hAnsi="Arial"/>
                <w:sz w:val="13"/>
                <w:szCs w:val="13"/>
                <w:color w:val="auto"/>
              </w:rPr>
              <w:t>—</w:t>
            </w:r>
          </w:p>
        </w:tc>
        <w:tc>
          <w:tcPr>
            <w:tcW w:w="1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Insurance</w:t>
            </w:r>
          </w:p>
        </w:tc>
        <w:tc>
          <w:tcPr>
            <w:tcW w:w="920" w:type="dxa"/>
            <w:vAlign w:val="bottom"/>
            <w:shd w:val="clear" w:color="auto" w:fill="CCEEFF"/>
          </w:tcPr>
          <w:p>
            <w:pPr>
              <w:jc w:val="right"/>
              <w:ind w:right="61"/>
              <w:spacing w:after="0" w:line="138" w:lineRule="exact"/>
              <w:rPr>
                <w:sz w:val="20"/>
                <w:szCs w:val="20"/>
                <w:color w:val="auto"/>
              </w:rPr>
            </w:pPr>
            <w:r>
              <w:rPr>
                <w:rFonts w:ascii="Arial" w:cs="Arial" w:eastAsia="Arial" w:hAnsi="Arial"/>
                <w:sz w:val="10"/>
                <w:szCs w:val="10"/>
                <w:color w:val="auto"/>
              </w:rPr>
              <w:t>6.50%</w:t>
            </w:r>
            <w:r>
              <w:rPr>
                <w:rFonts w:ascii="Arial" w:cs="Arial" w:eastAsia="Arial" w:hAnsi="Arial"/>
                <w:sz w:val="16"/>
                <w:szCs w:val="16"/>
                <w:color w:val="auto"/>
                <w:vertAlign w:val="superscript"/>
              </w:rPr>
              <w:t>(6)</w:t>
            </w:r>
          </w:p>
        </w:tc>
        <w:tc>
          <w:tcPr>
            <w:tcW w:w="860" w:type="dxa"/>
            <w:vAlign w:val="bottom"/>
            <w:shd w:val="clear" w:color="auto" w:fill="CCEEFF"/>
          </w:tcPr>
          <w:p>
            <w:pPr>
              <w:ind w:left="560"/>
              <w:spacing w:after="0" w:line="138" w:lineRule="exact"/>
              <w:rPr>
                <w:sz w:val="20"/>
                <w:szCs w:val="20"/>
                <w:color w:val="auto"/>
              </w:rPr>
            </w:pPr>
            <w:r>
              <w:rPr>
                <w:rFonts w:ascii="Arial" w:cs="Arial" w:eastAsia="Arial" w:hAnsi="Arial"/>
                <w:sz w:val="13"/>
                <w:szCs w:val="13"/>
                <w:color w:val="auto"/>
              </w:rPr>
              <w:t>—</w:t>
            </w:r>
          </w:p>
        </w:tc>
        <w:tc>
          <w:tcPr>
            <w:tcW w:w="1020" w:type="dxa"/>
            <w:vAlign w:val="bottom"/>
            <w:gridSpan w:val="5"/>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1,312</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1,312,006</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1,312,006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(Trizetto Group, Inc.)</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240" w:type="dxa"/>
            <w:vAlign w:val="bottom"/>
          </w:tcPr>
          <w:p>
            <w:pPr>
              <w:spacing w:after="0" w:line="138" w:lineRule="exact"/>
              <w:rPr>
                <w:sz w:val="20"/>
                <w:szCs w:val="20"/>
                <w:color w:val="auto"/>
              </w:rPr>
            </w:pPr>
            <w:r>
              <w:rPr>
                <w:rFonts w:ascii="Arial" w:cs="Arial" w:eastAsia="Arial" w:hAnsi="Arial"/>
                <w:sz w:val="13"/>
                <w:szCs w:val="13"/>
                <w:color w:val="auto"/>
              </w:rPr>
              <w:t>UP Holdings Inc., Class A-1</w:t>
            </w:r>
          </w:p>
        </w:tc>
        <w:tc>
          <w:tcPr>
            <w:tcW w:w="180" w:type="dxa"/>
            <w:vAlign w:val="bottom"/>
          </w:tcPr>
          <w:p>
            <w:pPr>
              <w:spacing w:after="0"/>
              <w:rPr>
                <w:sz w:val="11"/>
                <w:szCs w:val="11"/>
                <w:color w:val="auto"/>
              </w:rPr>
            </w:pPr>
          </w:p>
        </w:tc>
        <w:tc>
          <w:tcPr>
            <w:tcW w:w="720" w:type="dxa"/>
            <w:vAlign w:val="bottom"/>
          </w:tcPr>
          <w:p>
            <w:pPr>
              <w:ind w:left="420"/>
              <w:spacing w:after="0" w:line="138" w:lineRule="exact"/>
              <w:rPr>
                <w:sz w:val="20"/>
                <w:szCs w:val="20"/>
                <w:color w:val="auto"/>
              </w:rPr>
            </w:pPr>
            <w:r>
              <w:rPr>
                <w:rFonts w:ascii="Arial" w:cs="Arial" w:eastAsia="Arial" w:hAnsi="Arial"/>
                <w:sz w:val="13"/>
                <w:szCs w:val="13"/>
                <w:color w:val="auto"/>
              </w:rPr>
              <w:t>—</w:t>
            </w:r>
          </w:p>
        </w:tc>
        <w:tc>
          <w:tcPr>
            <w:tcW w:w="1620" w:type="dxa"/>
            <w:vAlign w:val="bottom"/>
          </w:tcPr>
          <w:p>
            <w:pPr>
              <w:jc w:val="center"/>
              <w:spacing w:after="0" w:line="138" w:lineRule="exact"/>
              <w:rPr>
                <w:sz w:val="20"/>
                <w:szCs w:val="20"/>
                <w:color w:val="auto"/>
              </w:rPr>
            </w:pPr>
            <w:r>
              <w:rPr>
                <w:rFonts w:ascii="Arial" w:cs="Arial" w:eastAsia="Arial" w:hAnsi="Arial"/>
                <w:sz w:val="13"/>
                <w:szCs w:val="13"/>
                <w:color w:val="auto"/>
                <w:w w:val="96"/>
              </w:rPr>
              <w:t>Oil and Gas</w:t>
            </w:r>
          </w:p>
        </w:tc>
        <w:tc>
          <w:tcPr>
            <w:tcW w:w="920" w:type="dxa"/>
            <w:vAlign w:val="bottom"/>
          </w:tcPr>
          <w:p>
            <w:pPr>
              <w:jc w:val="right"/>
              <w:ind w:right="61"/>
              <w:spacing w:after="0" w:line="138" w:lineRule="exact"/>
              <w:rPr>
                <w:sz w:val="20"/>
                <w:szCs w:val="20"/>
                <w:color w:val="auto"/>
              </w:rPr>
            </w:pPr>
            <w:r>
              <w:rPr>
                <w:rFonts w:ascii="Arial" w:cs="Arial" w:eastAsia="Arial" w:hAnsi="Arial"/>
                <w:sz w:val="10"/>
                <w:szCs w:val="10"/>
                <w:color w:val="auto"/>
              </w:rPr>
              <w:t>8.00%</w:t>
            </w:r>
            <w:r>
              <w:rPr>
                <w:rFonts w:ascii="Arial" w:cs="Arial" w:eastAsia="Arial" w:hAnsi="Arial"/>
                <w:sz w:val="15"/>
                <w:szCs w:val="15"/>
                <w:color w:val="auto"/>
                <w:vertAlign w:val="superscript"/>
              </w:rPr>
              <w:t>(6)</w:t>
            </w:r>
          </w:p>
        </w:tc>
        <w:tc>
          <w:tcPr>
            <w:tcW w:w="860" w:type="dxa"/>
            <w:vAlign w:val="bottom"/>
          </w:tcPr>
          <w:p>
            <w:pPr>
              <w:ind w:left="560"/>
              <w:spacing w:after="0" w:line="138" w:lineRule="exact"/>
              <w:rPr>
                <w:sz w:val="20"/>
                <w:szCs w:val="20"/>
                <w:color w:val="auto"/>
              </w:rPr>
            </w:pPr>
            <w:r>
              <w:rPr>
                <w:rFonts w:ascii="Arial" w:cs="Arial" w:eastAsia="Arial" w:hAnsi="Arial"/>
                <w:sz w:val="13"/>
                <w:szCs w:val="13"/>
                <w:color w:val="auto"/>
              </w:rPr>
              <w:t>—</w:t>
            </w:r>
          </w:p>
        </w:tc>
        <w:tc>
          <w:tcPr>
            <w:tcW w:w="1020" w:type="dxa"/>
            <w:vAlign w:val="bottom"/>
            <w:gridSpan w:val="5"/>
          </w:tcPr>
          <w:p>
            <w:pPr>
              <w:jc w:val="right"/>
              <w:ind w:right="180"/>
              <w:spacing w:after="0" w:line="138" w:lineRule="exact"/>
              <w:rPr>
                <w:sz w:val="20"/>
                <w:szCs w:val="20"/>
                <w:color w:val="auto"/>
              </w:rPr>
            </w:pPr>
            <w:r>
              <w:rPr>
                <w:rFonts w:ascii="Arial" w:cs="Arial" w:eastAsia="Arial" w:hAnsi="Arial"/>
                <w:sz w:val="13"/>
                <w:szCs w:val="13"/>
                <w:color w:val="auto"/>
              </w:rPr>
              <w:t>91,608</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2,499,066</w:t>
            </w:r>
          </w:p>
        </w:tc>
        <w:tc>
          <w:tcPr>
            <w:tcW w:w="100" w:type="dxa"/>
            <w:vAlign w:val="bottom"/>
          </w:tcPr>
          <w:p>
            <w:pPr>
              <w:spacing w:after="0"/>
              <w:rPr>
                <w:sz w:val="11"/>
                <w:szCs w:val="11"/>
                <w:color w:val="auto"/>
              </w:rPr>
            </w:pPr>
          </w:p>
        </w:tc>
        <w:tc>
          <w:tcPr>
            <w:tcW w:w="8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2,499,066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240" w:type="dxa"/>
            <w:vAlign w:val="bottom"/>
          </w:tcPr>
          <w:p>
            <w:pPr>
              <w:spacing w:after="0"/>
              <w:rPr>
                <w:sz w:val="20"/>
                <w:szCs w:val="20"/>
                <w:color w:val="auto"/>
              </w:rPr>
            </w:pPr>
            <w:r>
              <w:rPr>
                <w:rFonts w:ascii="Arial" w:cs="Arial" w:eastAsia="Arial" w:hAnsi="Arial"/>
                <w:sz w:val="13"/>
                <w:szCs w:val="13"/>
                <w:color w:val="auto"/>
              </w:rPr>
              <w:t>(UP Acquisitions Sub Inc.)</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Preferred Equity</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4,054,448</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9,298,819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9,298,819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0"/>
              </w:rPr>
              <w:t>Basis Point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0"/>
              </w:rPr>
              <w:t>Spread</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960" w:type="dxa"/>
            <w:vAlign w:val="bottom"/>
          </w:tcPr>
          <w:p>
            <w:pPr>
              <w:jc w:val="right"/>
              <w:ind w:right="314"/>
              <w:spacing w:after="0" w:line="148" w:lineRule="exact"/>
              <w:rPr>
                <w:sz w:val="20"/>
                <w:szCs w:val="20"/>
                <w:color w:val="auto"/>
              </w:rPr>
            </w:pPr>
            <w:r>
              <w:rPr>
                <w:rFonts w:ascii="Arial" w:cs="Arial" w:eastAsia="Arial" w:hAnsi="Arial"/>
                <w:sz w:val="13"/>
                <w:szCs w:val="13"/>
                <w:b w:val="1"/>
                <w:bCs w:val="1"/>
                <w:color w:val="auto"/>
              </w:rPr>
              <w:t>Current</w:t>
            </w:r>
          </w:p>
        </w:tc>
        <w:tc>
          <w:tcPr>
            <w:tcW w:w="9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0"/>
              </w:rPr>
              <w:t>Above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w w:val="98"/>
              </w:rPr>
              <w:t>Value</w:t>
            </w:r>
            <w:r>
              <w:rPr>
                <w:rFonts w:ascii="Arial" w:cs="Arial" w:eastAsia="Arial" w:hAnsi="Arial"/>
                <w:sz w:val="22"/>
                <w:szCs w:val="22"/>
                <w:b w:val="1"/>
                <w:bCs w:val="1"/>
                <w:color w:val="auto"/>
                <w:w w:val="98"/>
                <w:vertAlign w:val="superscript"/>
              </w:rPr>
              <w:t>(3)</w:t>
            </w:r>
          </w:p>
        </w:tc>
        <w:tc>
          <w:tcPr>
            <w:tcW w:w="0" w:type="dxa"/>
            <w:vAlign w:val="bottom"/>
          </w:tcPr>
          <w:p>
            <w:pPr>
              <w:spacing w:after="0"/>
              <w:rPr>
                <w:sz w:val="1"/>
                <w:szCs w:val="1"/>
                <w:color w:val="auto"/>
              </w:rPr>
            </w:pPr>
          </w:p>
        </w:tc>
      </w:tr>
      <w:tr>
        <w:trPr>
          <w:trHeight w:val="189"/>
        </w:trPr>
        <w:tc>
          <w:tcPr>
            <w:tcW w:w="394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240" w:type="dxa"/>
            <w:vAlign w:val="bottom"/>
          </w:tcPr>
          <w:p>
            <w:pPr>
              <w:spacing w:after="0"/>
              <w:rPr>
                <w:sz w:val="16"/>
                <w:szCs w:val="16"/>
                <w:color w:val="auto"/>
              </w:rPr>
            </w:pPr>
          </w:p>
        </w:tc>
        <w:tc>
          <w:tcPr>
            <w:tcW w:w="740" w:type="dxa"/>
            <w:vAlign w:val="bottom"/>
          </w:tcPr>
          <w:p>
            <w:pPr>
              <w:jc w:val="center"/>
              <w:ind w:right="53"/>
              <w:spacing w:after="0"/>
              <w:rPr>
                <w:sz w:val="20"/>
                <w:szCs w:val="20"/>
                <w:color w:val="auto"/>
              </w:rPr>
            </w:pPr>
            <w:r>
              <w:rPr>
                <w:rFonts w:ascii="Arial" w:cs="Arial" w:eastAsia="Arial" w:hAnsi="Arial"/>
                <w:sz w:val="13"/>
                <w:szCs w:val="13"/>
                <w:b w:val="1"/>
                <w:bCs w:val="1"/>
                <w:color w:val="auto"/>
              </w:rPr>
              <w:t>Maturity</w:t>
            </w: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960" w:type="dxa"/>
            <w:vAlign w:val="bottom"/>
          </w:tcPr>
          <w:p>
            <w:pPr>
              <w:jc w:val="right"/>
              <w:ind w:right="314"/>
              <w:spacing w:after="0"/>
              <w:rPr>
                <w:sz w:val="20"/>
                <w:szCs w:val="20"/>
                <w:color w:val="auto"/>
              </w:rPr>
            </w:pPr>
            <w:r>
              <w:rPr>
                <w:rFonts w:ascii="Arial" w:cs="Arial" w:eastAsia="Arial" w:hAnsi="Arial"/>
                <w:sz w:val="13"/>
                <w:szCs w:val="13"/>
                <w:b w:val="1"/>
                <w:bCs w:val="1"/>
                <w:color w:val="auto"/>
              </w:rPr>
              <w:t>Coupon</w:t>
            </w:r>
          </w:p>
        </w:tc>
        <w:tc>
          <w:tcPr>
            <w:tcW w:w="9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7"/>
              </w:rPr>
              <w:t xml:space="preserve">Index </w:t>
            </w:r>
            <w:r>
              <w:rPr>
                <w:rFonts w:ascii="Arial" w:cs="Arial" w:eastAsia="Arial" w:hAnsi="Arial"/>
                <w:sz w:val="21"/>
                <w:szCs w:val="21"/>
                <w:b w:val="1"/>
                <w:bCs w:val="1"/>
                <w:color w:val="auto"/>
                <w:w w:val="87"/>
                <w:vertAlign w:val="superscript"/>
              </w:rPr>
              <w:t>(4)</w:t>
            </w:r>
          </w:p>
        </w:tc>
        <w:tc>
          <w:tcPr>
            <w:tcW w:w="120" w:type="dxa"/>
            <w:vAlign w:val="bottom"/>
          </w:tcPr>
          <w:p>
            <w:pPr>
              <w:spacing w:after="0"/>
              <w:rPr>
                <w:sz w:val="16"/>
                <w:szCs w:val="16"/>
                <w:color w:val="auto"/>
              </w:rPr>
            </w:pPr>
          </w:p>
        </w:tc>
        <w:tc>
          <w:tcPr>
            <w:tcW w:w="860" w:type="dxa"/>
            <w:vAlign w:val="bottom"/>
            <w:gridSpan w:val="4"/>
          </w:tcPr>
          <w:p>
            <w:pPr>
              <w:ind w:left="1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6"/>
                <w:szCs w:val="16"/>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40" w:type="dxa"/>
            <w:vAlign w:val="bottom"/>
            <w:tcBorders>
              <w:top w:val="single" w:sz="8" w:color="auto"/>
            </w:tcBorders>
          </w:tcPr>
          <w:p>
            <w:pPr>
              <w:spacing w:after="0" w:line="142" w:lineRule="exact"/>
              <w:rPr>
                <w:sz w:val="20"/>
                <w:szCs w:val="20"/>
                <w:color w:val="auto"/>
              </w:rPr>
            </w:pPr>
            <w:r>
              <w:rPr>
                <w:rFonts w:ascii="Arial" w:cs="Arial" w:eastAsia="Arial" w:hAnsi="Arial"/>
                <w:sz w:val="10"/>
                <w:szCs w:val="10"/>
                <w:b w:val="1"/>
                <w:bCs w:val="1"/>
                <w:color w:val="auto"/>
              </w:rPr>
              <w:t xml:space="preserve">Common Equity/Partnership Interest </w:t>
            </w:r>
            <w:r>
              <w:rPr>
                <w:rFonts w:ascii="Arial" w:cs="Arial" w:eastAsia="Arial" w:hAnsi="Arial"/>
                <w:sz w:val="16"/>
                <w:szCs w:val="16"/>
                <w:b w:val="1"/>
                <w:bCs w:val="1"/>
                <w:color w:val="auto"/>
                <w:vertAlign w:val="superscript"/>
              </w:rPr>
              <w:t>(7)</w:t>
            </w:r>
            <w:r>
              <w:rPr>
                <w:rFonts w:ascii="Arial" w:cs="Arial" w:eastAsia="Arial" w:hAnsi="Arial"/>
                <w:sz w:val="10"/>
                <w:szCs w:val="10"/>
                <w:b w:val="1"/>
                <w:bCs w:val="1"/>
                <w:color w:val="auto"/>
              </w:rPr>
              <w:t>—4.0%</w:t>
            </w:r>
          </w:p>
        </w:tc>
        <w:tc>
          <w:tcPr>
            <w:tcW w:w="2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AHC Mezzanine (Advanstar Inc.)</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Other Media</w:t>
            </w:r>
          </w:p>
        </w:tc>
        <w:tc>
          <w:tcPr>
            <w:tcW w:w="960" w:type="dxa"/>
            <w:vAlign w:val="bottom"/>
            <w:shd w:val="clear" w:color="auto" w:fill="CCEEFF"/>
          </w:tcPr>
          <w:p>
            <w:pPr>
              <w:jc w:val="right"/>
              <w:ind w:right="374"/>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980" w:type="dxa"/>
            <w:vAlign w:val="bottom"/>
            <w:gridSpan w:val="5"/>
            <w:shd w:val="clear" w:color="auto" w:fill="CCEEFF"/>
          </w:tcPr>
          <w:p>
            <w:pPr>
              <w:jc w:val="right"/>
              <w:ind w:right="120"/>
              <w:spacing w:after="0"/>
              <w:rPr>
                <w:sz w:val="20"/>
                <w:szCs w:val="20"/>
                <w:color w:val="auto"/>
              </w:rPr>
            </w:pPr>
            <w:r>
              <w:rPr>
                <w:rFonts w:ascii="Arial" w:cs="Arial" w:eastAsia="Arial" w:hAnsi="Arial"/>
                <w:sz w:val="13"/>
                <w:szCs w:val="13"/>
                <w:color w:val="auto"/>
              </w:rPr>
              <w:t>3,000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  3,000,000</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998,883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20"/>
                <w:szCs w:val="20"/>
                <w:color w:val="auto"/>
              </w:rPr>
            </w:pPr>
            <w:r>
              <w:rPr>
                <w:rFonts w:ascii="Arial" w:cs="Arial" w:eastAsia="Arial" w:hAnsi="Arial"/>
                <w:sz w:val="13"/>
                <w:szCs w:val="13"/>
                <w:color w:val="auto"/>
              </w:rPr>
              <w:t>CFHC Holdings, Inc., (Consolidated Foundries, Inc.)</w:t>
            </w:r>
          </w:p>
        </w:tc>
        <w:tc>
          <w:tcPr>
            <w:tcW w:w="240" w:type="dxa"/>
            <w:vAlign w:val="bottom"/>
          </w:tcPr>
          <w:p>
            <w:pPr>
              <w:spacing w:after="0"/>
              <w:rPr>
                <w:sz w:val="12"/>
                <w:szCs w:val="12"/>
                <w:color w:val="auto"/>
              </w:rPr>
            </w:pPr>
          </w:p>
        </w:tc>
        <w:tc>
          <w:tcPr>
            <w:tcW w:w="740" w:type="dxa"/>
            <w:vAlign w:val="bottom"/>
          </w:tcPr>
          <w:p>
            <w:pPr>
              <w:ind w:left="420"/>
              <w:spacing w:after="0"/>
              <w:rPr>
                <w:sz w:val="20"/>
                <w:szCs w:val="20"/>
                <w:color w:val="auto"/>
              </w:rPr>
            </w:pPr>
            <w:r>
              <w:rPr>
                <w:rFonts w:ascii="Arial" w:cs="Arial" w:eastAsia="Arial" w:hAnsi="Arial"/>
                <w:sz w:val="13"/>
                <w:szCs w:val="13"/>
                <w:color w:val="auto"/>
              </w:rPr>
              <w:t>—</w:t>
            </w:r>
          </w:p>
        </w:tc>
        <w:tc>
          <w:tcPr>
            <w:tcW w:w="1660" w:type="dxa"/>
            <w:vAlign w:val="bottom"/>
          </w:tcPr>
          <w:p>
            <w:pPr>
              <w:jc w:val="center"/>
              <w:spacing w:after="0"/>
              <w:rPr>
                <w:sz w:val="20"/>
                <w:szCs w:val="20"/>
                <w:color w:val="auto"/>
              </w:rPr>
            </w:pPr>
            <w:r>
              <w:rPr>
                <w:rFonts w:ascii="Arial" w:cs="Arial" w:eastAsia="Arial" w:hAnsi="Arial"/>
                <w:sz w:val="13"/>
                <w:szCs w:val="13"/>
                <w:color w:val="auto"/>
                <w:w w:val="91"/>
              </w:rPr>
              <w:t>Aerospace and Defense</w:t>
            </w:r>
          </w:p>
        </w:tc>
        <w:tc>
          <w:tcPr>
            <w:tcW w:w="960" w:type="dxa"/>
            <w:vAlign w:val="bottom"/>
          </w:tcPr>
          <w:p>
            <w:pPr>
              <w:jc w:val="right"/>
              <w:ind w:right="374"/>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980" w:type="dxa"/>
            <w:vAlign w:val="bottom"/>
            <w:gridSpan w:val="5"/>
          </w:tcPr>
          <w:p>
            <w:pPr>
              <w:jc w:val="right"/>
              <w:ind w:right="120"/>
              <w:spacing w:after="0"/>
              <w:rPr>
                <w:sz w:val="20"/>
                <w:szCs w:val="20"/>
                <w:color w:val="auto"/>
              </w:rPr>
            </w:pPr>
            <w:r>
              <w:rPr>
                <w:rFonts w:ascii="Arial" w:cs="Arial" w:eastAsia="Arial" w:hAnsi="Arial"/>
                <w:sz w:val="13"/>
                <w:szCs w:val="13"/>
                <w:color w:val="auto"/>
              </w:rPr>
              <w:t>1,627</w:t>
            </w:r>
          </w:p>
        </w:tc>
        <w:tc>
          <w:tcPr>
            <w:tcW w:w="960" w:type="dxa"/>
            <w:vAlign w:val="bottom"/>
            <w:gridSpan w:val="3"/>
          </w:tcPr>
          <w:p>
            <w:pPr>
              <w:jc w:val="right"/>
              <w:ind w:right="120"/>
              <w:spacing w:after="0"/>
              <w:rPr>
                <w:sz w:val="20"/>
                <w:szCs w:val="20"/>
                <w:color w:val="auto"/>
              </w:rPr>
            </w:pPr>
            <w:r>
              <w:rPr>
                <w:rFonts w:ascii="Arial" w:cs="Arial" w:eastAsia="Arial" w:hAnsi="Arial"/>
                <w:sz w:val="13"/>
                <w:szCs w:val="13"/>
                <w:color w:val="auto"/>
              </w:rPr>
              <w:t>16,271</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149,557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CT Technologies Holdings, LLC (CT Technologies Intermediate</w:t>
            </w: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ind w:left="420"/>
              <w:spacing w:after="0" w:line="138" w:lineRule="exact"/>
              <w:rPr>
                <w:sz w:val="20"/>
                <w:szCs w:val="20"/>
                <w:color w:val="auto"/>
              </w:rPr>
            </w:pPr>
            <w:r>
              <w:rPr>
                <w:rFonts w:ascii="Arial" w:cs="Arial" w:eastAsia="Arial" w:hAnsi="Arial"/>
                <w:sz w:val="13"/>
                <w:szCs w:val="13"/>
                <w:color w:val="auto"/>
              </w:rPr>
              <w:t>—</w:t>
            </w:r>
          </w:p>
        </w:tc>
        <w:tc>
          <w:tcPr>
            <w:tcW w:w="1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Business Services</w:t>
            </w:r>
          </w:p>
        </w:tc>
        <w:tc>
          <w:tcPr>
            <w:tcW w:w="960" w:type="dxa"/>
            <w:vAlign w:val="bottom"/>
            <w:shd w:val="clear" w:color="auto" w:fill="CCEEFF"/>
          </w:tcPr>
          <w:p>
            <w:pPr>
              <w:jc w:val="right"/>
              <w:ind w:right="374"/>
              <w:spacing w:after="0" w:line="138"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13"/>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5"/>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5,556</w:t>
            </w:r>
          </w:p>
        </w:tc>
        <w:tc>
          <w:tcPr>
            <w:tcW w:w="96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3,200,000</w:t>
            </w:r>
          </w:p>
        </w:tc>
        <w:tc>
          <w:tcPr>
            <w:tcW w:w="1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3,200,000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Holdings, Inc.)</w:t>
            </w: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20"/>
                <w:szCs w:val="20"/>
                <w:color w:val="auto"/>
              </w:rPr>
            </w:pPr>
            <w:r>
              <w:rPr>
                <w:rFonts w:ascii="Arial" w:cs="Arial" w:eastAsia="Arial" w:hAnsi="Arial"/>
                <w:sz w:val="13"/>
                <w:szCs w:val="13"/>
                <w:color w:val="auto"/>
              </w:rPr>
              <w:t>i2 Holdings Ltd.</w:t>
            </w:r>
          </w:p>
        </w:tc>
        <w:tc>
          <w:tcPr>
            <w:tcW w:w="240" w:type="dxa"/>
            <w:vAlign w:val="bottom"/>
          </w:tcPr>
          <w:p>
            <w:pPr>
              <w:spacing w:after="0"/>
              <w:rPr>
                <w:sz w:val="12"/>
                <w:szCs w:val="12"/>
                <w:color w:val="auto"/>
              </w:rPr>
            </w:pPr>
          </w:p>
        </w:tc>
        <w:tc>
          <w:tcPr>
            <w:tcW w:w="740" w:type="dxa"/>
            <w:vAlign w:val="bottom"/>
          </w:tcPr>
          <w:p>
            <w:pPr>
              <w:ind w:left="420"/>
              <w:spacing w:after="0"/>
              <w:rPr>
                <w:sz w:val="20"/>
                <w:szCs w:val="20"/>
                <w:color w:val="auto"/>
              </w:rPr>
            </w:pPr>
            <w:r>
              <w:rPr>
                <w:rFonts w:ascii="Arial" w:cs="Arial" w:eastAsia="Arial" w:hAnsi="Arial"/>
                <w:sz w:val="13"/>
                <w:szCs w:val="13"/>
                <w:color w:val="auto"/>
              </w:rPr>
              <w:t>—</w:t>
            </w:r>
          </w:p>
        </w:tc>
        <w:tc>
          <w:tcPr>
            <w:tcW w:w="1660" w:type="dxa"/>
            <w:vAlign w:val="bottom"/>
          </w:tcPr>
          <w:p>
            <w:pPr>
              <w:jc w:val="center"/>
              <w:spacing w:after="0"/>
              <w:rPr>
                <w:sz w:val="20"/>
                <w:szCs w:val="20"/>
                <w:color w:val="auto"/>
              </w:rPr>
            </w:pPr>
            <w:r>
              <w:rPr>
                <w:rFonts w:ascii="Arial" w:cs="Arial" w:eastAsia="Arial" w:hAnsi="Arial"/>
                <w:sz w:val="13"/>
                <w:szCs w:val="13"/>
                <w:color w:val="auto"/>
                <w:w w:val="91"/>
              </w:rPr>
              <w:t>Aerospace and Defense</w:t>
            </w:r>
          </w:p>
        </w:tc>
        <w:tc>
          <w:tcPr>
            <w:tcW w:w="960" w:type="dxa"/>
            <w:vAlign w:val="bottom"/>
          </w:tcPr>
          <w:p>
            <w:pPr>
              <w:jc w:val="right"/>
              <w:ind w:right="374"/>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980" w:type="dxa"/>
            <w:vAlign w:val="bottom"/>
            <w:gridSpan w:val="5"/>
          </w:tcPr>
          <w:p>
            <w:pPr>
              <w:jc w:val="right"/>
              <w:ind w:right="120"/>
              <w:spacing w:after="0"/>
              <w:rPr>
                <w:sz w:val="20"/>
                <w:szCs w:val="20"/>
                <w:color w:val="auto"/>
              </w:rPr>
            </w:pPr>
            <w:r>
              <w:rPr>
                <w:rFonts w:ascii="Arial" w:cs="Arial" w:eastAsia="Arial" w:hAnsi="Arial"/>
                <w:sz w:val="13"/>
                <w:szCs w:val="13"/>
                <w:color w:val="auto"/>
              </w:rPr>
              <w:t>440,000</w:t>
            </w:r>
          </w:p>
        </w:tc>
        <w:tc>
          <w:tcPr>
            <w:tcW w:w="960" w:type="dxa"/>
            <w:vAlign w:val="bottom"/>
            <w:gridSpan w:val="3"/>
          </w:tcPr>
          <w:p>
            <w:pPr>
              <w:jc w:val="right"/>
              <w:ind w:right="120"/>
              <w:spacing w:after="0"/>
              <w:rPr>
                <w:sz w:val="20"/>
                <w:szCs w:val="20"/>
                <w:color w:val="auto"/>
              </w:rPr>
            </w:pPr>
            <w:r>
              <w:rPr>
                <w:rFonts w:ascii="Arial" w:cs="Arial" w:eastAsia="Arial" w:hAnsi="Arial"/>
                <w:sz w:val="13"/>
                <w:szCs w:val="13"/>
                <w:color w:val="auto"/>
              </w:rPr>
              <w:t>440,000</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1,545,062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TZ Holdings, L.P. (Trizetto Group, Inc.)</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Insurance</w:t>
            </w:r>
          </w:p>
        </w:tc>
        <w:tc>
          <w:tcPr>
            <w:tcW w:w="960" w:type="dxa"/>
            <w:vAlign w:val="bottom"/>
            <w:shd w:val="clear" w:color="auto" w:fill="CCEEFF"/>
          </w:tcPr>
          <w:p>
            <w:pPr>
              <w:jc w:val="right"/>
              <w:ind w:right="374"/>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980" w:type="dxa"/>
            <w:vAlign w:val="bottom"/>
            <w:gridSpan w:val="5"/>
            <w:shd w:val="clear" w:color="auto" w:fill="CCEEFF"/>
          </w:tcPr>
          <w:p>
            <w:pPr>
              <w:jc w:val="right"/>
              <w:ind w:right="120"/>
              <w:spacing w:after="0"/>
              <w:rPr>
                <w:sz w:val="20"/>
                <w:szCs w:val="20"/>
                <w:color w:val="auto"/>
              </w:rPr>
            </w:pPr>
            <w:r>
              <w:rPr>
                <w:rFonts w:ascii="Arial" w:cs="Arial" w:eastAsia="Arial" w:hAnsi="Arial"/>
                <w:sz w:val="13"/>
                <w:szCs w:val="13"/>
                <w:color w:val="auto"/>
              </w:rPr>
              <w:t>2</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2,173</w:t>
            </w: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20"/>
                <w:szCs w:val="20"/>
                <w:color w:val="auto"/>
              </w:rPr>
            </w:pPr>
            <w:r>
              <w:rPr>
                <w:rFonts w:ascii="Arial" w:cs="Arial" w:eastAsia="Arial" w:hAnsi="Arial"/>
                <w:sz w:val="13"/>
                <w:szCs w:val="13"/>
                <w:color w:val="auto"/>
              </w:rPr>
              <w:t>UP Holdings Inc. (UP Acquisitions Sub Inc.)</w:t>
            </w:r>
          </w:p>
        </w:tc>
        <w:tc>
          <w:tcPr>
            <w:tcW w:w="240" w:type="dxa"/>
            <w:vAlign w:val="bottom"/>
          </w:tcPr>
          <w:p>
            <w:pPr>
              <w:spacing w:after="0"/>
              <w:rPr>
                <w:sz w:val="12"/>
                <w:szCs w:val="12"/>
                <w:color w:val="auto"/>
              </w:rPr>
            </w:pPr>
          </w:p>
        </w:tc>
        <w:tc>
          <w:tcPr>
            <w:tcW w:w="740" w:type="dxa"/>
            <w:vAlign w:val="bottom"/>
          </w:tcPr>
          <w:p>
            <w:pPr>
              <w:ind w:left="420"/>
              <w:spacing w:after="0"/>
              <w:rPr>
                <w:sz w:val="20"/>
                <w:szCs w:val="20"/>
                <w:color w:val="auto"/>
              </w:rPr>
            </w:pPr>
            <w:r>
              <w:rPr>
                <w:rFonts w:ascii="Arial" w:cs="Arial" w:eastAsia="Arial" w:hAnsi="Arial"/>
                <w:sz w:val="13"/>
                <w:szCs w:val="13"/>
                <w:color w:val="auto"/>
              </w:rPr>
              <w:t>—</w:t>
            </w:r>
          </w:p>
        </w:tc>
        <w:tc>
          <w:tcPr>
            <w:tcW w:w="1660" w:type="dxa"/>
            <w:vAlign w:val="bottom"/>
          </w:tcPr>
          <w:p>
            <w:pPr>
              <w:jc w:val="center"/>
              <w:spacing w:after="0"/>
              <w:rPr>
                <w:sz w:val="20"/>
                <w:szCs w:val="20"/>
                <w:color w:val="auto"/>
              </w:rPr>
            </w:pPr>
            <w:r>
              <w:rPr>
                <w:rFonts w:ascii="Arial" w:cs="Arial" w:eastAsia="Arial" w:hAnsi="Arial"/>
                <w:sz w:val="13"/>
                <w:szCs w:val="13"/>
                <w:color w:val="auto"/>
                <w:w w:val="93"/>
              </w:rPr>
              <w:t>Oil and Gas</w:t>
            </w:r>
          </w:p>
        </w:tc>
        <w:tc>
          <w:tcPr>
            <w:tcW w:w="960" w:type="dxa"/>
            <w:vAlign w:val="bottom"/>
          </w:tcPr>
          <w:p>
            <w:pPr>
              <w:jc w:val="right"/>
              <w:ind w:right="374"/>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91,608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916</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2,569,208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9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Common Equity/Partnership Interest</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541,793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6,659,360</w:t>
            </w: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8,464,883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13"/>
                <w:szCs w:val="13"/>
                <w:b w:val="1"/>
                <w:bCs w:val="1"/>
                <w:color w:val="auto"/>
              </w:rPr>
              <w:t>Par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94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First Lien Secured Debt—37.4%</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20"/>
                <w:szCs w:val="20"/>
                <w:color w:val="auto"/>
              </w:rPr>
            </w:pPr>
            <w:r>
              <w:rPr>
                <w:rFonts w:ascii="Arial" w:cs="Arial" w:eastAsia="Arial" w:hAnsi="Arial"/>
                <w:sz w:val="13"/>
                <w:szCs w:val="13"/>
                <w:color w:val="auto"/>
              </w:rPr>
              <w:t>Burlington Coat Factory Warehouse Corp.</w:t>
            </w:r>
          </w:p>
        </w:tc>
        <w:tc>
          <w:tcPr>
            <w:tcW w:w="980" w:type="dxa"/>
            <w:vAlign w:val="bottom"/>
            <w:gridSpan w:val="2"/>
          </w:tcPr>
          <w:p>
            <w:pPr>
              <w:jc w:val="center"/>
              <w:ind w:left="53"/>
              <w:spacing w:after="0"/>
              <w:rPr>
                <w:sz w:val="20"/>
                <w:szCs w:val="20"/>
                <w:color w:val="auto"/>
              </w:rPr>
            </w:pPr>
            <w:r>
              <w:rPr>
                <w:rFonts w:ascii="Arial" w:cs="Arial" w:eastAsia="Arial" w:hAnsi="Arial"/>
                <w:sz w:val="13"/>
                <w:szCs w:val="13"/>
                <w:color w:val="auto"/>
                <w:w w:val="95"/>
              </w:rPr>
              <w:t>05/28/2013</w:t>
            </w:r>
          </w:p>
        </w:tc>
        <w:tc>
          <w:tcPr>
            <w:tcW w:w="1660" w:type="dxa"/>
            <w:vAlign w:val="bottom"/>
          </w:tcPr>
          <w:p>
            <w:pPr>
              <w:jc w:val="center"/>
              <w:spacing w:after="0"/>
              <w:rPr>
                <w:sz w:val="20"/>
                <w:szCs w:val="20"/>
                <w:color w:val="auto"/>
              </w:rPr>
            </w:pPr>
            <w:r>
              <w:rPr>
                <w:rFonts w:ascii="Arial" w:cs="Arial" w:eastAsia="Arial" w:hAnsi="Arial"/>
                <w:sz w:val="13"/>
                <w:szCs w:val="13"/>
                <w:color w:val="auto"/>
                <w:w w:val="94"/>
              </w:rPr>
              <w:t>Retail Store</w:t>
            </w:r>
          </w:p>
        </w:tc>
        <w:tc>
          <w:tcPr>
            <w:tcW w:w="960" w:type="dxa"/>
            <w:vAlign w:val="bottom"/>
          </w:tcPr>
          <w:p>
            <w:pPr>
              <w:jc w:val="right"/>
              <w:ind w:right="194"/>
              <w:spacing w:after="0"/>
              <w:rPr>
                <w:sz w:val="20"/>
                <w:szCs w:val="20"/>
                <w:color w:val="auto"/>
              </w:rPr>
            </w:pPr>
            <w:r>
              <w:rPr>
                <w:rFonts w:ascii="Arial" w:cs="Arial" w:eastAsia="Arial" w:hAnsi="Arial"/>
                <w:sz w:val="13"/>
                <w:szCs w:val="13"/>
                <w:color w:val="auto"/>
              </w:rPr>
              <w:t>5.06%</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L+225</w:t>
            </w:r>
          </w:p>
        </w:tc>
        <w:tc>
          <w:tcPr>
            <w:tcW w:w="980" w:type="dxa"/>
            <w:vAlign w:val="bottom"/>
            <w:gridSpan w:val="5"/>
          </w:tcPr>
          <w:p>
            <w:pPr>
              <w:jc w:val="right"/>
              <w:ind w:right="120"/>
              <w:spacing w:after="0"/>
              <w:rPr>
                <w:sz w:val="20"/>
                <w:szCs w:val="20"/>
                <w:color w:val="auto"/>
              </w:rPr>
            </w:pPr>
            <w:r>
              <w:rPr>
                <w:rFonts w:ascii="Arial" w:cs="Arial" w:eastAsia="Arial" w:hAnsi="Arial"/>
                <w:sz w:val="13"/>
                <w:szCs w:val="13"/>
                <w:color w:val="auto"/>
              </w:rPr>
              <w:t>$  7,896,473</w:t>
            </w:r>
          </w:p>
        </w:tc>
        <w:tc>
          <w:tcPr>
            <w:tcW w:w="960" w:type="dxa"/>
            <w:vAlign w:val="bottom"/>
            <w:gridSpan w:val="3"/>
          </w:tcPr>
          <w:p>
            <w:pPr>
              <w:jc w:val="right"/>
              <w:ind w:right="120"/>
              <w:spacing w:after="0"/>
              <w:rPr>
                <w:sz w:val="20"/>
                <w:szCs w:val="20"/>
                <w:color w:val="auto"/>
              </w:rPr>
            </w:pPr>
            <w:r>
              <w:rPr>
                <w:rFonts w:ascii="Arial" w:cs="Arial" w:eastAsia="Arial" w:hAnsi="Arial"/>
                <w:sz w:val="13"/>
                <w:szCs w:val="13"/>
                <w:color w:val="auto"/>
              </w:rPr>
              <w:t>7,889,120</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5,401,187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Cohr Holdings, Inc.</w:t>
            </w:r>
          </w:p>
        </w:tc>
        <w:tc>
          <w:tcPr>
            <w:tcW w:w="980" w:type="dxa"/>
            <w:vAlign w:val="bottom"/>
            <w:gridSpan w:val="2"/>
            <w:shd w:val="clear" w:color="auto" w:fill="CCEEFF"/>
          </w:tcPr>
          <w:p>
            <w:pPr>
              <w:jc w:val="center"/>
              <w:ind w:left="53"/>
              <w:spacing w:after="0" w:line="138" w:lineRule="exact"/>
              <w:rPr>
                <w:sz w:val="20"/>
                <w:szCs w:val="20"/>
                <w:color w:val="auto"/>
              </w:rPr>
            </w:pPr>
            <w:r>
              <w:rPr>
                <w:rFonts w:ascii="Arial" w:cs="Arial" w:eastAsia="Arial" w:hAnsi="Arial"/>
                <w:sz w:val="13"/>
                <w:szCs w:val="13"/>
                <w:color w:val="auto"/>
                <w:w w:val="95"/>
              </w:rPr>
              <w:t>01/31/2013</w:t>
            </w:r>
          </w:p>
        </w:tc>
        <w:tc>
          <w:tcPr>
            <w:tcW w:w="1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Healthcare, Education and</w:t>
            </w:r>
          </w:p>
        </w:tc>
        <w:tc>
          <w:tcPr>
            <w:tcW w:w="960" w:type="dxa"/>
            <w:vAlign w:val="bottom"/>
            <w:shd w:val="clear" w:color="auto" w:fill="CCEEFF"/>
          </w:tcPr>
          <w:p>
            <w:pPr>
              <w:jc w:val="right"/>
              <w:ind w:right="194"/>
              <w:spacing w:after="0" w:line="138" w:lineRule="exact"/>
              <w:rPr>
                <w:sz w:val="20"/>
                <w:szCs w:val="20"/>
                <w:color w:val="auto"/>
              </w:rPr>
            </w:pPr>
            <w:r>
              <w:rPr>
                <w:rFonts w:ascii="Arial" w:cs="Arial" w:eastAsia="Arial" w:hAnsi="Arial"/>
                <w:sz w:val="13"/>
                <w:szCs w:val="13"/>
                <w:color w:val="auto"/>
              </w:rPr>
              <w:t>5.35%</w:t>
            </w:r>
          </w:p>
        </w:tc>
        <w:tc>
          <w:tcPr>
            <w:tcW w:w="90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L+250</w:t>
            </w:r>
          </w:p>
        </w:tc>
        <w:tc>
          <w:tcPr>
            <w:tcW w:w="980" w:type="dxa"/>
            <w:vAlign w:val="bottom"/>
            <w:gridSpan w:val="5"/>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2,955,000</w:t>
            </w:r>
          </w:p>
        </w:tc>
        <w:tc>
          <w:tcPr>
            <w:tcW w:w="96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2,955,000</w:t>
            </w:r>
          </w:p>
        </w:tc>
        <w:tc>
          <w:tcPr>
            <w:tcW w:w="1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1,484,888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Childcare</w:t>
            </w:r>
          </w:p>
        </w:tc>
        <w:tc>
          <w:tcPr>
            <w:tcW w:w="9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20"/>
                <w:szCs w:val="20"/>
                <w:color w:val="auto"/>
              </w:rPr>
            </w:pPr>
            <w:r>
              <w:rPr>
                <w:rFonts w:ascii="Arial" w:cs="Arial" w:eastAsia="Arial" w:hAnsi="Arial"/>
                <w:sz w:val="13"/>
                <w:szCs w:val="13"/>
                <w:color w:val="auto"/>
              </w:rPr>
              <w:t>EnviroSolutions, Inc.</w:t>
            </w:r>
          </w:p>
        </w:tc>
        <w:tc>
          <w:tcPr>
            <w:tcW w:w="980" w:type="dxa"/>
            <w:vAlign w:val="bottom"/>
            <w:gridSpan w:val="2"/>
          </w:tcPr>
          <w:p>
            <w:pPr>
              <w:jc w:val="center"/>
              <w:ind w:left="53"/>
              <w:spacing w:after="0"/>
              <w:rPr>
                <w:sz w:val="20"/>
                <w:szCs w:val="20"/>
                <w:color w:val="auto"/>
              </w:rPr>
            </w:pPr>
            <w:r>
              <w:rPr>
                <w:rFonts w:ascii="Arial" w:cs="Arial" w:eastAsia="Arial" w:hAnsi="Arial"/>
                <w:sz w:val="13"/>
                <w:szCs w:val="13"/>
                <w:color w:val="auto"/>
                <w:w w:val="95"/>
              </w:rPr>
              <w:t>08/07/2012</w:t>
            </w:r>
          </w:p>
        </w:tc>
        <w:tc>
          <w:tcPr>
            <w:tcW w:w="1660" w:type="dxa"/>
            <w:vAlign w:val="bottom"/>
          </w:tcPr>
          <w:p>
            <w:pPr>
              <w:jc w:val="center"/>
              <w:spacing w:after="0"/>
              <w:rPr>
                <w:sz w:val="20"/>
                <w:szCs w:val="20"/>
                <w:color w:val="auto"/>
              </w:rPr>
            </w:pPr>
            <w:r>
              <w:rPr>
                <w:rFonts w:ascii="Arial" w:cs="Arial" w:eastAsia="Arial" w:hAnsi="Arial"/>
                <w:sz w:val="13"/>
                <w:szCs w:val="13"/>
                <w:color w:val="auto"/>
                <w:w w:val="95"/>
              </w:rPr>
              <w:t>Environmental Services</w:t>
            </w:r>
          </w:p>
        </w:tc>
        <w:tc>
          <w:tcPr>
            <w:tcW w:w="960" w:type="dxa"/>
            <w:vAlign w:val="bottom"/>
          </w:tcPr>
          <w:p>
            <w:pPr>
              <w:jc w:val="right"/>
              <w:ind w:right="74"/>
              <w:spacing w:after="0" w:line="149" w:lineRule="exact"/>
              <w:rPr>
                <w:sz w:val="20"/>
                <w:szCs w:val="20"/>
                <w:color w:val="auto"/>
              </w:rPr>
            </w:pPr>
            <w:r>
              <w:rPr>
                <w:rFonts w:ascii="Arial" w:cs="Arial" w:eastAsia="Arial" w:hAnsi="Arial"/>
                <w:sz w:val="11"/>
                <w:szCs w:val="11"/>
                <w:color w:val="auto"/>
              </w:rPr>
              <w:t>12.04%</w:t>
            </w:r>
            <w:r>
              <w:rPr>
                <w:rFonts w:ascii="Arial" w:cs="Arial" w:eastAsia="Arial" w:hAnsi="Arial"/>
                <w:sz w:val="17"/>
                <w:szCs w:val="17"/>
                <w:color w:val="auto"/>
                <w:vertAlign w:val="superscript"/>
              </w:rPr>
              <w:t>(6)</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L+825</w:t>
            </w:r>
          </w:p>
        </w:tc>
        <w:tc>
          <w:tcPr>
            <w:tcW w:w="980" w:type="dxa"/>
            <w:vAlign w:val="bottom"/>
            <w:gridSpan w:val="5"/>
          </w:tcPr>
          <w:p>
            <w:pPr>
              <w:jc w:val="right"/>
              <w:ind w:right="120"/>
              <w:spacing w:after="0"/>
              <w:rPr>
                <w:sz w:val="20"/>
                <w:szCs w:val="20"/>
                <w:color w:val="auto"/>
              </w:rPr>
            </w:pPr>
            <w:r>
              <w:rPr>
                <w:rFonts w:ascii="Arial" w:cs="Arial" w:eastAsia="Arial" w:hAnsi="Arial"/>
                <w:sz w:val="13"/>
                <w:szCs w:val="13"/>
                <w:color w:val="auto"/>
              </w:rPr>
              <w:t>14,014,177</w:t>
            </w:r>
          </w:p>
        </w:tc>
        <w:tc>
          <w:tcPr>
            <w:tcW w:w="960" w:type="dxa"/>
            <w:vAlign w:val="bottom"/>
            <w:gridSpan w:val="3"/>
          </w:tcPr>
          <w:p>
            <w:pPr>
              <w:jc w:val="right"/>
              <w:ind w:right="120"/>
              <w:spacing w:after="0"/>
              <w:rPr>
                <w:sz w:val="20"/>
                <w:szCs w:val="20"/>
                <w:color w:val="auto"/>
              </w:rPr>
            </w:pPr>
            <w:r>
              <w:rPr>
                <w:rFonts w:ascii="Arial" w:cs="Arial" w:eastAsia="Arial" w:hAnsi="Arial"/>
                <w:sz w:val="13"/>
                <w:szCs w:val="13"/>
                <w:color w:val="auto"/>
              </w:rPr>
              <w:t>12,965,204</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12,192,334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EnviroSolutions, Inc.</w:t>
            </w:r>
          </w:p>
        </w:tc>
        <w:tc>
          <w:tcPr>
            <w:tcW w:w="980" w:type="dxa"/>
            <w:vAlign w:val="bottom"/>
            <w:gridSpan w:val="2"/>
            <w:shd w:val="clear" w:color="auto" w:fill="CCEEFF"/>
          </w:tcPr>
          <w:p>
            <w:pPr>
              <w:jc w:val="center"/>
              <w:ind w:left="53"/>
              <w:spacing w:after="0"/>
              <w:rPr>
                <w:sz w:val="20"/>
                <w:szCs w:val="20"/>
                <w:color w:val="auto"/>
              </w:rPr>
            </w:pPr>
            <w:r>
              <w:rPr>
                <w:rFonts w:ascii="Arial" w:cs="Arial" w:eastAsia="Arial" w:hAnsi="Arial"/>
                <w:sz w:val="13"/>
                <w:szCs w:val="13"/>
                <w:color w:val="auto"/>
                <w:w w:val="95"/>
              </w:rPr>
              <w:t>08/07/2012</w:t>
            </w: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Environmental Services</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12.25%</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P+725</w:t>
            </w:r>
          </w:p>
        </w:tc>
        <w:tc>
          <w:tcPr>
            <w:tcW w:w="980" w:type="dxa"/>
            <w:vAlign w:val="bottom"/>
            <w:gridSpan w:val="5"/>
            <w:shd w:val="clear" w:color="auto" w:fill="CCEEFF"/>
          </w:tcPr>
          <w:p>
            <w:pPr>
              <w:jc w:val="right"/>
              <w:ind w:right="120"/>
              <w:spacing w:after="0"/>
              <w:rPr>
                <w:sz w:val="20"/>
                <w:szCs w:val="20"/>
                <w:color w:val="auto"/>
              </w:rPr>
            </w:pPr>
            <w:r>
              <w:rPr>
                <w:rFonts w:ascii="Arial" w:cs="Arial" w:eastAsia="Arial" w:hAnsi="Arial"/>
                <w:sz w:val="13"/>
                <w:szCs w:val="13"/>
                <w:color w:val="auto"/>
              </w:rPr>
              <w:t>2,293</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2,121</w:t>
            </w: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20"/>
                <w:szCs w:val="20"/>
                <w:color w:val="auto"/>
              </w:rPr>
            </w:pPr>
            <w:r>
              <w:rPr>
                <w:rFonts w:ascii="Arial" w:cs="Arial" w:eastAsia="Arial" w:hAnsi="Arial"/>
                <w:sz w:val="13"/>
                <w:szCs w:val="13"/>
                <w:color w:val="auto"/>
              </w:rPr>
              <w:t>Gatehouse Media Operating, Inc.</w:t>
            </w:r>
          </w:p>
        </w:tc>
        <w:tc>
          <w:tcPr>
            <w:tcW w:w="980" w:type="dxa"/>
            <w:vAlign w:val="bottom"/>
            <w:gridSpan w:val="2"/>
          </w:tcPr>
          <w:p>
            <w:pPr>
              <w:jc w:val="center"/>
              <w:ind w:left="53"/>
              <w:spacing w:after="0"/>
              <w:rPr>
                <w:sz w:val="20"/>
                <w:szCs w:val="20"/>
                <w:color w:val="auto"/>
              </w:rPr>
            </w:pPr>
            <w:r>
              <w:rPr>
                <w:rFonts w:ascii="Arial" w:cs="Arial" w:eastAsia="Arial" w:hAnsi="Arial"/>
                <w:sz w:val="13"/>
                <w:szCs w:val="13"/>
                <w:color w:val="auto"/>
                <w:w w:val="95"/>
              </w:rPr>
              <w:t>08/28/2014</w:t>
            </w:r>
          </w:p>
        </w:tc>
        <w:tc>
          <w:tcPr>
            <w:tcW w:w="1660" w:type="dxa"/>
            <w:vAlign w:val="bottom"/>
          </w:tcPr>
          <w:p>
            <w:pPr>
              <w:jc w:val="center"/>
              <w:spacing w:after="0"/>
              <w:rPr>
                <w:sz w:val="20"/>
                <w:szCs w:val="20"/>
                <w:color w:val="auto"/>
              </w:rPr>
            </w:pPr>
            <w:r>
              <w:rPr>
                <w:rFonts w:ascii="Arial" w:cs="Arial" w:eastAsia="Arial" w:hAnsi="Arial"/>
                <w:sz w:val="13"/>
                <w:szCs w:val="13"/>
                <w:color w:val="auto"/>
                <w:w w:val="95"/>
              </w:rPr>
              <w:t>Media</w:t>
            </w:r>
          </w:p>
        </w:tc>
        <w:tc>
          <w:tcPr>
            <w:tcW w:w="960" w:type="dxa"/>
            <w:vAlign w:val="bottom"/>
          </w:tcPr>
          <w:p>
            <w:pPr>
              <w:jc w:val="right"/>
              <w:ind w:right="194"/>
              <w:spacing w:after="0"/>
              <w:rPr>
                <w:sz w:val="20"/>
                <w:szCs w:val="20"/>
                <w:color w:val="auto"/>
              </w:rPr>
            </w:pPr>
            <w:r>
              <w:rPr>
                <w:rFonts w:ascii="Arial" w:cs="Arial" w:eastAsia="Arial" w:hAnsi="Arial"/>
                <w:sz w:val="13"/>
                <w:szCs w:val="13"/>
                <w:color w:val="auto"/>
              </w:rPr>
              <w:t>4.81%</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L+200</w:t>
            </w:r>
          </w:p>
        </w:tc>
        <w:tc>
          <w:tcPr>
            <w:tcW w:w="980" w:type="dxa"/>
            <w:vAlign w:val="bottom"/>
            <w:gridSpan w:val="5"/>
          </w:tcPr>
          <w:p>
            <w:pPr>
              <w:jc w:val="right"/>
              <w:ind w:right="120"/>
              <w:spacing w:after="0"/>
              <w:rPr>
                <w:sz w:val="20"/>
                <w:szCs w:val="20"/>
                <w:color w:val="auto"/>
              </w:rPr>
            </w:pPr>
            <w:r>
              <w:rPr>
                <w:rFonts w:ascii="Arial" w:cs="Arial" w:eastAsia="Arial" w:hAnsi="Arial"/>
                <w:sz w:val="13"/>
                <w:szCs w:val="13"/>
                <w:color w:val="auto"/>
              </w:rPr>
              <w:t>7,000,000</w:t>
            </w:r>
          </w:p>
        </w:tc>
        <w:tc>
          <w:tcPr>
            <w:tcW w:w="960" w:type="dxa"/>
            <w:vAlign w:val="bottom"/>
            <w:gridSpan w:val="3"/>
          </w:tcPr>
          <w:p>
            <w:pPr>
              <w:jc w:val="right"/>
              <w:ind w:right="120"/>
              <w:spacing w:after="0"/>
              <w:rPr>
                <w:sz w:val="20"/>
                <w:szCs w:val="20"/>
                <w:color w:val="auto"/>
              </w:rPr>
            </w:pPr>
            <w:r>
              <w:rPr>
                <w:rFonts w:ascii="Arial" w:cs="Arial" w:eastAsia="Arial" w:hAnsi="Arial"/>
                <w:sz w:val="13"/>
                <w:szCs w:val="13"/>
                <w:color w:val="auto"/>
              </w:rPr>
              <w:t>7,000,000</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3,336,690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General Nutrition Centers, Inc.</w:t>
            </w:r>
          </w:p>
        </w:tc>
        <w:tc>
          <w:tcPr>
            <w:tcW w:w="980" w:type="dxa"/>
            <w:vAlign w:val="bottom"/>
            <w:gridSpan w:val="2"/>
            <w:shd w:val="clear" w:color="auto" w:fill="CCEEFF"/>
          </w:tcPr>
          <w:p>
            <w:pPr>
              <w:jc w:val="center"/>
              <w:ind w:left="53"/>
              <w:spacing w:after="0"/>
              <w:rPr>
                <w:sz w:val="20"/>
                <w:szCs w:val="20"/>
                <w:color w:val="auto"/>
              </w:rPr>
            </w:pPr>
            <w:r>
              <w:rPr>
                <w:rFonts w:ascii="Arial" w:cs="Arial" w:eastAsia="Arial" w:hAnsi="Arial"/>
                <w:sz w:val="13"/>
                <w:szCs w:val="13"/>
                <w:color w:val="auto"/>
                <w:w w:val="95"/>
              </w:rPr>
              <w:t>09/16/2013</w:t>
            </w: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Retail Store</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5.57%</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L+225</w:t>
            </w:r>
          </w:p>
        </w:tc>
        <w:tc>
          <w:tcPr>
            <w:tcW w:w="980" w:type="dxa"/>
            <w:vAlign w:val="bottom"/>
            <w:gridSpan w:val="5"/>
            <w:shd w:val="clear" w:color="auto" w:fill="CCEEFF"/>
          </w:tcPr>
          <w:p>
            <w:pPr>
              <w:jc w:val="right"/>
              <w:ind w:right="120"/>
              <w:spacing w:after="0"/>
              <w:rPr>
                <w:sz w:val="20"/>
                <w:szCs w:val="20"/>
                <w:color w:val="auto"/>
              </w:rPr>
            </w:pPr>
            <w:r>
              <w:rPr>
                <w:rFonts w:ascii="Arial" w:cs="Arial" w:eastAsia="Arial" w:hAnsi="Arial"/>
                <w:sz w:val="13"/>
                <w:szCs w:val="13"/>
                <w:color w:val="auto"/>
              </w:rPr>
              <w:t>3,410,095</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3,411,892</w:t>
            </w: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2,821,854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20"/>
                <w:szCs w:val="20"/>
                <w:color w:val="auto"/>
              </w:rPr>
            </w:pPr>
            <w:r>
              <w:rPr>
                <w:rFonts w:ascii="Arial" w:cs="Arial" w:eastAsia="Arial" w:hAnsi="Arial"/>
                <w:sz w:val="13"/>
                <w:szCs w:val="13"/>
                <w:color w:val="auto"/>
              </w:rPr>
              <w:t>Greatwide Logistics Services, Inc.</w:t>
            </w:r>
          </w:p>
        </w:tc>
        <w:tc>
          <w:tcPr>
            <w:tcW w:w="980" w:type="dxa"/>
            <w:vAlign w:val="bottom"/>
            <w:gridSpan w:val="2"/>
          </w:tcPr>
          <w:p>
            <w:pPr>
              <w:jc w:val="center"/>
              <w:ind w:left="53"/>
              <w:spacing w:after="0"/>
              <w:rPr>
                <w:sz w:val="20"/>
                <w:szCs w:val="20"/>
                <w:color w:val="auto"/>
              </w:rPr>
            </w:pPr>
            <w:r>
              <w:rPr>
                <w:rFonts w:ascii="Arial" w:cs="Arial" w:eastAsia="Arial" w:hAnsi="Arial"/>
                <w:sz w:val="13"/>
                <w:szCs w:val="13"/>
                <w:color w:val="auto"/>
                <w:w w:val="95"/>
              </w:rPr>
              <w:t>12/19/2013</w:t>
            </w:r>
          </w:p>
        </w:tc>
        <w:tc>
          <w:tcPr>
            <w:tcW w:w="1660" w:type="dxa"/>
            <w:vAlign w:val="bottom"/>
          </w:tcPr>
          <w:p>
            <w:pPr>
              <w:jc w:val="center"/>
              <w:spacing w:after="0"/>
              <w:rPr>
                <w:sz w:val="20"/>
                <w:szCs w:val="20"/>
                <w:color w:val="auto"/>
              </w:rPr>
            </w:pPr>
            <w:r>
              <w:rPr>
                <w:rFonts w:ascii="Arial" w:cs="Arial" w:eastAsia="Arial" w:hAnsi="Arial"/>
                <w:sz w:val="13"/>
                <w:szCs w:val="13"/>
                <w:color w:val="auto"/>
                <w:w w:val="92"/>
              </w:rPr>
              <w:t>Cargo Transport</w:t>
            </w:r>
          </w:p>
        </w:tc>
        <w:tc>
          <w:tcPr>
            <w:tcW w:w="960" w:type="dxa"/>
            <w:vAlign w:val="bottom"/>
          </w:tcPr>
          <w:p>
            <w:pPr>
              <w:jc w:val="right"/>
              <w:ind w:right="174"/>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(7)</w:t>
            </w:r>
          </w:p>
        </w:tc>
        <w:tc>
          <w:tcPr>
            <w:tcW w:w="9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980" w:type="dxa"/>
            <w:vAlign w:val="bottom"/>
            <w:gridSpan w:val="5"/>
          </w:tcPr>
          <w:p>
            <w:pPr>
              <w:jc w:val="right"/>
              <w:ind w:right="120"/>
              <w:spacing w:after="0"/>
              <w:rPr>
                <w:sz w:val="20"/>
                <w:szCs w:val="20"/>
                <w:color w:val="auto"/>
              </w:rPr>
            </w:pPr>
            <w:r>
              <w:rPr>
                <w:rFonts w:ascii="Arial" w:cs="Arial" w:eastAsia="Arial" w:hAnsi="Arial"/>
                <w:sz w:val="13"/>
                <w:szCs w:val="13"/>
                <w:color w:val="auto"/>
              </w:rPr>
              <w:t>6,912,500</w:t>
            </w:r>
          </w:p>
        </w:tc>
        <w:tc>
          <w:tcPr>
            <w:tcW w:w="960" w:type="dxa"/>
            <w:vAlign w:val="bottom"/>
            <w:gridSpan w:val="3"/>
          </w:tcPr>
          <w:p>
            <w:pPr>
              <w:jc w:val="right"/>
              <w:ind w:right="120"/>
              <w:spacing w:after="0"/>
              <w:rPr>
                <w:sz w:val="20"/>
                <w:szCs w:val="20"/>
                <w:color w:val="auto"/>
              </w:rPr>
            </w:pPr>
            <w:r>
              <w:rPr>
                <w:rFonts w:ascii="Arial" w:cs="Arial" w:eastAsia="Arial" w:hAnsi="Arial"/>
                <w:sz w:val="13"/>
                <w:szCs w:val="13"/>
                <w:color w:val="auto"/>
              </w:rPr>
              <w:t>6,912,500</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5,149,813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Hanley-Wood, L.L.C.</w:t>
            </w:r>
          </w:p>
        </w:tc>
        <w:tc>
          <w:tcPr>
            <w:tcW w:w="980" w:type="dxa"/>
            <w:vAlign w:val="bottom"/>
            <w:gridSpan w:val="2"/>
            <w:shd w:val="clear" w:color="auto" w:fill="CCEEFF"/>
          </w:tcPr>
          <w:p>
            <w:pPr>
              <w:jc w:val="center"/>
              <w:ind w:left="53"/>
              <w:spacing w:after="0"/>
              <w:rPr>
                <w:sz w:val="20"/>
                <w:szCs w:val="20"/>
                <w:color w:val="auto"/>
              </w:rPr>
            </w:pPr>
            <w:r>
              <w:rPr>
                <w:rFonts w:ascii="Arial" w:cs="Arial" w:eastAsia="Arial" w:hAnsi="Arial"/>
                <w:sz w:val="13"/>
                <w:szCs w:val="13"/>
                <w:color w:val="auto"/>
                <w:w w:val="95"/>
              </w:rPr>
              <w:t>03/08/2014</w:t>
            </w: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Other Media</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4.83%</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L+225</w:t>
            </w:r>
          </w:p>
        </w:tc>
        <w:tc>
          <w:tcPr>
            <w:tcW w:w="980" w:type="dxa"/>
            <w:vAlign w:val="bottom"/>
            <w:gridSpan w:val="5"/>
            <w:shd w:val="clear" w:color="auto" w:fill="CCEEFF"/>
          </w:tcPr>
          <w:p>
            <w:pPr>
              <w:jc w:val="right"/>
              <w:ind w:right="120"/>
              <w:spacing w:after="0"/>
              <w:rPr>
                <w:sz w:val="20"/>
                <w:szCs w:val="20"/>
                <w:color w:val="auto"/>
              </w:rPr>
            </w:pPr>
            <w:r>
              <w:rPr>
                <w:rFonts w:ascii="Arial" w:cs="Arial" w:eastAsia="Arial" w:hAnsi="Arial"/>
                <w:sz w:val="13"/>
                <w:szCs w:val="13"/>
                <w:color w:val="auto"/>
              </w:rPr>
              <w:t>8,932,500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8,932,500</w:t>
            </w: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6,327,185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20"/>
                <w:szCs w:val="20"/>
                <w:color w:val="auto"/>
              </w:rPr>
            </w:pPr>
            <w:r>
              <w:rPr>
                <w:rFonts w:ascii="Arial" w:cs="Arial" w:eastAsia="Arial" w:hAnsi="Arial"/>
                <w:sz w:val="13"/>
                <w:szCs w:val="13"/>
                <w:color w:val="auto"/>
              </w:rPr>
              <w:t>Hughes Network Systems, L.L.C.</w:t>
            </w:r>
          </w:p>
        </w:tc>
        <w:tc>
          <w:tcPr>
            <w:tcW w:w="980" w:type="dxa"/>
            <w:vAlign w:val="bottom"/>
            <w:gridSpan w:val="2"/>
          </w:tcPr>
          <w:p>
            <w:pPr>
              <w:jc w:val="center"/>
              <w:ind w:left="53"/>
              <w:spacing w:after="0"/>
              <w:rPr>
                <w:sz w:val="20"/>
                <w:szCs w:val="20"/>
                <w:color w:val="auto"/>
              </w:rPr>
            </w:pPr>
            <w:r>
              <w:rPr>
                <w:rFonts w:ascii="Arial" w:cs="Arial" w:eastAsia="Arial" w:hAnsi="Arial"/>
                <w:sz w:val="13"/>
                <w:szCs w:val="13"/>
                <w:color w:val="auto"/>
                <w:w w:val="95"/>
              </w:rPr>
              <w:t>04/15/2014</w:t>
            </w:r>
          </w:p>
        </w:tc>
        <w:tc>
          <w:tcPr>
            <w:tcW w:w="166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960" w:type="dxa"/>
            <w:vAlign w:val="bottom"/>
          </w:tcPr>
          <w:p>
            <w:pPr>
              <w:jc w:val="right"/>
              <w:ind w:right="194"/>
              <w:spacing w:after="0"/>
              <w:rPr>
                <w:sz w:val="20"/>
                <w:szCs w:val="20"/>
                <w:color w:val="auto"/>
              </w:rPr>
            </w:pPr>
            <w:r>
              <w:rPr>
                <w:rFonts w:ascii="Arial" w:cs="Arial" w:eastAsia="Arial" w:hAnsi="Arial"/>
                <w:sz w:val="13"/>
                <w:szCs w:val="13"/>
                <w:color w:val="auto"/>
              </w:rPr>
              <w:t>5.31%</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L+250</w:t>
            </w:r>
          </w:p>
        </w:tc>
        <w:tc>
          <w:tcPr>
            <w:tcW w:w="980" w:type="dxa"/>
            <w:vAlign w:val="bottom"/>
            <w:gridSpan w:val="5"/>
          </w:tcPr>
          <w:p>
            <w:pPr>
              <w:jc w:val="right"/>
              <w:ind w:right="120"/>
              <w:spacing w:after="0"/>
              <w:rPr>
                <w:sz w:val="20"/>
                <w:szCs w:val="20"/>
                <w:color w:val="auto"/>
              </w:rPr>
            </w:pPr>
            <w:r>
              <w:rPr>
                <w:rFonts w:ascii="Arial" w:cs="Arial" w:eastAsia="Arial" w:hAnsi="Arial"/>
                <w:sz w:val="13"/>
                <w:szCs w:val="13"/>
                <w:color w:val="auto"/>
              </w:rPr>
              <w:t>5,000,000</w:t>
            </w:r>
          </w:p>
        </w:tc>
        <w:tc>
          <w:tcPr>
            <w:tcW w:w="960" w:type="dxa"/>
            <w:vAlign w:val="bottom"/>
            <w:gridSpan w:val="3"/>
          </w:tcPr>
          <w:p>
            <w:pPr>
              <w:jc w:val="right"/>
              <w:ind w:right="120"/>
              <w:spacing w:after="0"/>
              <w:rPr>
                <w:sz w:val="20"/>
                <w:szCs w:val="20"/>
                <w:color w:val="auto"/>
              </w:rPr>
            </w:pPr>
            <w:r>
              <w:rPr>
                <w:rFonts w:ascii="Arial" w:cs="Arial" w:eastAsia="Arial" w:hAnsi="Arial"/>
                <w:sz w:val="13"/>
                <w:szCs w:val="13"/>
                <w:color w:val="auto"/>
              </w:rPr>
              <w:t>5,000,000</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4,275,000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Jacuzzi Brands Corp.</w:t>
            </w:r>
          </w:p>
        </w:tc>
        <w:tc>
          <w:tcPr>
            <w:tcW w:w="980" w:type="dxa"/>
            <w:vAlign w:val="bottom"/>
            <w:gridSpan w:val="2"/>
            <w:shd w:val="clear" w:color="auto" w:fill="CCEEFF"/>
          </w:tcPr>
          <w:p>
            <w:pPr>
              <w:jc w:val="center"/>
              <w:ind w:left="53"/>
              <w:spacing w:after="0" w:line="138" w:lineRule="exact"/>
              <w:rPr>
                <w:sz w:val="20"/>
                <w:szCs w:val="20"/>
                <w:color w:val="auto"/>
              </w:rPr>
            </w:pPr>
            <w:r>
              <w:rPr>
                <w:rFonts w:ascii="Arial" w:cs="Arial" w:eastAsia="Arial" w:hAnsi="Arial"/>
                <w:sz w:val="13"/>
                <w:szCs w:val="13"/>
                <w:color w:val="auto"/>
                <w:w w:val="95"/>
              </w:rPr>
              <w:t>02/07/2014</w:t>
            </w:r>
          </w:p>
        </w:tc>
        <w:tc>
          <w:tcPr>
            <w:tcW w:w="1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Home and Office</w:t>
            </w:r>
          </w:p>
        </w:tc>
        <w:tc>
          <w:tcPr>
            <w:tcW w:w="960" w:type="dxa"/>
            <w:vAlign w:val="bottom"/>
            <w:shd w:val="clear" w:color="auto" w:fill="CCEEFF"/>
          </w:tcPr>
          <w:p>
            <w:pPr>
              <w:jc w:val="right"/>
              <w:ind w:right="194"/>
              <w:spacing w:after="0" w:line="138" w:lineRule="exact"/>
              <w:rPr>
                <w:sz w:val="20"/>
                <w:szCs w:val="20"/>
                <w:color w:val="auto"/>
              </w:rPr>
            </w:pPr>
            <w:r>
              <w:rPr>
                <w:rFonts w:ascii="Arial" w:cs="Arial" w:eastAsia="Arial" w:hAnsi="Arial"/>
                <w:sz w:val="13"/>
                <w:szCs w:val="13"/>
                <w:color w:val="auto"/>
              </w:rPr>
              <w:t>5.35%</w:t>
            </w:r>
          </w:p>
        </w:tc>
        <w:tc>
          <w:tcPr>
            <w:tcW w:w="90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L+225</w:t>
            </w:r>
          </w:p>
        </w:tc>
        <w:tc>
          <w:tcPr>
            <w:tcW w:w="980" w:type="dxa"/>
            <w:vAlign w:val="bottom"/>
            <w:gridSpan w:val="5"/>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9,890,541</w:t>
            </w:r>
          </w:p>
        </w:tc>
        <w:tc>
          <w:tcPr>
            <w:tcW w:w="96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9,890,541</w:t>
            </w:r>
          </w:p>
        </w:tc>
        <w:tc>
          <w:tcPr>
            <w:tcW w:w="1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6,156,861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Furnishings, Housewares</w:t>
            </w:r>
          </w:p>
        </w:tc>
        <w:tc>
          <w:tcPr>
            <w:tcW w:w="9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and Durable Consumer</w:t>
            </w:r>
          </w:p>
        </w:tc>
        <w:tc>
          <w:tcPr>
            <w:tcW w:w="9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Products</w:t>
            </w:r>
          </w:p>
        </w:tc>
        <w:tc>
          <w:tcPr>
            <w:tcW w:w="9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20"/>
                <w:szCs w:val="20"/>
                <w:color w:val="auto"/>
              </w:rPr>
            </w:pPr>
            <w:r>
              <w:rPr>
                <w:rFonts w:ascii="Arial" w:cs="Arial" w:eastAsia="Arial" w:hAnsi="Arial"/>
                <w:sz w:val="13"/>
                <w:szCs w:val="13"/>
                <w:color w:val="auto"/>
              </w:rPr>
              <w:t>Levlad, L.L.C.</w:t>
            </w:r>
          </w:p>
        </w:tc>
        <w:tc>
          <w:tcPr>
            <w:tcW w:w="980" w:type="dxa"/>
            <w:vAlign w:val="bottom"/>
            <w:gridSpan w:val="2"/>
          </w:tcPr>
          <w:p>
            <w:pPr>
              <w:jc w:val="center"/>
              <w:ind w:left="53"/>
              <w:spacing w:after="0"/>
              <w:rPr>
                <w:sz w:val="20"/>
                <w:szCs w:val="20"/>
                <w:color w:val="auto"/>
              </w:rPr>
            </w:pPr>
            <w:r>
              <w:rPr>
                <w:rFonts w:ascii="Arial" w:cs="Arial" w:eastAsia="Arial" w:hAnsi="Arial"/>
                <w:sz w:val="13"/>
                <w:szCs w:val="13"/>
                <w:color w:val="auto"/>
                <w:w w:val="95"/>
              </w:rPr>
              <w:t>03/08/2014</w:t>
            </w:r>
          </w:p>
        </w:tc>
        <w:tc>
          <w:tcPr>
            <w:tcW w:w="1660" w:type="dxa"/>
            <w:vAlign w:val="bottom"/>
          </w:tcPr>
          <w:p>
            <w:pPr>
              <w:jc w:val="center"/>
              <w:spacing w:after="0"/>
              <w:rPr>
                <w:sz w:val="20"/>
                <w:szCs w:val="20"/>
                <w:color w:val="auto"/>
              </w:rPr>
            </w:pPr>
            <w:r>
              <w:rPr>
                <w:rFonts w:ascii="Arial" w:cs="Arial" w:eastAsia="Arial" w:hAnsi="Arial"/>
                <w:sz w:val="13"/>
                <w:szCs w:val="13"/>
                <w:color w:val="auto"/>
                <w:w w:val="92"/>
              </w:rPr>
              <w:t>Consumer Products</w:t>
            </w:r>
          </w:p>
        </w:tc>
        <w:tc>
          <w:tcPr>
            <w:tcW w:w="960" w:type="dxa"/>
            <w:vAlign w:val="bottom"/>
          </w:tcPr>
          <w:p>
            <w:pPr>
              <w:jc w:val="right"/>
              <w:ind w:right="194"/>
              <w:spacing w:after="0"/>
              <w:rPr>
                <w:sz w:val="20"/>
                <w:szCs w:val="20"/>
                <w:color w:val="auto"/>
              </w:rPr>
            </w:pPr>
            <w:r>
              <w:rPr>
                <w:rFonts w:ascii="Arial" w:cs="Arial" w:eastAsia="Arial" w:hAnsi="Arial"/>
                <w:sz w:val="13"/>
                <w:szCs w:val="13"/>
                <w:color w:val="auto"/>
              </w:rPr>
              <w:t>5.46%</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L+225</w:t>
            </w:r>
          </w:p>
        </w:tc>
        <w:tc>
          <w:tcPr>
            <w:tcW w:w="980" w:type="dxa"/>
            <w:vAlign w:val="bottom"/>
            <w:gridSpan w:val="5"/>
          </w:tcPr>
          <w:p>
            <w:pPr>
              <w:jc w:val="right"/>
              <w:ind w:right="120"/>
              <w:spacing w:after="0"/>
              <w:rPr>
                <w:sz w:val="20"/>
                <w:szCs w:val="20"/>
                <w:color w:val="auto"/>
              </w:rPr>
            </w:pPr>
            <w:r>
              <w:rPr>
                <w:rFonts w:ascii="Arial" w:cs="Arial" w:eastAsia="Arial" w:hAnsi="Arial"/>
                <w:sz w:val="13"/>
                <w:szCs w:val="13"/>
                <w:color w:val="auto"/>
              </w:rPr>
              <w:t>4,564,563</w:t>
            </w:r>
          </w:p>
        </w:tc>
        <w:tc>
          <w:tcPr>
            <w:tcW w:w="960" w:type="dxa"/>
            <w:vAlign w:val="bottom"/>
            <w:gridSpan w:val="3"/>
          </w:tcPr>
          <w:p>
            <w:pPr>
              <w:jc w:val="right"/>
              <w:ind w:right="120"/>
              <w:spacing w:after="0"/>
              <w:rPr>
                <w:sz w:val="20"/>
                <w:szCs w:val="20"/>
                <w:color w:val="auto"/>
              </w:rPr>
            </w:pPr>
            <w:r>
              <w:rPr>
                <w:rFonts w:ascii="Arial" w:cs="Arial" w:eastAsia="Arial" w:hAnsi="Arial"/>
                <w:sz w:val="13"/>
                <w:szCs w:val="13"/>
                <w:color w:val="auto"/>
              </w:rPr>
              <w:t>4,564,563</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2,639,837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Longview Power, L.L.C.</w:t>
            </w:r>
          </w:p>
        </w:tc>
        <w:tc>
          <w:tcPr>
            <w:tcW w:w="980" w:type="dxa"/>
            <w:vAlign w:val="bottom"/>
            <w:gridSpan w:val="2"/>
            <w:shd w:val="clear" w:color="auto" w:fill="CCEEFF"/>
          </w:tcPr>
          <w:p>
            <w:pPr>
              <w:jc w:val="center"/>
              <w:ind w:left="53"/>
              <w:spacing w:after="0"/>
              <w:rPr>
                <w:sz w:val="20"/>
                <w:szCs w:val="20"/>
                <w:color w:val="auto"/>
              </w:rPr>
            </w:pPr>
            <w:r>
              <w:rPr>
                <w:rFonts w:ascii="Arial" w:cs="Arial" w:eastAsia="Arial" w:hAnsi="Arial"/>
                <w:sz w:val="13"/>
                <w:szCs w:val="13"/>
                <w:color w:val="auto"/>
                <w:w w:val="95"/>
              </w:rPr>
              <w:t>02/28/2014</w:t>
            </w: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Utilities</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5.54%</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L+225</w:t>
            </w:r>
          </w:p>
        </w:tc>
        <w:tc>
          <w:tcPr>
            <w:tcW w:w="980" w:type="dxa"/>
            <w:vAlign w:val="bottom"/>
            <w:gridSpan w:val="5"/>
            <w:shd w:val="clear" w:color="auto" w:fill="CCEEFF"/>
          </w:tcPr>
          <w:p>
            <w:pPr>
              <w:jc w:val="right"/>
              <w:ind w:right="120"/>
              <w:spacing w:after="0"/>
              <w:rPr>
                <w:sz w:val="20"/>
                <w:szCs w:val="20"/>
                <w:color w:val="auto"/>
              </w:rPr>
            </w:pPr>
            <w:r>
              <w:rPr>
                <w:rFonts w:ascii="Arial" w:cs="Arial" w:eastAsia="Arial" w:hAnsi="Arial"/>
                <w:sz w:val="13"/>
                <w:szCs w:val="13"/>
                <w:color w:val="auto"/>
              </w:rPr>
              <w:t>3,000,000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3,000,000</w:t>
            </w: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2,630,001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40" w:type="dxa"/>
            <w:vAlign w:val="bottom"/>
          </w:tcPr>
          <w:p>
            <w:pPr>
              <w:spacing w:after="0" w:line="138" w:lineRule="exact"/>
              <w:rPr>
                <w:sz w:val="20"/>
                <w:szCs w:val="20"/>
                <w:color w:val="auto"/>
              </w:rPr>
            </w:pPr>
            <w:r>
              <w:rPr>
                <w:rFonts w:ascii="Arial" w:cs="Arial" w:eastAsia="Arial" w:hAnsi="Arial"/>
                <w:sz w:val="13"/>
                <w:szCs w:val="13"/>
                <w:color w:val="auto"/>
              </w:rPr>
              <w:t>Mattress Holding Corp.</w:t>
            </w:r>
          </w:p>
        </w:tc>
        <w:tc>
          <w:tcPr>
            <w:tcW w:w="980" w:type="dxa"/>
            <w:vAlign w:val="bottom"/>
            <w:gridSpan w:val="2"/>
          </w:tcPr>
          <w:p>
            <w:pPr>
              <w:jc w:val="center"/>
              <w:ind w:left="53"/>
              <w:spacing w:after="0" w:line="138" w:lineRule="exact"/>
              <w:rPr>
                <w:sz w:val="20"/>
                <w:szCs w:val="20"/>
                <w:color w:val="auto"/>
              </w:rPr>
            </w:pPr>
            <w:r>
              <w:rPr>
                <w:rFonts w:ascii="Arial" w:cs="Arial" w:eastAsia="Arial" w:hAnsi="Arial"/>
                <w:sz w:val="13"/>
                <w:szCs w:val="13"/>
                <w:color w:val="auto"/>
                <w:w w:val="95"/>
              </w:rPr>
              <w:t>01/18/2014</w:t>
            </w:r>
          </w:p>
        </w:tc>
        <w:tc>
          <w:tcPr>
            <w:tcW w:w="1660" w:type="dxa"/>
            <w:vAlign w:val="bottom"/>
          </w:tcPr>
          <w:p>
            <w:pPr>
              <w:jc w:val="center"/>
              <w:spacing w:after="0" w:line="138" w:lineRule="exact"/>
              <w:rPr>
                <w:sz w:val="20"/>
                <w:szCs w:val="20"/>
                <w:color w:val="auto"/>
              </w:rPr>
            </w:pPr>
            <w:r>
              <w:rPr>
                <w:rFonts w:ascii="Arial" w:cs="Arial" w:eastAsia="Arial" w:hAnsi="Arial"/>
                <w:sz w:val="13"/>
                <w:szCs w:val="13"/>
                <w:color w:val="auto"/>
                <w:w w:val="96"/>
              </w:rPr>
              <w:t>Home and Office</w:t>
            </w:r>
          </w:p>
        </w:tc>
        <w:tc>
          <w:tcPr>
            <w:tcW w:w="960" w:type="dxa"/>
            <w:vAlign w:val="bottom"/>
          </w:tcPr>
          <w:p>
            <w:pPr>
              <w:jc w:val="right"/>
              <w:ind w:right="194"/>
              <w:spacing w:after="0" w:line="138" w:lineRule="exact"/>
              <w:rPr>
                <w:sz w:val="20"/>
                <w:szCs w:val="20"/>
                <w:color w:val="auto"/>
              </w:rPr>
            </w:pPr>
            <w:r>
              <w:rPr>
                <w:rFonts w:ascii="Arial" w:cs="Arial" w:eastAsia="Arial" w:hAnsi="Arial"/>
                <w:sz w:val="13"/>
                <w:szCs w:val="13"/>
                <w:color w:val="auto"/>
              </w:rPr>
              <w:t>5.96%</w:t>
            </w:r>
          </w:p>
        </w:tc>
        <w:tc>
          <w:tcPr>
            <w:tcW w:w="900" w:type="dxa"/>
            <w:vAlign w:val="bottom"/>
          </w:tcPr>
          <w:p>
            <w:pPr>
              <w:jc w:val="right"/>
              <w:ind w:right="53"/>
              <w:spacing w:after="0" w:line="138" w:lineRule="exact"/>
              <w:rPr>
                <w:sz w:val="20"/>
                <w:szCs w:val="20"/>
                <w:color w:val="auto"/>
              </w:rPr>
            </w:pPr>
            <w:r>
              <w:rPr>
                <w:rFonts w:ascii="Arial" w:cs="Arial" w:eastAsia="Arial" w:hAnsi="Arial"/>
                <w:sz w:val="13"/>
                <w:szCs w:val="13"/>
                <w:color w:val="auto"/>
              </w:rPr>
              <w:t>L+225</w:t>
            </w:r>
          </w:p>
        </w:tc>
        <w:tc>
          <w:tcPr>
            <w:tcW w:w="980" w:type="dxa"/>
            <w:vAlign w:val="bottom"/>
            <w:gridSpan w:val="5"/>
          </w:tcPr>
          <w:p>
            <w:pPr>
              <w:jc w:val="right"/>
              <w:ind w:right="120"/>
              <w:spacing w:after="0" w:line="138" w:lineRule="exact"/>
              <w:rPr>
                <w:sz w:val="20"/>
                <w:szCs w:val="20"/>
                <w:color w:val="auto"/>
              </w:rPr>
            </w:pPr>
            <w:r>
              <w:rPr>
                <w:rFonts w:ascii="Arial" w:cs="Arial" w:eastAsia="Arial" w:hAnsi="Arial"/>
                <w:sz w:val="13"/>
                <w:szCs w:val="13"/>
                <w:color w:val="auto"/>
              </w:rPr>
              <w:t>3,950,100</w:t>
            </w:r>
          </w:p>
        </w:tc>
        <w:tc>
          <w:tcPr>
            <w:tcW w:w="960" w:type="dxa"/>
            <w:vAlign w:val="bottom"/>
            <w:gridSpan w:val="3"/>
          </w:tcPr>
          <w:p>
            <w:pPr>
              <w:jc w:val="right"/>
              <w:ind w:right="120"/>
              <w:spacing w:after="0" w:line="138" w:lineRule="exact"/>
              <w:rPr>
                <w:sz w:val="20"/>
                <w:szCs w:val="20"/>
                <w:color w:val="auto"/>
              </w:rPr>
            </w:pPr>
            <w:r>
              <w:rPr>
                <w:rFonts w:ascii="Arial" w:cs="Arial" w:eastAsia="Arial" w:hAnsi="Arial"/>
                <w:sz w:val="13"/>
                <w:szCs w:val="13"/>
                <w:color w:val="auto"/>
              </w:rPr>
              <w:t>3,950,100</w:t>
            </w: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2,567,565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2"/>
              </w:rPr>
              <w:t>Furnishings, Housewares</w:t>
            </w: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3"/>
              </w:rPr>
              <w:t>and Durable Consumer</w:t>
            </w: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3"/>
              </w:rPr>
              <w:t>Products</w:t>
            </w: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Mitchell International, Inc.</w:t>
            </w:r>
          </w:p>
        </w:tc>
        <w:tc>
          <w:tcPr>
            <w:tcW w:w="980" w:type="dxa"/>
            <w:vAlign w:val="bottom"/>
            <w:gridSpan w:val="2"/>
            <w:shd w:val="clear" w:color="auto" w:fill="CCEEFF"/>
          </w:tcPr>
          <w:p>
            <w:pPr>
              <w:jc w:val="center"/>
              <w:ind w:left="53"/>
              <w:spacing w:after="0"/>
              <w:rPr>
                <w:sz w:val="20"/>
                <w:szCs w:val="20"/>
                <w:color w:val="auto"/>
              </w:rPr>
            </w:pPr>
            <w:r>
              <w:rPr>
                <w:rFonts w:ascii="Arial" w:cs="Arial" w:eastAsia="Arial" w:hAnsi="Arial"/>
                <w:sz w:val="13"/>
                <w:szCs w:val="13"/>
                <w:color w:val="auto"/>
                <w:w w:val="95"/>
              </w:rPr>
              <w:t>03/28/2014</w:t>
            </w: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5.81%</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L+200</w:t>
            </w:r>
          </w:p>
        </w:tc>
        <w:tc>
          <w:tcPr>
            <w:tcW w:w="980" w:type="dxa"/>
            <w:vAlign w:val="bottom"/>
            <w:gridSpan w:val="5"/>
            <w:shd w:val="clear" w:color="auto" w:fill="CCEEFF"/>
          </w:tcPr>
          <w:p>
            <w:pPr>
              <w:jc w:val="right"/>
              <w:ind w:right="120"/>
              <w:spacing w:after="0"/>
              <w:rPr>
                <w:sz w:val="20"/>
                <w:szCs w:val="20"/>
                <w:color w:val="auto"/>
              </w:rPr>
            </w:pPr>
            <w:r>
              <w:rPr>
                <w:rFonts w:ascii="Arial" w:cs="Arial" w:eastAsia="Arial" w:hAnsi="Arial"/>
                <w:sz w:val="13"/>
                <w:szCs w:val="13"/>
                <w:color w:val="auto"/>
              </w:rPr>
              <w:t>3,940,000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3,940,000</w:t>
            </w: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3,723,300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40" w:type="dxa"/>
            <w:vAlign w:val="bottom"/>
          </w:tcPr>
          <w:p>
            <w:pPr>
              <w:spacing w:after="0" w:line="138" w:lineRule="exact"/>
              <w:rPr>
                <w:sz w:val="20"/>
                <w:szCs w:val="20"/>
                <w:color w:val="auto"/>
              </w:rPr>
            </w:pPr>
            <w:r>
              <w:rPr>
                <w:rFonts w:ascii="Arial" w:cs="Arial" w:eastAsia="Arial" w:hAnsi="Arial"/>
                <w:sz w:val="13"/>
                <w:szCs w:val="13"/>
                <w:color w:val="auto"/>
              </w:rPr>
              <w:t>National Bedding Co., L.L.C.</w:t>
            </w:r>
          </w:p>
        </w:tc>
        <w:tc>
          <w:tcPr>
            <w:tcW w:w="980" w:type="dxa"/>
            <w:vAlign w:val="bottom"/>
            <w:gridSpan w:val="2"/>
          </w:tcPr>
          <w:p>
            <w:pPr>
              <w:jc w:val="center"/>
              <w:ind w:left="53"/>
              <w:spacing w:after="0" w:line="138" w:lineRule="exact"/>
              <w:rPr>
                <w:sz w:val="20"/>
                <w:szCs w:val="20"/>
                <w:color w:val="auto"/>
              </w:rPr>
            </w:pPr>
            <w:r>
              <w:rPr>
                <w:rFonts w:ascii="Arial" w:cs="Arial" w:eastAsia="Arial" w:hAnsi="Arial"/>
                <w:sz w:val="13"/>
                <w:szCs w:val="13"/>
                <w:color w:val="auto"/>
                <w:w w:val="95"/>
              </w:rPr>
              <w:t>02/28/2013</w:t>
            </w:r>
          </w:p>
        </w:tc>
        <w:tc>
          <w:tcPr>
            <w:tcW w:w="1660" w:type="dxa"/>
            <w:vAlign w:val="bottom"/>
          </w:tcPr>
          <w:p>
            <w:pPr>
              <w:jc w:val="center"/>
              <w:spacing w:after="0" w:line="138" w:lineRule="exact"/>
              <w:rPr>
                <w:sz w:val="20"/>
                <w:szCs w:val="20"/>
                <w:color w:val="auto"/>
              </w:rPr>
            </w:pPr>
            <w:r>
              <w:rPr>
                <w:rFonts w:ascii="Arial" w:cs="Arial" w:eastAsia="Arial" w:hAnsi="Arial"/>
                <w:sz w:val="13"/>
                <w:szCs w:val="13"/>
                <w:color w:val="auto"/>
                <w:w w:val="96"/>
              </w:rPr>
              <w:t>Home and Office</w:t>
            </w:r>
          </w:p>
        </w:tc>
        <w:tc>
          <w:tcPr>
            <w:tcW w:w="960" w:type="dxa"/>
            <w:vAlign w:val="bottom"/>
          </w:tcPr>
          <w:p>
            <w:pPr>
              <w:jc w:val="right"/>
              <w:ind w:right="194"/>
              <w:spacing w:after="0" w:line="138" w:lineRule="exact"/>
              <w:rPr>
                <w:sz w:val="20"/>
                <w:szCs w:val="20"/>
                <w:color w:val="auto"/>
              </w:rPr>
            </w:pPr>
            <w:r>
              <w:rPr>
                <w:rFonts w:ascii="Arial" w:cs="Arial" w:eastAsia="Arial" w:hAnsi="Arial"/>
                <w:sz w:val="13"/>
                <w:szCs w:val="13"/>
                <w:color w:val="auto"/>
              </w:rPr>
              <w:t>4.62%</w:t>
            </w:r>
          </w:p>
        </w:tc>
        <w:tc>
          <w:tcPr>
            <w:tcW w:w="900" w:type="dxa"/>
            <w:vAlign w:val="bottom"/>
          </w:tcPr>
          <w:p>
            <w:pPr>
              <w:jc w:val="right"/>
              <w:ind w:right="53"/>
              <w:spacing w:after="0" w:line="138" w:lineRule="exact"/>
              <w:rPr>
                <w:sz w:val="20"/>
                <w:szCs w:val="20"/>
                <w:color w:val="auto"/>
              </w:rPr>
            </w:pPr>
            <w:r>
              <w:rPr>
                <w:rFonts w:ascii="Arial" w:cs="Arial" w:eastAsia="Arial" w:hAnsi="Arial"/>
                <w:sz w:val="13"/>
                <w:szCs w:val="13"/>
                <w:color w:val="auto"/>
              </w:rPr>
              <w:t>L+200</w:t>
            </w:r>
          </w:p>
        </w:tc>
        <w:tc>
          <w:tcPr>
            <w:tcW w:w="980" w:type="dxa"/>
            <w:vAlign w:val="bottom"/>
            <w:gridSpan w:val="5"/>
          </w:tcPr>
          <w:p>
            <w:pPr>
              <w:jc w:val="right"/>
              <w:ind w:right="120"/>
              <w:spacing w:after="0" w:line="138" w:lineRule="exact"/>
              <w:rPr>
                <w:sz w:val="20"/>
                <w:szCs w:val="20"/>
                <w:color w:val="auto"/>
              </w:rPr>
            </w:pPr>
            <w:r>
              <w:rPr>
                <w:rFonts w:ascii="Arial" w:cs="Arial" w:eastAsia="Arial" w:hAnsi="Arial"/>
                <w:sz w:val="13"/>
                <w:szCs w:val="13"/>
                <w:color w:val="auto"/>
              </w:rPr>
              <w:t>6,895,000</w:t>
            </w:r>
          </w:p>
        </w:tc>
        <w:tc>
          <w:tcPr>
            <w:tcW w:w="960" w:type="dxa"/>
            <w:vAlign w:val="bottom"/>
            <w:gridSpan w:val="3"/>
          </w:tcPr>
          <w:p>
            <w:pPr>
              <w:jc w:val="right"/>
              <w:ind w:right="120"/>
              <w:spacing w:after="0" w:line="138" w:lineRule="exact"/>
              <w:rPr>
                <w:sz w:val="20"/>
                <w:szCs w:val="20"/>
                <w:color w:val="auto"/>
              </w:rPr>
            </w:pPr>
            <w:r>
              <w:rPr>
                <w:rFonts w:ascii="Arial" w:cs="Arial" w:eastAsia="Arial" w:hAnsi="Arial"/>
                <w:sz w:val="13"/>
                <w:szCs w:val="13"/>
                <w:color w:val="auto"/>
              </w:rPr>
              <w:t>6,900,583</w:t>
            </w: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5,274,675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2"/>
              </w:rPr>
              <w:t>Furnishings, Housewares</w:t>
            </w: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3"/>
              </w:rPr>
              <w:t>and Durable Consumer</w:t>
            </w: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3"/>
              </w:rPr>
              <w:t>Products</w:t>
            </w: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Penton Media, Inc.</w:t>
            </w:r>
          </w:p>
        </w:tc>
        <w:tc>
          <w:tcPr>
            <w:tcW w:w="980" w:type="dxa"/>
            <w:vAlign w:val="bottom"/>
            <w:gridSpan w:val="2"/>
            <w:shd w:val="clear" w:color="auto" w:fill="CCEEFF"/>
          </w:tcPr>
          <w:p>
            <w:pPr>
              <w:jc w:val="center"/>
              <w:ind w:left="53"/>
              <w:spacing w:after="0"/>
              <w:rPr>
                <w:sz w:val="20"/>
                <w:szCs w:val="20"/>
                <w:color w:val="auto"/>
              </w:rPr>
            </w:pPr>
            <w:r>
              <w:rPr>
                <w:rFonts w:ascii="Arial" w:cs="Arial" w:eastAsia="Arial" w:hAnsi="Arial"/>
                <w:sz w:val="13"/>
                <w:szCs w:val="13"/>
                <w:color w:val="auto"/>
                <w:w w:val="95"/>
              </w:rPr>
              <w:t>02/01/2013</w:t>
            </w: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Other Media</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5.07%</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L+225</w:t>
            </w:r>
          </w:p>
        </w:tc>
        <w:tc>
          <w:tcPr>
            <w:tcW w:w="980" w:type="dxa"/>
            <w:vAlign w:val="bottom"/>
            <w:gridSpan w:val="5"/>
            <w:shd w:val="clear" w:color="auto" w:fill="CCEEFF"/>
          </w:tcPr>
          <w:p>
            <w:pPr>
              <w:jc w:val="right"/>
              <w:ind w:right="120"/>
              <w:spacing w:after="0"/>
              <w:rPr>
                <w:sz w:val="20"/>
                <w:szCs w:val="20"/>
                <w:color w:val="auto"/>
              </w:rPr>
            </w:pPr>
            <w:r>
              <w:rPr>
                <w:rFonts w:ascii="Arial" w:cs="Arial" w:eastAsia="Arial" w:hAnsi="Arial"/>
                <w:sz w:val="13"/>
                <w:szCs w:val="13"/>
                <w:color w:val="auto"/>
              </w:rPr>
              <w:t>4,925,000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4,925,000</w:t>
            </w: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3,558,313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20"/>
                <w:szCs w:val="20"/>
                <w:color w:val="auto"/>
              </w:rPr>
            </w:pPr>
            <w:r>
              <w:rPr>
                <w:rFonts w:ascii="Arial" w:cs="Arial" w:eastAsia="Arial" w:hAnsi="Arial"/>
                <w:sz w:val="13"/>
                <w:szCs w:val="13"/>
                <w:color w:val="auto"/>
              </w:rPr>
              <w:t>Philosophy, Inc.</w:t>
            </w:r>
          </w:p>
        </w:tc>
        <w:tc>
          <w:tcPr>
            <w:tcW w:w="980" w:type="dxa"/>
            <w:vAlign w:val="bottom"/>
            <w:gridSpan w:val="2"/>
          </w:tcPr>
          <w:p>
            <w:pPr>
              <w:jc w:val="center"/>
              <w:ind w:left="53"/>
              <w:spacing w:after="0"/>
              <w:rPr>
                <w:sz w:val="20"/>
                <w:szCs w:val="20"/>
                <w:color w:val="auto"/>
              </w:rPr>
            </w:pPr>
            <w:r>
              <w:rPr>
                <w:rFonts w:ascii="Arial" w:cs="Arial" w:eastAsia="Arial" w:hAnsi="Arial"/>
                <w:sz w:val="13"/>
                <w:szCs w:val="13"/>
                <w:color w:val="auto"/>
                <w:w w:val="95"/>
              </w:rPr>
              <w:t>03/16/2014</w:t>
            </w:r>
          </w:p>
        </w:tc>
        <w:tc>
          <w:tcPr>
            <w:tcW w:w="1660" w:type="dxa"/>
            <w:vAlign w:val="bottom"/>
          </w:tcPr>
          <w:p>
            <w:pPr>
              <w:jc w:val="center"/>
              <w:spacing w:after="0"/>
              <w:rPr>
                <w:sz w:val="20"/>
                <w:szCs w:val="20"/>
                <w:color w:val="auto"/>
              </w:rPr>
            </w:pPr>
            <w:r>
              <w:rPr>
                <w:rFonts w:ascii="Arial" w:cs="Arial" w:eastAsia="Arial" w:hAnsi="Arial"/>
                <w:sz w:val="13"/>
                <w:szCs w:val="13"/>
                <w:color w:val="auto"/>
                <w:w w:val="92"/>
              </w:rPr>
              <w:t>Consumer Products</w:t>
            </w:r>
          </w:p>
        </w:tc>
        <w:tc>
          <w:tcPr>
            <w:tcW w:w="960" w:type="dxa"/>
            <w:vAlign w:val="bottom"/>
          </w:tcPr>
          <w:p>
            <w:pPr>
              <w:jc w:val="right"/>
              <w:ind w:right="194"/>
              <w:spacing w:after="0"/>
              <w:rPr>
                <w:sz w:val="20"/>
                <w:szCs w:val="20"/>
                <w:color w:val="auto"/>
              </w:rPr>
            </w:pPr>
            <w:r>
              <w:rPr>
                <w:rFonts w:ascii="Arial" w:cs="Arial" w:eastAsia="Arial" w:hAnsi="Arial"/>
                <w:sz w:val="13"/>
                <w:szCs w:val="13"/>
                <w:color w:val="auto"/>
              </w:rPr>
              <w:t>5.71%</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L+200</w:t>
            </w:r>
          </w:p>
        </w:tc>
        <w:tc>
          <w:tcPr>
            <w:tcW w:w="980" w:type="dxa"/>
            <w:vAlign w:val="bottom"/>
            <w:gridSpan w:val="5"/>
          </w:tcPr>
          <w:p>
            <w:pPr>
              <w:jc w:val="right"/>
              <w:ind w:right="120"/>
              <w:spacing w:after="0"/>
              <w:rPr>
                <w:sz w:val="20"/>
                <w:szCs w:val="20"/>
                <w:color w:val="auto"/>
              </w:rPr>
            </w:pPr>
            <w:r>
              <w:rPr>
                <w:rFonts w:ascii="Arial" w:cs="Arial" w:eastAsia="Arial" w:hAnsi="Arial"/>
                <w:sz w:val="13"/>
                <w:szCs w:val="13"/>
                <w:color w:val="auto"/>
              </w:rPr>
              <w:t>1,474,667</w:t>
            </w:r>
          </w:p>
        </w:tc>
        <w:tc>
          <w:tcPr>
            <w:tcW w:w="960" w:type="dxa"/>
            <w:vAlign w:val="bottom"/>
            <w:gridSpan w:val="3"/>
          </w:tcPr>
          <w:p>
            <w:pPr>
              <w:jc w:val="right"/>
              <w:ind w:right="120"/>
              <w:spacing w:after="0"/>
              <w:rPr>
                <w:sz w:val="20"/>
                <w:szCs w:val="20"/>
                <w:color w:val="auto"/>
              </w:rPr>
            </w:pPr>
            <w:r>
              <w:rPr>
                <w:rFonts w:ascii="Arial" w:cs="Arial" w:eastAsia="Arial" w:hAnsi="Arial"/>
                <w:sz w:val="13"/>
                <w:szCs w:val="13"/>
                <w:color w:val="auto"/>
              </w:rPr>
              <w:t>1,474,667</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1,194,480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Questex Media Group, Inc.</w:t>
            </w:r>
          </w:p>
        </w:tc>
        <w:tc>
          <w:tcPr>
            <w:tcW w:w="980" w:type="dxa"/>
            <w:vAlign w:val="bottom"/>
            <w:gridSpan w:val="2"/>
            <w:shd w:val="clear" w:color="auto" w:fill="CCEEFF"/>
          </w:tcPr>
          <w:p>
            <w:pPr>
              <w:jc w:val="center"/>
              <w:ind w:left="53"/>
              <w:spacing w:after="0"/>
              <w:rPr>
                <w:sz w:val="20"/>
                <w:szCs w:val="20"/>
                <w:color w:val="auto"/>
              </w:rPr>
            </w:pPr>
            <w:r>
              <w:rPr>
                <w:rFonts w:ascii="Arial" w:cs="Arial" w:eastAsia="Arial" w:hAnsi="Arial"/>
                <w:sz w:val="13"/>
                <w:szCs w:val="13"/>
                <w:color w:val="auto"/>
                <w:w w:val="95"/>
              </w:rPr>
              <w:t>05/04/2014</w:t>
            </w: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Other Media</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5.81%</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L+300</w:t>
            </w:r>
          </w:p>
        </w:tc>
        <w:tc>
          <w:tcPr>
            <w:tcW w:w="980" w:type="dxa"/>
            <w:vAlign w:val="bottom"/>
            <w:gridSpan w:val="5"/>
            <w:shd w:val="clear" w:color="auto" w:fill="CCEEFF"/>
          </w:tcPr>
          <w:p>
            <w:pPr>
              <w:jc w:val="right"/>
              <w:ind w:right="120"/>
              <w:spacing w:after="0"/>
              <w:rPr>
                <w:sz w:val="20"/>
                <w:szCs w:val="20"/>
                <w:color w:val="auto"/>
              </w:rPr>
            </w:pPr>
            <w:r>
              <w:rPr>
                <w:rFonts w:ascii="Arial" w:cs="Arial" w:eastAsia="Arial" w:hAnsi="Arial"/>
                <w:sz w:val="13"/>
                <w:szCs w:val="13"/>
                <w:color w:val="auto"/>
              </w:rPr>
              <w:t>4,924,167</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4,924,167</w:t>
            </w: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4,825,683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20"/>
                <w:szCs w:val="20"/>
                <w:color w:val="auto"/>
              </w:rPr>
            </w:pPr>
            <w:r>
              <w:rPr>
                <w:rFonts w:ascii="Arial" w:cs="Arial" w:eastAsia="Arial" w:hAnsi="Arial"/>
                <w:sz w:val="13"/>
                <w:szCs w:val="13"/>
                <w:color w:val="auto"/>
              </w:rPr>
              <w:t>Reader’s Digest Association, Inc.</w:t>
            </w:r>
          </w:p>
        </w:tc>
        <w:tc>
          <w:tcPr>
            <w:tcW w:w="980" w:type="dxa"/>
            <w:vAlign w:val="bottom"/>
            <w:gridSpan w:val="2"/>
          </w:tcPr>
          <w:p>
            <w:pPr>
              <w:jc w:val="center"/>
              <w:ind w:left="53"/>
              <w:spacing w:after="0"/>
              <w:rPr>
                <w:sz w:val="20"/>
                <w:szCs w:val="20"/>
                <w:color w:val="auto"/>
              </w:rPr>
            </w:pPr>
            <w:r>
              <w:rPr>
                <w:rFonts w:ascii="Arial" w:cs="Arial" w:eastAsia="Arial" w:hAnsi="Arial"/>
                <w:sz w:val="13"/>
                <w:szCs w:val="13"/>
                <w:color w:val="auto"/>
                <w:w w:val="95"/>
              </w:rPr>
              <w:t>03/02/2014</w:t>
            </w:r>
          </w:p>
        </w:tc>
        <w:tc>
          <w:tcPr>
            <w:tcW w:w="1660" w:type="dxa"/>
            <w:vAlign w:val="bottom"/>
          </w:tcPr>
          <w:p>
            <w:pPr>
              <w:jc w:val="center"/>
              <w:spacing w:after="0"/>
              <w:rPr>
                <w:sz w:val="20"/>
                <w:szCs w:val="20"/>
                <w:color w:val="auto"/>
              </w:rPr>
            </w:pPr>
            <w:r>
              <w:rPr>
                <w:rFonts w:ascii="Arial" w:cs="Arial" w:eastAsia="Arial" w:hAnsi="Arial"/>
                <w:sz w:val="13"/>
                <w:szCs w:val="13"/>
                <w:color w:val="auto"/>
                <w:w w:val="96"/>
              </w:rPr>
              <w:t>Printing and Publishing</w:t>
            </w:r>
          </w:p>
        </w:tc>
        <w:tc>
          <w:tcPr>
            <w:tcW w:w="960" w:type="dxa"/>
            <w:vAlign w:val="bottom"/>
          </w:tcPr>
          <w:p>
            <w:pPr>
              <w:jc w:val="right"/>
              <w:ind w:right="194"/>
              <w:spacing w:after="0"/>
              <w:rPr>
                <w:sz w:val="20"/>
                <w:szCs w:val="20"/>
                <w:color w:val="auto"/>
              </w:rPr>
            </w:pPr>
            <w:r>
              <w:rPr>
                <w:rFonts w:ascii="Arial" w:cs="Arial" w:eastAsia="Arial" w:hAnsi="Arial"/>
                <w:sz w:val="13"/>
                <w:szCs w:val="13"/>
                <w:color w:val="auto"/>
              </w:rPr>
              <w:t>4.71%</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L+200</w:t>
            </w:r>
          </w:p>
        </w:tc>
        <w:tc>
          <w:tcPr>
            <w:tcW w:w="980" w:type="dxa"/>
            <w:vAlign w:val="bottom"/>
            <w:gridSpan w:val="5"/>
          </w:tcPr>
          <w:p>
            <w:pPr>
              <w:jc w:val="right"/>
              <w:ind w:right="120"/>
              <w:spacing w:after="0"/>
              <w:rPr>
                <w:sz w:val="20"/>
                <w:szCs w:val="20"/>
                <w:color w:val="auto"/>
              </w:rPr>
            </w:pPr>
            <w:r>
              <w:rPr>
                <w:rFonts w:ascii="Arial" w:cs="Arial" w:eastAsia="Arial" w:hAnsi="Arial"/>
                <w:sz w:val="13"/>
                <w:szCs w:val="13"/>
                <w:color w:val="auto"/>
              </w:rPr>
              <w:t>985,000</w:t>
            </w:r>
          </w:p>
        </w:tc>
        <w:tc>
          <w:tcPr>
            <w:tcW w:w="960" w:type="dxa"/>
            <w:vAlign w:val="bottom"/>
            <w:gridSpan w:val="3"/>
          </w:tcPr>
          <w:p>
            <w:pPr>
              <w:jc w:val="right"/>
              <w:ind w:right="120"/>
              <w:spacing w:after="0"/>
              <w:rPr>
                <w:sz w:val="20"/>
                <w:szCs w:val="20"/>
                <w:color w:val="auto"/>
              </w:rPr>
            </w:pPr>
            <w:r>
              <w:rPr>
                <w:rFonts w:ascii="Arial" w:cs="Arial" w:eastAsia="Arial" w:hAnsi="Arial"/>
                <w:sz w:val="13"/>
                <w:szCs w:val="13"/>
                <w:color w:val="auto"/>
              </w:rPr>
              <w:t>985,000</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699,350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Rexnord , L.L.C.</w:t>
            </w:r>
          </w:p>
        </w:tc>
        <w:tc>
          <w:tcPr>
            <w:tcW w:w="980" w:type="dxa"/>
            <w:vAlign w:val="bottom"/>
            <w:gridSpan w:val="2"/>
            <w:shd w:val="clear" w:color="auto" w:fill="CCEEFF"/>
          </w:tcPr>
          <w:p>
            <w:pPr>
              <w:jc w:val="center"/>
              <w:ind w:left="53"/>
              <w:spacing w:after="0" w:line="138" w:lineRule="exact"/>
              <w:rPr>
                <w:sz w:val="20"/>
                <w:szCs w:val="20"/>
                <w:color w:val="auto"/>
              </w:rPr>
            </w:pPr>
            <w:r>
              <w:rPr>
                <w:rFonts w:ascii="Arial" w:cs="Arial" w:eastAsia="Arial" w:hAnsi="Arial"/>
                <w:sz w:val="13"/>
                <w:szCs w:val="13"/>
                <w:color w:val="auto"/>
                <w:w w:val="95"/>
              </w:rPr>
              <w:t>07/19/2013</w:t>
            </w:r>
          </w:p>
        </w:tc>
        <w:tc>
          <w:tcPr>
            <w:tcW w:w="1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Manufacturing/Basic</w:t>
            </w:r>
          </w:p>
        </w:tc>
        <w:tc>
          <w:tcPr>
            <w:tcW w:w="960" w:type="dxa"/>
            <w:vAlign w:val="bottom"/>
            <w:shd w:val="clear" w:color="auto" w:fill="CCEEFF"/>
          </w:tcPr>
          <w:p>
            <w:pPr>
              <w:jc w:val="right"/>
              <w:ind w:right="194"/>
              <w:spacing w:after="0" w:line="138" w:lineRule="exact"/>
              <w:rPr>
                <w:sz w:val="20"/>
                <w:szCs w:val="20"/>
                <w:color w:val="auto"/>
              </w:rPr>
            </w:pPr>
            <w:r>
              <w:rPr>
                <w:rFonts w:ascii="Arial" w:cs="Arial" w:eastAsia="Arial" w:hAnsi="Arial"/>
                <w:sz w:val="13"/>
                <w:szCs w:val="13"/>
                <w:color w:val="auto"/>
              </w:rPr>
              <w:t>5.76%</w:t>
            </w:r>
          </w:p>
        </w:tc>
        <w:tc>
          <w:tcPr>
            <w:tcW w:w="90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L+200</w:t>
            </w:r>
          </w:p>
        </w:tc>
        <w:tc>
          <w:tcPr>
            <w:tcW w:w="980" w:type="dxa"/>
            <w:vAlign w:val="bottom"/>
            <w:gridSpan w:val="5"/>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2,917,576</w:t>
            </w:r>
          </w:p>
        </w:tc>
        <w:tc>
          <w:tcPr>
            <w:tcW w:w="96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2,917,576</w:t>
            </w:r>
          </w:p>
        </w:tc>
        <w:tc>
          <w:tcPr>
            <w:tcW w:w="1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2,625,819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Industry</w:t>
            </w:r>
          </w:p>
        </w:tc>
        <w:tc>
          <w:tcPr>
            <w:tcW w:w="9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20"/>
                <w:szCs w:val="20"/>
                <w:color w:val="auto"/>
              </w:rPr>
            </w:pPr>
            <w:r>
              <w:rPr>
                <w:rFonts w:ascii="Arial" w:cs="Arial" w:eastAsia="Arial" w:hAnsi="Arial"/>
                <w:sz w:val="13"/>
                <w:szCs w:val="13"/>
                <w:color w:val="auto"/>
              </w:rPr>
              <w:t>Sitel, L.L.C.</w:t>
            </w:r>
          </w:p>
        </w:tc>
        <w:tc>
          <w:tcPr>
            <w:tcW w:w="980" w:type="dxa"/>
            <w:vAlign w:val="bottom"/>
            <w:gridSpan w:val="2"/>
          </w:tcPr>
          <w:p>
            <w:pPr>
              <w:jc w:val="center"/>
              <w:ind w:left="53"/>
              <w:spacing w:after="0"/>
              <w:rPr>
                <w:sz w:val="20"/>
                <w:szCs w:val="20"/>
                <w:color w:val="auto"/>
              </w:rPr>
            </w:pPr>
            <w:r>
              <w:rPr>
                <w:rFonts w:ascii="Arial" w:cs="Arial" w:eastAsia="Arial" w:hAnsi="Arial"/>
                <w:sz w:val="13"/>
                <w:szCs w:val="13"/>
                <w:color w:val="auto"/>
                <w:w w:val="95"/>
              </w:rPr>
              <w:t>01/30/2014</w:t>
            </w:r>
          </w:p>
        </w:tc>
        <w:tc>
          <w:tcPr>
            <w:tcW w:w="166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960" w:type="dxa"/>
            <w:vAlign w:val="bottom"/>
          </w:tcPr>
          <w:p>
            <w:pPr>
              <w:jc w:val="right"/>
              <w:ind w:right="194"/>
              <w:spacing w:after="0"/>
              <w:rPr>
                <w:sz w:val="20"/>
                <w:szCs w:val="20"/>
                <w:color w:val="auto"/>
              </w:rPr>
            </w:pPr>
            <w:r>
              <w:rPr>
                <w:rFonts w:ascii="Arial" w:cs="Arial" w:eastAsia="Arial" w:hAnsi="Arial"/>
                <w:sz w:val="13"/>
                <w:szCs w:val="13"/>
                <w:color w:val="auto"/>
              </w:rPr>
              <w:t>5.30%</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L+250</w:t>
            </w:r>
          </w:p>
        </w:tc>
        <w:tc>
          <w:tcPr>
            <w:tcW w:w="980" w:type="dxa"/>
            <w:vAlign w:val="bottom"/>
            <w:gridSpan w:val="5"/>
          </w:tcPr>
          <w:p>
            <w:pPr>
              <w:jc w:val="right"/>
              <w:ind w:right="120"/>
              <w:spacing w:after="0"/>
              <w:rPr>
                <w:sz w:val="20"/>
                <w:szCs w:val="20"/>
                <w:color w:val="auto"/>
              </w:rPr>
            </w:pPr>
            <w:r>
              <w:rPr>
                <w:rFonts w:ascii="Arial" w:cs="Arial" w:eastAsia="Arial" w:hAnsi="Arial"/>
                <w:sz w:val="13"/>
                <w:szCs w:val="13"/>
                <w:color w:val="auto"/>
              </w:rPr>
              <w:t>2,592,017</w:t>
            </w:r>
          </w:p>
        </w:tc>
        <w:tc>
          <w:tcPr>
            <w:tcW w:w="960" w:type="dxa"/>
            <w:vAlign w:val="bottom"/>
            <w:gridSpan w:val="3"/>
          </w:tcPr>
          <w:p>
            <w:pPr>
              <w:jc w:val="right"/>
              <w:ind w:right="120"/>
              <w:spacing w:after="0"/>
              <w:rPr>
                <w:sz w:val="20"/>
                <w:szCs w:val="20"/>
                <w:color w:val="auto"/>
              </w:rPr>
            </w:pPr>
            <w:r>
              <w:rPr>
                <w:rFonts w:ascii="Arial" w:cs="Arial" w:eastAsia="Arial" w:hAnsi="Arial"/>
                <w:sz w:val="13"/>
                <w:szCs w:val="13"/>
                <w:color w:val="auto"/>
              </w:rPr>
              <w:t>2,592,017</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1,892,172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Sitel, L.L.C.</w:t>
            </w:r>
          </w:p>
        </w:tc>
        <w:tc>
          <w:tcPr>
            <w:tcW w:w="980" w:type="dxa"/>
            <w:vAlign w:val="bottom"/>
            <w:gridSpan w:val="2"/>
            <w:shd w:val="clear" w:color="auto" w:fill="CCEEFF"/>
          </w:tcPr>
          <w:p>
            <w:pPr>
              <w:jc w:val="center"/>
              <w:ind w:left="53"/>
              <w:spacing w:after="0"/>
              <w:rPr>
                <w:sz w:val="20"/>
                <w:szCs w:val="20"/>
                <w:color w:val="auto"/>
              </w:rPr>
            </w:pPr>
            <w:r>
              <w:rPr>
                <w:rFonts w:ascii="Arial" w:cs="Arial" w:eastAsia="Arial" w:hAnsi="Arial"/>
                <w:sz w:val="13"/>
                <w:szCs w:val="13"/>
                <w:color w:val="auto"/>
                <w:w w:val="95"/>
              </w:rPr>
              <w:t>01/30/2014</w:t>
            </w: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6.50%</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P+150</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90,311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90,311</w:t>
            </w: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3"/>
                <w:szCs w:val="13"/>
                <w:b w:val="1"/>
                <w:bCs w:val="1"/>
                <w:color w:val="auto"/>
              </w:rPr>
              <w:t>Total First Lien Secured Debt</w:t>
            </w: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w w:val="99"/>
              </w:rPr>
              <w:t>106,271,980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w w:val="99"/>
              </w:rPr>
              <w:t>105,222,862</w:t>
            </w:r>
          </w:p>
        </w:tc>
        <w:tc>
          <w:tcPr>
            <w:tcW w:w="18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78,844,929</w:t>
            </w:r>
          </w:p>
        </w:tc>
        <w:tc>
          <w:tcPr>
            <w:tcW w:w="0" w:type="dxa"/>
            <w:vAlign w:val="bottom"/>
          </w:tcPr>
          <w:p>
            <w:pPr>
              <w:spacing w:after="0"/>
              <w:rPr>
                <w:sz w:val="1"/>
                <w:szCs w:val="1"/>
                <w:color w:val="auto"/>
              </w:rPr>
            </w:pPr>
          </w:p>
        </w:tc>
      </w:tr>
      <w:tr>
        <w:trPr>
          <w:trHeight w:val="136"/>
        </w:trPr>
        <w:tc>
          <w:tcPr>
            <w:tcW w:w="394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Investments in Non-Controlled, Non-Affiliated Portfolio</w:t>
            </w: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4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Companies</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9"/>
              </w:rPr>
              <w:t>427,481,745</w:t>
            </w:r>
          </w:p>
        </w:tc>
        <w:tc>
          <w:tcPr>
            <w:tcW w:w="18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354,261,950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jc w:val="center"/>
              <w:ind w:right="73"/>
              <w:spacing w:after="0"/>
              <w:rPr>
                <w:sz w:val="20"/>
                <w:szCs w:val="20"/>
                <w:color w:val="auto"/>
              </w:rPr>
            </w:pPr>
            <w:r>
              <w:rPr>
                <w:rFonts w:ascii="Arial" w:cs="Arial" w:eastAsia="Arial" w:hAnsi="Arial"/>
                <w:sz w:val="13"/>
                <w:szCs w:val="13"/>
                <w:b w:val="1"/>
                <w:bCs w:val="1"/>
                <w:color w:val="auto"/>
                <w:w w:val="93"/>
              </w:rPr>
              <w:t>Basis Point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jc w:val="center"/>
              <w:ind w:right="73"/>
              <w:spacing w:after="0"/>
              <w:rPr>
                <w:sz w:val="20"/>
                <w:szCs w:val="20"/>
                <w:color w:val="auto"/>
              </w:rPr>
            </w:pPr>
            <w:r>
              <w:rPr>
                <w:rFonts w:ascii="Arial" w:cs="Arial" w:eastAsia="Arial" w:hAnsi="Arial"/>
                <w:sz w:val="13"/>
                <w:szCs w:val="13"/>
                <w:b w:val="1"/>
                <w:bCs w:val="1"/>
                <w:color w:val="auto"/>
                <w:w w:val="95"/>
              </w:rPr>
              <w:t>Spread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jc w:val="right"/>
              <w:ind w:right="355"/>
              <w:spacing w:after="0" w:line="148" w:lineRule="exact"/>
              <w:rPr>
                <w:sz w:val="20"/>
                <w:szCs w:val="20"/>
                <w:color w:val="auto"/>
              </w:rPr>
            </w:pPr>
            <w:r>
              <w:rPr>
                <w:rFonts w:ascii="Arial" w:cs="Arial" w:eastAsia="Arial" w:hAnsi="Arial"/>
                <w:sz w:val="13"/>
                <w:szCs w:val="13"/>
                <w:b w:val="1"/>
                <w:bCs w:val="1"/>
                <w:color w:val="auto"/>
              </w:rPr>
              <w:t>Current</w:t>
            </w:r>
          </w:p>
        </w:tc>
        <w:tc>
          <w:tcPr>
            <w:tcW w:w="1120" w:type="dxa"/>
            <w:vAlign w:val="bottom"/>
          </w:tcPr>
          <w:p>
            <w:pPr>
              <w:jc w:val="center"/>
              <w:ind w:right="73"/>
              <w:spacing w:after="0" w:line="148" w:lineRule="exact"/>
              <w:rPr>
                <w:sz w:val="20"/>
                <w:szCs w:val="20"/>
                <w:color w:val="auto"/>
              </w:rPr>
            </w:pPr>
            <w:r>
              <w:rPr>
                <w:rFonts w:ascii="Arial" w:cs="Arial" w:eastAsia="Arial" w:hAnsi="Arial"/>
                <w:sz w:val="13"/>
                <w:szCs w:val="13"/>
                <w:b w:val="1"/>
                <w:bCs w:val="1"/>
                <w:color w:val="auto"/>
                <w:w w:val="95"/>
              </w:rPr>
              <w:t>Above</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w w:val="98"/>
              </w:rPr>
              <w:t>Value</w:t>
            </w:r>
            <w:r>
              <w:rPr>
                <w:rFonts w:ascii="Arial" w:cs="Arial" w:eastAsia="Arial" w:hAnsi="Arial"/>
                <w:sz w:val="22"/>
                <w:szCs w:val="22"/>
                <w:b w:val="1"/>
                <w:bCs w:val="1"/>
                <w:color w:val="auto"/>
                <w:w w:val="98"/>
                <w:vertAlign w:val="superscript"/>
              </w:rPr>
              <w:t>(3)</w:t>
            </w:r>
          </w:p>
        </w:tc>
        <w:tc>
          <w:tcPr>
            <w:tcW w:w="0" w:type="dxa"/>
            <w:vAlign w:val="bottom"/>
          </w:tcPr>
          <w:p>
            <w:pPr>
              <w:spacing w:after="0"/>
              <w:rPr>
                <w:sz w:val="1"/>
                <w:szCs w:val="1"/>
                <w:color w:val="auto"/>
              </w:rPr>
            </w:pPr>
          </w:p>
        </w:tc>
      </w:tr>
      <w:tr>
        <w:trPr>
          <w:trHeight w:val="189"/>
        </w:trPr>
        <w:tc>
          <w:tcPr>
            <w:tcW w:w="408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280" w:type="dxa"/>
            <w:vAlign w:val="bottom"/>
          </w:tcPr>
          <w:p>
            <w:pPr>
              <w:spacing w:after="0"/>
              <w:rPr>
                <w:sz w:val="16"/>
                <w:szCs w:val="16"/>
                <w:color w:val="auto"/>
              </w:rPr>
            </w:pPr>
          </w:p>
        </w:tc>
        <w:tc>
          <w:tcPr>
            <w:tcW w:w="780" w:type="dxa"/>
            <w:vAlign w:val="bottom"/>
          </w:tcPr>
          <w:p>
            <w:pPr>
              <w:jc w:val="center"/>
              <w:ind w:right="73"/>
              <w:spacing w:after="0"/>
              <w:rPr>
                <w:sz w:val="20"/>
                <w:szCs w:val="20"/>
                <w:color w:val="auto"/>
              </w:rPr>
            </w:pPr>
            <w:r>
              <w:rPr>
                <w:rFonts w:ascii="Arial" w:cs="Arial" w:eastAsia="Arial" w:hAnsi="Arial"/>
                <w:sz w:val="13"/>
                <w:szCs w:val="13"/>
                <w:b w:val="1"/>
                <w:bCs w:val="1"/>
                <w:color w:val="auto"/>
              </w:rPr>
              <w:t>Maturity</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040" w:type="dxa"/>
            <w:vAlign w:val="bottom"/>
          </w:tcPr>
          <w:p>
            <w:pPr>
              <w:jc w:val="right"/>
              <w:ind w:right="355"/>
              <w:spacing w:after="0"/>
              <w:rPr>
                <w:sz w:val="20"/>
                <w:szCs w:val="20"/>
                <w:color w:val="auto"/>
              </w:rPr>
            </w:pPr>
            <w:r>
              <w:rPr>
                <w:rFonts w:ascii="Arial" w:cs="Arial" w:eastAsia="Arial" w:hAnsi="Arial"/>
                <w:sz w:val="13"/>
                <w:szCs w:val="13"/>
                <w:b w:val="1"/>
                <w:bCs w:val="1"/>
                <w:color w:val="auto"/>
              </w:rPr>
              <w:t>Coupon</w:t>
            </w:r>
          </w:p>
        </w:tc>
        <w:tc>
          <w:tcPr>
            <w:tcW w:w="1120" w:type="dxa"/>
            <w:vAlign w:val="bottom"/>
          </w:tcPr>
          <w:p>
            <w:pPr>
              <w:jc w:val="center"/>
              <w:ind w:right="73"/>
              <w:spacing w:after="0" w:line="189" w:lineRule="exact"/>
              <w:rPr>
                <w:sz w:val="20"/>
                <w:szCs w:val="20"/>
                <w:color w:val="auto"/>
              </w:rPr>
            </w:pPr>
            <w:r>
              <w:rPr>
                <w:rFonts w:ascii="Arial" w:cs="Arial" w:eastAsia="Arial" w:hAnsi="Arial"/>
                <w:sz w:val="13"/>
                <w:szCs w:val="13"/>
                <w:b w:val="1"/>
                <w:bCs w:val="1"/>
                <w:color w:val="auto"/>
                <w:w w:val="91"/>
              </w:rPr>
              <w:t xml:space="preserve">Index </w:t>
            </w:r>
            <w:r>
              <w:rPr>
                <w:rFonts w:ascii="Arial" w:cs="Arial" w:eastAsia="Arial" w:hAnsi="Arial"/>
                <w:sz w:val="21"/>
                <w:szCs w:val="21"/>
                <w:b w:val="1"/>
                <w:bCs w:val="1"/>
                <w:color w:val="auto"/>
                <w:w w:val="91"/>
                <w:vertAlign w:val="superscript"/>
              </w:rPr>
              <w:t>(4)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4"/>
          </w:tcPr>
          <w:p>
            <w:pPr>
              <w:jc w:val="right"/>
              <w:ind w:right="520"/>
              <w:spacing w:after="0"/>
              <w:rPr>
                <w:sz w:val="20"/>
                <w:szCs w:val="20"/>
                <w:color w:val="auto"/>
              </w:rPr>
            </w:pPr>
            <w:r>
              <w:rPr>
                <w:rFonts w:ascii="Arial" w:cs="Arial" w:eastAsia="Arial" w:hAnsi="Arial"/>
                <w:sz w:val="13"/>
                <w:szCs w:val="13"/>
                <w:b w:val="1"/>
                <w:bCs w:val="1"/>
                <w:color w:val="auto"/>
                <w:w w:val="95"/>
              </w:rPr>
              <w:t>Par</w:t>
            </w:r>
          </w:p>
        </w:tc>
        <w:tc>
          <w:tcPr>
            <w:tcW w:w="80" w:type="dxa"/>
            <w:vAlign w:val="bottom"/>
          </w:tcPr>
          <w:p>
            <w:pPr>
              <w:spacing w:after="0"/>
              <w:rPr>
                <w:sz w:val="16"/>
                <w:szCs w:val="16"/>
                <w:color w:val="auto"/>
              </w:rPr>
            </w:pPr>
          </w:p>
        </w:tc>
        <w:tc>
          <w:tcPr>
            <w:tcW w:w="660" w:type="dxa"/>
            <w:vAlign w:val="bottom"/>
          </w:tcPr>
          <w:p>
            <w:pPr>
              <w:jc w:val="right"/>
              <w:ind w:right="173"/>
              <w:spacing w:after="0"/>
              <w:rPr>
                <w:sz w:val="20"/>
                <w:szCs w:val="20"/>
                <w:color w:val="auto"/>
              </w:rPr>
            </w:pPr>
            <w:r>
              <w:rPr>
                <w:rFonts w:ascii="Arial" w:cs="Arial" w:eastAsia="Arial" w:hAnsi="Arial"/>
                <w:sz w:val="13"/>
                <w:szCs w:val="13"/>
                <w:b w:val="1"/>
                <w:bCs w:val="1"/>
                <w:color w:val="auto"/>
              </w:rPr>
              <w:t>Cost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408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b w:val="1"/>
                <w:bCs w:val="1"/>
                <w:color w:val="auto"/>
              </w:rPr>
              <w:t>Investments in Non-Controlled, Affiliated</w:t>
            </w:r>
          </w:p>
        </w:tc>
        <w:tc>
          <w:tcPr>
            <w:tcW w:w="2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220"/>
              <w:spacing w:after="0" w:line="189" w:lineRule="exact"/>
              <w:rPr>
                <w:sz w:val="20"/>
                <w:szCs w:val="20"/>
                <w:color w:val="auto"/>
              </w:rPr>
            </w:pPr>
            <w:r>
              <w:rPr>
                <w:rFonts w:ascii="Arial" w:cs="Arial" w:eastAsia="Arial" w:hAnsi="Arial"/>
                <w:sz w:val="13"/>
                <w:szCs w:val="13"/>
                <w:b w:val="1"/>
                <w:bCs w:val="1"/>
                <w:color w:val="auto"/>
              </w:rPr>
              <w:t xml:space="preserve">Portfolio Companies—8.5% </w:t>
            </w:r>
            <w:r>
              <w:rPr>
                <w:rFonts w:ascii="Arial" w:cs="Arial" w:eastAsia="Arial" w:hAnsi="Arial"/>
                <w:sz w:val="21"/>
                <w:szCs w:val="21"/>
                <w:b w:val="1"/>
                <w:bCs w:val="1"/>
                <w:color w:val="auto"/>
                <w:vertAlign w:val="superscript"/>
              </w:rPr>
              <w:t>(1),(2)</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Subordinated Debt/Corporate Notes—2.1%</w:t>
            </w: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080" w:type="dxa"/>
            <w:vAlign w:val="bottom"/>
          </w:tcPr>
          <w:p>
            <w:pPr>
              <w:spacing w:after="0" w:line="138" w:lineRule="exact"/>
              <w:rPr>
                <w:sz w:val="20"/>
                <w:szCs w:val="20"/>
                <w:color w:val="auto"/>
              </w:rPr>
            </w:pPr>
            <w:r>
              <w:rPr>
                <w:rFonts w:ascii="Arial" w:cs="Arial" w:eastAsia="Arial" w:hAnsi="Arial"/>
                <w:sz w:val="13"/>
                <w:szCs w:val="13"/>
                <w:color w:val="auto"/>
              </w:rPr>
              <w:t>Performance Holdings, Inc.</w:t>
            </w:r>
          </w:p>
        </w:tc>
        <w:tc>
          <w:tcPr>
            <w:tcW w:w="1060" w:type="dxa"/>
            <w:vAlign w:val="bottom"/>
            <w:gridSpan w:val="2"/>
          </w:tcPr>
          <w:p>
            <w:pPr>
              <w:jc w:val="center"/>
              <w:ind w:left="73"/>
              <w:spacing w:after="0" w:line="138" w:lineRule="exact"/>
              <w:rPr>
                <w:sz w:val="20"/>
                <w:szCs w:val="20"/>
                <w:color w:val="auto"/>
              </w:rPr>
            </w:pPr>
            <w:r>
              <w:rPr>
                <w:rFonts w:ascii="Arial" w:cs="Arial" w:eastAsia="Arial" w:hAnsi="Arial"/>
                <w:sz w:val="13"/>
                <w:szCs w:val="13"/>
                <w:color w:val="auto"/>
                <w:w w:val="92"/>
              </w:rPr>
              <w:t>07/02/2014</w:t>
            </w:r>
          </w:p>
        </w:tc>
        <w:tc>
          <w:tcPr>
            <w:tcW w:w="1060" w:type="dxa"/>
            <w:vAlign w:val="bottom"/>
          </w:tcPr>
          <w:p>
            <w:pPr>
              <w:jc w:val="center"/>
              <w:spacing w:after="0" w:line="138" w:lineRule="exact"/>
              <w:rPr>
                <w:sz w:val="20"/>
                <w:szCs w:val="20"/>
                <w:color w:val="auto"/>
              </w:rPr>
            </w:pPr>
            <w:r>
              <w:rPr>
                <w:rFonts w:ascii="Arial" w:cs="Arial" w:eastAsia="Arial" w:hAnsi="Arial"/>
                <w:sz w:val="13"/>
                <w:szCs w:val="13"/>
                <w:color w:val="auto"/>
                <w:w w:val="95"/>
              </w:rPr>
              <w:t>Leisure,</w:t>
            </w:r>
          </w:p>
        </w:tc>
        <w:tc>
          <w:tcPr>
            <w:tcW w:w="1040" w:type="dxa"/>
            <w:vAlign w:val="bottom"/>
          </w:tcPr>
          <w:p>
            <w:pPr>
              <w:jc w:val="right"/>
              <w:ind w:right="115"/>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(6)</w:t>
            </w:r>
          </w:p>
        </w:tc>
        <w:tc>
          <w:tcPr>
            <w:tcW w:w="1120" w:type="dxa"/>
            <w:vAlign w:val="bottom"/>
          </w:tcPr>
          <w:p>
            <w:pPr>
              <w:ind w:left="620"/>
              <w:spacing w:after="0" w:line="138" w:lineRule="exact"/>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6"/>
          </w:tcPr>
          <w:p>
            <w:pPr>
              <w:jc w:val="right"/>
              <w:ind w:right="300"/>
              <w:spacing w:after="0" w:line="138" w:lineRule="exact"/>
              <w:rPr>
                <w:sz w:val="20"/>
                <w:szCs w:val="20"/>
                <w:color w:val="auto"/>
              </w:rPr>
            </w:pPr>
            <w:r>
              <w:rPr>
                <w:rFonts w:ascii="Arial" w:cs="Arial" w:eastAsia="Arial" w:hAnsi="Arial"/>
                <w:sz w:val="13"/>
                <w:szCs w:val="13"/>
                <w:color w:val="auto"/>
              </w:rPr>
              <w:t>4,414,356</w:t>
            </w:r>
          </w:p>
        </w:tc>
        <w:tc>
          <w:tcPr>
            <w:tcW w:w="80" w:type="dxa"/>
            <w:vAlign w:val="bottom"/>
          </w:tcPr>
          <w:p>
            <w:pPr>
              <w:jc w:val="right"/>
              <w:spacing w:after="0" w:line="138"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4,192,261</w:t>
            </w:r>
          </w:p>
        </w:tc>
        <w:tc>
          <w:tcPr>
            <w:tcW w:w="3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4,414,356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95"/>
              </w:rPr>
              <w:t>Amusement,</w:t>
            </w: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Motion</w:t>
            </w: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90"/>
              </w:rPr>
              <w:t>Pictures,</w:t>
            </w: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96"/>
              </w:rPr>
              <w:t>Entertainment</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Second Lien Secured Debt—4.0%</w:t>
            </w: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080" w:type="dxa"/>
            <w:vAlign w:val="bottom"/>
          </w:tcPr>
          <w:p>
            <w:pPr>
              <w:spacing w:after="0" w:line="138" w:lineRule="exact"/>
              <w:rPr>
                <w:sz w:val="20"/>
                <w:szCs w:val="20"/>
                <w:color w:val="auto"/>
              </w:rPr>
            </w:pPr>
            <w:r>
              <w:rPr>
                <w:rFonts w:ascii="Arial" w:cs="Arial" w:eastAsia="Arial" w:hAnsi="Arial"/>
                <w:sz w:val="13"/>
                <w:szCs w:val="13"/>
                <w:color w:val="auto"/>
              </w:rPr>
              <w:t>Performance, Inc.</w:t>
            </w:r>
          </w:p>
        </w:tc>
        <w:tc>
          <w:tcPr>
            <w:tcW w:w="1060" w:type="dxa"/>
            <w:vAlign w:val="bottom"/>
            <w:gridSpan w:val="2"/>
          </w:tcPr>
          <w:p>
            <w:pPr>
              <w:jc w:val="center"/>
              <w:ind w:left="73"/>
              <w:spacing w:after="0" w:line="138" w:lineRule="exact"/>
              <w:rPr>
                <w:sz w:val="20"/>
                <w:szCs w:val="20"/>
                <w:color w:val="auto"/>
              </w:rPr>
            </w:pPr>
            <w:r>
              <w:rPr>
                <w:rFonts w:ascii="Arial" w:cs="Arial" w:eastAsia="Arial" w:hAnsi="Arial"/>
                <w:sz w:val="13"/>
                <w:szCs w:val="13"/>
                <w:color w:val="auto"/>
                <w:w w:val="92"/>
              </w:rPr>
              <w:t>07/02/2013</w:t>
            </w:r>
          </w:p>
        </w:tc>
        <w:tc>
          <w:tcPr>
            <w:tcW w:w="1060" w:type="dxa"/>
            <w:vAlign w:val="bottom"/>
          </w:tcPr>
          <w:p>
            <w:pPr>
              <w:jc w:val="center"/>
              <w:spacing w:after="0" w:line="138" w:lineRule="exact"/>
              <w:rPr>
                <w:sz w:val="20"/>
                <w:szCs w:val="20"/>
                <w:color w:val="auto"/>
              </w:rPr>
            </w:pPr>
            <w:r>
              <w:rPr>
                <w:rFonts w:ascii="Arial" w:cs="Arial" w:eastAsia="Arial" w:hAnsi="Arial"/>
                <w:sz w:val="13"/>
                <w:szCs w:val="13"/>
                <w:color w:val="auto"/>
                <w:w w:val="95"/>
              </w:rPr>
              <w:t>Leisure,</w:t>
            </w:r>
          </w:p>
        </w:tc>
        <w:tc>
          <w:tcPr>
            <w:tcW w:w="1040" w:type="dxa"/>
            <w:vAlign w:val="bottom"/>
          </w:tcPr>
          <w:p>
            <w:pPr>
              <w:jc w:val="right"/>
              <w:ind w:right="235"/>
              <w:spacing w:after="0" w:line="138" w:lineRule="exact"/>
              <w:rPr>
                <w:sz w:val="20"/>
                <w:szCs w:val="20"/>
                <w:color w:val="auto"/>
              </w:rPr>
            </w:pPr>
            <w:r>
              <w:rPr>
                <w:rFonts w:ascii="Arial" w:cs="Arial" w:eastAsia="Arial" w:hAnsi="Arial"/>
                <w:sz w:val="13"/>
                <w:szCs w:val="13"/>
                <w:color w:val="auto"/>
              </w:rPr>
              <w:t>8.55%</w:t>
            </w:r>
          </w:p>
        </w:tc>
        <w:tc>
          <w:tcPr>
            <w:tcW w:w="1120" w:type="dxa"/>
            <w:vAlign w:val="bottom"/>
          </w:tcPr>
          <w:p>
            <w:pPr>
              <w:ind w:left="460"/>
              <w:spacing w:after="0" w:line="138" w:lineRule="exact"/>
              <w:rPr>
                <w:sz w:val="20"/>
                <w:szCs w:val="20"/>
                <w:color w:val="auto"/>
              </w:rPr>
            </w:pPr>
            <w:r>
              <w:rPr>
                <w:rFonts w:ascii="Arial" w:cs="Arial" w:eastAsia="Arial" w:hAnsi="Arial"/>
                <w:sz w:val="13"/>
                <w:szCs w:val="13"/>
                <w:color w:val="auto"/>
              </w:rPr>
              <w:t>L+575</w:t>
            </w:r>
          </w:p>
        </w:tc>
        <w:tc>
          <w:tcPr>
            <w:tcW w:w="60" w:type="dxa"/>
            <w:vAlign w:val="bottom"/>
          </w:tcPr>
          <w:p>
            <w:pPr>
              <w:spacing w:after="0"/>
              <w:rPr>
                <w:sz w:val="11"/>
                <w:szCs w:val="11"/>
                <w:color w:val="auto"/>
              </w:rPr>
            </w:pPr>
          </w:p>
        </w:tc>
        <w:tc>
          <w:tcPr>
            <w:tcW w:w="900" w:type="dxa"/>
            <w:vAlign w:val="bottom"/>
            <w:gridSpan w:val="6"/>
          </w:tcPr>
          <w:p>
            <w:pPr>
              <w:jc w:val="right"/>
              <w:ind w:right="300"/>
              <w:spacing w:after="0" w:line="138" w:lineRule="exact"/>
              <w:rPr>
                <w:sz w:val="20"/>
                <w:szCs w:val="20"/>
                <w:color w:val="auto"/>
              </w:rPr>
            </w:pPr>
            <w:r>
              <w:rPr>
                <w:rFonts w:ascii="Arial" w:cs="Arial" w:eastAsia="Arial" w:hAnsi="Arial"/>
                <w:sz w:val="13"/>
                <w:szCs w:val="13"/>
                <w:color w:val="auto"/>
              </w:rPr>
              <w:t>8,750,000</w:t>
            </w: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8,750,000</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8,347,500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95"/>
              </w:rPr>
              <w:t>Amusement</w:t>
            </w: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Motion</w:t>
            </w: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90"/>
              </w:rPr>
              <w:t>Pictures,</w:t>
            </w: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96"/>
              </w:rPr>
              <w:t>Entertainment</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4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w w:val="87"/>
              </w:rPr>
              <w:t>Shares</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80" w:type="dxa"/>
            <w:vAlign w:val="bottom"/>
            <w:shd w:val="clear" w:color="auto" w:fill="CCEEFF"/>
          </w:tcPr>
          <w:p>
            <w:pPr>
              <w:spacing w:after="0" w:line="142" w:lineRule="exact"/>
              <w:rPr>
                <w:sz w:val="20"/>
                <w:szCs w:val="20"/>
                <w:color w:val="auto"/>
              </w:rPr>
            </w:pPr>
            <w:r>
              <w:rPr>
                <w:rFonts w:ascii="Arial" w:cs="Arial" w:eastAsia="Arial" w:hAnsi="Arial"/>
                <w:sz w:val="10"/>
                <w:szCs w:val="10"/>
                <w:b w:val="1"/>
                <w:bCs w:val="1"/>
                <w:color w:val="auto"/>
              </w:rPr>
              <w:t>Common Equity/Partnership Interest</w:t>
            </w:r>
            <w:r>
              <w:rPr>
                <w:rFonts w:ascii="Arial" w:cs="Arial" w:eastAsia="Arial" w:hAnsi="Arial"/>
                <w:sz w:val="16"/>
                <w:szCs w:val="16"/>
                <w:b w:val="1"/>
                <w:bCs w:val="1"/>
                <w:color w:val="auto"/>
                <w:vertAlign w:val="superscript"/>
              </w:rPr>
              <w:t>(7)</w:t>
            </w:r>
            <w:r>
              <w:rPr>
                <w:rFonts w:ascii="Arial" w:cs="Arial" w:eastAsia="Arial" w:hAnsi="Arial"/>
                <w:sz w:val="10"/>
                <w:szCs w:val="10"/>
                <w:b w:val="1"/>
                <w:bCs w:val="1"/>
                <w:color w:val="auto"/>
              </w:rPr>
              <w:t>—2.4%</w:t>
            </w: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080" w:type="dxa"/>
            <w:vAlign w:val="bottom"/>
          </w:tcPr>
          <w:p>
            <w:pPr>
              <w:spacing w:after="0" w:line="138" w:lineRule="exact"/>
              <w:rPr>
                <w:sz w:val="20"/>
                <w:szCs w:val="20"/>
                <w:color w:val="auto"/>
              </w:rPr>
            </w:pPr>
            <w:r>
              <w:rPr>
                <w:rFonts w:ascii="Arial" w:cs="Arial" w:eastAsia="Arial" w:hAnsi="Arial"/>
                <w:sz w:val="13"/>
                <w:szCs w:val="13"/>
                <w:color w:val="auto"/>
              </w:rPr>
              <w:t>NCP-Performance (Performance Holdings, Inc.)</w:t>
            </w:r>
          </w:p>
        </w:tc>
        <w:tc>
          <w:tcPr>
            <w:tcW w:w="280" w:type="dxa"/>
            <w:vAlign w:val="bottom"/>
          </w:tcPr>
          <w:p>
            <w:pPr>
              <w:spacing w:after="0"/>
              <w:rPr>
                <w:sz w:val="11"/>
                <w:szCs w:val="11"/>
                <w:color w:val="auto"/>
              </w:rPr>
            </w:pPr>
          </w:p>
        </w:tc>
        <w:tc>
          <w:tcPr>
            <w:tcW w:w="780" w:type="dxa"/>
            <w:vAlign w:val="bottom"/>
          </w:tcPr>
          <w:p>
            <w:pPr>
              <w:ind w:left="420"/>
              <w:spacing w:after="0" w:line="138" w:lineRule="exact"/>
              <w:rPr>
                <w:sz w:val="20"/>
                <w:szCs w:val="20"/>
                <w:color w:val="auto"/>
              </w:rPr>
            </w:pPr>
            <w:r>
              <w:rPr>
                <w:rFonts w:ascii="Arial" w:cs="Arial" w:eastAsia="Arial" w:hAnsi="Arial"/>
                <w:sz w:val="13"/>
                <w:szCs w:val="13"/>
                <w:color w:val="auto"/>
              </w:rPr>
              <w:t>—</w:t>
            </w:r>
          </w:p>
        </w:tc>
        <w:tc>
          <w:tcPr>
            <w:tcW w:w="1060" w:type="dxa"/>
            <w:vAlign w:val="bottom"/>
          </w:tcPr>
          <w:p>
            <w:pPr>
              <w:jc w:val="center"/>
              <w:spacing w:after="0" w:line="138" w:lineRule="exact"/>
              <w:rPr>
                <w:sz w:val="20"/>
                <w:szCs w:val="20"/>
                <w:color w:val="auto"/>
              </w:rPr>
            </w:pPr>
            <w:r>
              <w:rPr>
                <w:rFonts w:ascii="Arial" w:cs="Arial" w:eastAsia="Arial" w:hAnsi="Arial"/>
                <w:sz w:val="13"/>
                <w:szCs w:val="13"/>
                <w:color w:val="auto"/>
                <w:w w:val="95"/>
              </w:rPr>
              <w:t>Leisure,</w:t>
            </w:r>
          </w:p>
        </w:tc>
        <w:tc>
          <w:tcPr>
            <w:tcW w:w="1040" w:type="dxa"/>
            <w:vAlign w:val="bottom"/>
          </w:tcPr>
          <w:p>
            <w:pPr>
              <w:jc w:val="right"/>
              <w:ind w:right="415"/>
              <w:spacing w:after="0" w:line="138" w:lineRule="exact"/>
              <w:rPr>
                <w:sz w:val="20"/>
                <w:szCs w:val="20"/>
                <w:color w:val="auto"/>
              </w:rPr>
            </w:pPr>
            <w:r>
              <w:rPr>
                <w:rFonts w:ascii="Arial" w:cs="Arial" w:eastAsia="Arial" w:hAnsi="Arial"/>
                <w:sz w:val="13"/>
                <w:szCs w:val="13"/>
                <w:color w:val="auto"/>
              </w:rPr>
              <w:t>—</w:t>
            </w:r>
          </w:p>
        </w:tc>
        <w:tc>
          <w:tcPr>
            <w:tcW w:w="1120" w:type="dxa"/>
            <w:vAlign w:val="bottom"/>
          </w:tcPr>
          <w:p>
            <w:pPr>
              <w:ind w:left="620"/>
              <w:spacing w:after="0" w:line="13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00" w:type="dxa"/>
            <w:vAlign w:val="bottom"/>
            <w:gridSpan w:val="6"/>
          </w:tcPr>
          <w:p>
            <w:pPr>
              <w:jc w:val="right"/>
              <w:ind w:right="300"/>
              <w:spacing w:after="0" w:line="138" w:lineRule="exact"/>
              <w:rPr>
                <w:sz w:val="20"/>
                <w:szCs w:val="20"/>
                <w:color w:val="auto"/>
              </w:rPr>
            </w:pPr>
            <w:r>
              <w:rPr>
                <w:rFonts w:ascii="Arial" w:cs="Arial" w:eastAsia="Arial" w:hAnsi="Arial"/>
                <w:sz w:val="13"/>
                <w:szCs w:val="13"/>
                <w:color w:val="auto"/>
              </w:rPr>
              <w:t>37,500</w:t>
            </w: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3,750,000</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5,124,014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95"/>
              </w:rPr>
              <w:t>Amusement,</w:t>
            </w: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Motion</w:t>
            </w: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90"/>
              </w:rPr>
              <w:t>Pictures,</w:t>
            </w: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96"/>
              </w:rPr>
              <w:t>Entertainment</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Investments in Non-Controlled, Affiliated Portfolio Companies</w:t>
            </w: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16,692,261</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17,885,870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80" w:type="dxa"/>
            <w:vAlign w:val="bottom"/>
          </w:tcPr>
          <w:p>
            <w:pPr>
              <w:spacing w:after="0"/>
              <w:rPr>
                <w:sz w:val="20"/>
                <w:szCs w:val="20"/>
                <w:color w:val="auto"/>
              </w:rPr>
            </w:pPr>
            <w:r>
              <w:rPr>
                <w:rFonts w:ascii="Arial" w:cs="Arial" w:eastAsia="Arial" w:hAnsi="Arial"/>
                <w:sz w:val="13"/>
                <w:szCs w:val="13"/>
                <w:color w:val="auto"/>
              </w:rPr>
              <w:t>Total Investments—176.6%</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u w:val="single" w:color="auto"/>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88"/>
              </w:rPr>
              <w:t>444,174,006</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w w:val="96"/>
              </w:rPr>
              <w:t>372,147,820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4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right"/>
              <w:ind w:right="520"/>
              <w:spacing w:after="0"/>
              <w:rPr>
                <w:sz w:val="20"/>
                <w:szCs w:val="20"/>
                <w:color w:val="auto"/>
              </w:rPr>
            </w:pPr>
            <w:r>
              <w:rPr>
                <w:rFonts w:ascii="Arial" w:cs="Arial" w:eastAsia="Arial" w:hAnsi="Arial"/>
                <w:sz w:val="13"/>
                <w:szCs w:val="13"/>
                <w:b w:val="1"/>
                <w:bCs w:val="1"/>
                <w:color w:val="auto"/>
                <w:w w:val="95"/>
              </w:rPr>
              <w:t>Par</w:t>
            </w: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8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Equivalents—19.1%</w:t>
            </w: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20"/>
                <w:szCs w:val="20"/>
                <w:color w:val="auto"/>
              </w:rPr>
            </w:pPr>
            <w:r>
              <w:rPr>
                <w:rFonts w:ascii="Arial" w:cs="Arial" w:eastAsia="Arial" w:hAnsi="Arial"/>
                <w:sz w:val="13"/>
                <w:szCs w:val="13"/>
                <w:color w:val="auto"/>
              </w:rPr>
              <w:t>Money Market—Mutual Funds</w:t>
            </w: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jc w:val="right"/>
              <w:ind w:right="415"/>
              <w:spacing w:after="0"/>
              <w:rPr>
                <w:sz w:val="20"/>
                <w:szCs w:val="20"/>
                <w:color w:val="auto"/>
              </w:rPr>
            </w:pPr>
            <w:r>
              <w:rPr>
                <w:rFonts w:ascii="Arial" w:cs="Arial" w:eastAsia="Arial" w:hAnsi="Arial"/>
                <w:sz w:val="13"/>
                <w:szCs w:val="13"/>
                <w:color w:val="auto"/>
              </w:rPr>
              <w:t>—</w:t>
            </w:r>
          </w:p>
        </w:tc>
        <w:tc>
          <w:tcPr>
            <w:tcW w:w="1120" w:type="dxa"/>
            <w:vAlign w:val="bottom"/>
          </w:tcPr>
          <w:p>
            <w:pPr>
              <w:ind w:left="62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900" w:type="dxa"/>
            <w:vAlign w:val="bottom"/>
            <w:gridSpan w:val="6"/>
          </w:tcPr>
          <w:p>
            <w:pPr>
              <w:jc w:val="right"/>
              <w:ind w:right="300"/>
              <w:spacing w:after="0"/>
              <w:rPr>
                <w:sz w:val="20"/>
                <w:szCs w:val="20"/>
                <w:color w:val="auto"/>
              </w:rPr>
            </w:pPr>
            <w:r>
              <w:rPr>
                <w:rFonts w:ascii="Arial" w:cs="Arial" w:eastAsia="Arial" w:hAnsi="Arial"/>
                <w:sz w:val="13"/>
                <w:szCs w:val="13"/>
                <w:color w:val="auto"/>
                <w:w w:val="89"/>
              </w:rPr>
              <w:t>40,249,201</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40,249,201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40,249,201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Cash Equivalents</w:t>
            </w: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6"/>
            <w:shd w:val="clear" w:color="auto" w:fill="CCEEFF"/>
          </w:tcPr>
          <w:p>
            <w:pPr>
              <w:jc w:val="right"/>
              <w:ind w:right="300"/>
              <w:spacing w:after="0"/>
              <w:rPr>
                <w:sz w:val="20"/>
                <w:szCs w:val="20"/>
                <w:color w:val="auto"/>
              </w:rPr>
            </w:pPr>
            <w:r>
              <w:rPr>
                <w:rFonts w:ascii="Arial" w:cs="Arial" w:eastAsia="Arial" w:hAnsi="Arial"/>
                <w:sz w:val="13"/>
                <w:szCs w:val="13"/>
                <w:color w:val="auto"/>
                <w:w w:val="89"/>
              </w:rPr>
              <w:t>40,249,201</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40,249,201</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40,249,201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080" w:type="dxa"/>
            <w:vAlign w:val="bottom"/>
          </w:tcPr>
          <w:p>
            <w:pPr>
              <w:spacing w:after="0"/>
              <w:rPr>
                <w:sz w:val="20"/>
                <w:szCs w:val="20"/>
                <w:color w:val="auto"/>
              </w:rPr>
            </w:pPr>
            <w:r>
              <w:rPr>
                <w:rFonts w:ascii="Arial" w:cs="Arial" w:eastAsia="Arial" w:hAnsi="Arial"/>
                <w:sz w:val="13"/>
                <w:szCs w:val="13"/>
                <w:b w:val="1"/>
                <w:bCs w:val="1"/>
                <w:color w:val="auto"/>
              </w:rPr>
              <w:t>Total Investments and Cash Equivalents—195.7%</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u w:val="single" w:color="auto"/>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8"/>
              </w:rPr>
              <w:t>484,423,207</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412,397,021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Liabilities in Excess of Other Assets—(95.7%)</w:t>
            </w: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1"/>
              </w:rPr>
              <w:t>(201,668,761)</w:t>
            </w:r>
          </w:p>
        </w:tc>
        <w:tc>
          <w:tcPr>
            <w:tcW w:w="0" w:type="dxa"/>
            <w:vAlign w:val="bottom"/>
          </w:tcPr>
          <w:p>
            <w:pPr>
              <w:spacing w:after="0"/>
              <w:rPr>
                <w:sz w:val="1"/>
                <w:szCs w:val="1"/>
                <w:color w:val="auto"/>
              </w:rPr>
            </w:pPr>
          </w:p>
        </w:tc>
      </w:tr>
      <w:tr>
        <w:trPr>
          <w:trHeight w:val="155"/>
        </w:trPr>
        <w:tc>
          <w:tcPr>
            <w:tcW w:w="4080" w:type="dxa"/>
            <w:vAlign w:val="bottom"/>
          </w:tcPr>
          <w:p>
            <w:pPr>
              <w:spacing w:after="0"/>
              <w:rPr>
                <w:sz w:val="20"/>
                <w:szCs w:val="20"/>
                <w:color w:val="auto"/>
              </w:rPr>
            </w:pPr>
            <w:r>
              <w:rPr>
                <w:rFonts w:ascii="Arial" w:cs="Arial" w:eastAsia="Arial" w:hAnsi="Arial"/>
                <w:sz w:val="13"/>
                <w:szCs w:val="13"/>
                <w:b w:val="1"/>
                <w:bCs w:val="1"/>
                <w:color w:val="auto"/>
              </w:rPr>
              <w:t>Net Assets—100.0%</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210,728,260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12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34" w:lineRule="exact"/>
        <w:rPr>
          <w:sz w:val="20"/>
          <w:szCs w:val="20"/>
          <w:color w:val="auto"/>
        </w:rPr>
      </w:pPr>
    </w:p>
    <w:p>
      <w:pPr>
        <w:ind w:left="460" w:right="80" w:hanging="452"/>
        <w:spacing w:after="0" w:line="254"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used in this Schedule of Investments and in accordance with the Investment Company Act of 1940 (the “1940 Act”) “non-controlled” means we own less than 25% of a portfolio company’s voting securities.</w:t>
      </w:r>
    </w:p>
    <w:p>
      <w:pPr>
        <w:ind w:left="460" w:right="42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used in this Schedule of Investments and in accordance with the 1940 Act “non-affiliated” means we own less than 5% of a portfolio company’s voting securities and “affiliated” means that we own more than 5% of a portfolio company’s voting securities.</w:t>
      </w: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Valued based on our accounting policy (see Note 2 to our financial statements).</w:t>
      </w:r>
    </w:p>
    <w:p>
      <w:pPr>
        <w:spacing w:after="0" w:line="9"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floating rate instruments that accrue interest at a predetermined spread relative to an index, typically the applicable London Interbank Offer Rate (LIBOR or “L”) or Prime Rate (Prime or “P”).</w:t>
      </w:r>
    </w:p>
    <w:p>
      <w:pPr>
        <w:ind w:left="460" w:right="14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Security is exempt from registration under Rule 144A promulgated under the Securities Act of 1933. The security may be resold in transactions that are exempt from registration, normally to qualified institutional buyers.</w:t>
      </w: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Coupon payable in cash and/or payment-in-kind (“PIK”).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Non-income producing.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459"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Except where the context suggests otherwise, the terms “we,” “us,” “our” and “PennantPark Investment” refer to PennantPark Investment Corporation.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77"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PennantPark Investment Corporation was organized as a Maryland corporation on January 11, 2007. PennantPark Investment’s objective is to generate both current income and capital appreciation through debt and equity investments. PennantPark Investment invests primarily in U.S. middle-market companies in the form of mezzanine debt, senior secured loans and equity investments. Before the completion of its initial public offering on April 24, 2007, PennantPark Investment had limited operations other than the sale and issuance of 80,000 shares of common stock at a price of $15.00 per share to PennantPark Investment Advisers, LLC (the “Investment Adviser” or “PennantPark Investment Advisers”), resulting in net proceeds of $1.2 million, and the purchase of first lien secured debt.</w:t>
      </w:r>
    </w:p>
    <w:p>
      <w:pPr>
        <w:spacing w:after="0" w:line="144"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the Investment Adviser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and elected to purchase 625,000 shares of common stock at a price of $15.00 per share, resulting in net proceeds of $8.8 million.</w:t>
      </w:r>
    </w:p>
    <w:p>
      <w:pPr>
        <w:spacing w:after="0" w:line="120" w:lineRule="exact"/>
        <w:rPr>
          <w:sz w:val="20"/>
          <w:szCs w:val="20"/>
          <w:color w:val="auto"/>
        </w:rPr>
      </w:pPr>
    </w:p>
    <w:p>
      <w:pPr>
        <w:jc w:val="both"/>
        <w:ind w:right="180" w:firstLine="449"/>
        <w:spacing w:after="0" w:line="256" w:lineRule="auto"/>
        <w:rPr>
          <w:sz w:val="20"/>
          <w:szCs w:val="20"/>
          <w:color w:val="auto"/>
        </w:rPr>
      </w:pPr>
      <w:r>
        <w:rPr>
          <w:rFonts w:ascii="Arial" w:cs="Arial" w:eastAsia="Arial" w:hAnsi="Arial"/>
          <w:sz w:val="18"/>
          <w:szCs w:val="18"/>
          <w:color w:val="auto"/>
        </w:rPr>
        <w:t>On September 29, 2009 PennantPark Investment closed a secondary public offering and sold 4,300,000 shares of common stock at a price of $8.00 per share, resulting in proceeds of $32.5 million. On October 13, 2009, the underwriters of the secondary offering exercised their over-allotment option under the underwriting agreement and elected to purchase an additional 440,000 shares of common stock at a price of $8.00 per share resulting in net proceeds of $3.3 million.</w:t>
      </w:r>
    </w:p>
    <w:p>
      <w:pPr>
        <w:spacing w:after="0" w:line="143"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 consolidated financial statements, for the period from January 11, 2007 (inception) through September 30, 2007, include the accounts of PennantPark Investment and its wholly owned special purpose subsidiary, Pennant SPV Company, LLC (“Pennant SPV”) a Delaware corporation. On April 24, 2007, Pennant SPV transferred all of its assets to PennantPark Investment.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77"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reported amount of assets and liabilities at the date of the financial statements and the reported amounts of income and expenses during the reported period. Actual results could differ from these estimates. Certain prior period amounts have been reclassified to conform to current period presentation.</w:t>
      </w:r>
    </w:p>
    <w:p>
      <w:pPr>
        <w:spacing w:after="0" w:line="143"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The financial statements are prepared in accordance with GAAP and pursuant to the requirements for reporting on Form 10-K and Article 6 or 10 of Regulation S-X, as appropriate. In accordance with Article 6-09 of Regulation S-X under the Exchange Act, we are providing a Statement of Changes in Net Assets in lieu of a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71"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 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valuation methods include, but are not limited to,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 to the financial statements.</w:t>
      </w:r>
    </w:p>
    <w:p>
      <w:pPr>
        <w:spacing w:after="0" w:line="125" w:lineRule="exact"/>
        <w:rPr>
          <w:sz w:val="20"/>
          <w:szCs w:val="20"/>
          <w:color w:val="auto"/>
        </w:rPr>
      </w:pPr>
    </w:p>
    <w:p>
      <w:pPr>
        <w:ind w:right="200" w:firstLine="449"/>
        <w:spacing w:after="0" w:line="331" w:lineRule="auto"/>
        <w:rPr>
          <w:sz w:val="20"/>
          <w:szCs w:val="20"/>
          <w:color w:val="auto"/>
        </w:rPr>
      </w:pPr>
      <w:r>
        <w:rPr>
          <w:rFonts w:ascii="Arial" w:cs="Arial" w:eastAsia="Arial" w:hAnsi="Arial"/>
          <w:sz w:val="16"/>
          <w:szCs w:val="16"/>
          <w:color w:val="auto"/>
        </w:rPr>
        <w:t>With respect to investments for which market quotations are not readily available, or are readily available but are deemed by our board of directors not reflective of the fair value of the investment, our board of directors undertakes a multi-step valuation process each quarter, as described below:</w:t>
      </w:r>
    </w:p>
    <w:p>
      <w:pPr>
        <w:spacing w:after="0" w:line="6" w:lineRule="exact"/>
        <w:rPr>
          <w:sz w:val="20"/>
          <w:szCs w:val="20"/>
          <w:color w:val="auto"/>
        </w:rPr>
      </w:pPr>
    </w:p>
    <w:p>
      <w:pPr>
        <w:ind w:left="900" w:right="300" w:hanging="447"/>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ectPr>
          <w:pgSz w:w="11900" w:h="16838" w:orient="portrait"/>
          <w:cols w:equalWidth="0" w:num="1">
            <w:col w:w="11240"/>
          </w:cols>
          <w:pgMar w:left="320" w:top="459" w:right="339" w:bottom="1095"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40"/>
          </w:cols>
          <w:pgMar w:left="320" w:top="459" w:right="339" w:bottom="1095"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2009</w:t>
      </w:r>
    </w:p>
    <w:p>
      <w:pPr>
        <w:spacing w:after="0" w:line="151" w:lineRule="exact"/>
        <w:rPr>
          <w:sz w:val="20"/>
          <w:szCs w:val="20"/>
          <w:color w:val="auto"/>
        </w:rPr>
      </w:pPr>
    </w:p>
    <w:p>
      <w:pPr>
        <w:ind w:left="900" w:hanging="447"/>
        <w:spacing w:after="0" w:line="256"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1" w:lineRule="exact"/>
        <w:rPr>
          <w:rFonts w:ascii="Arial" w:cs="Arial" w:eastAsia="Arial" w:hAnsi="Arial"/>
          <w:sz w:val="18"/>
          <w:szCs w:val="18"/>
          <w:color w:val="auto"/>
        </w:rPr>
      </w:pPr>
    </w:p>
    <w:p>
      <w:pPr>
        <w:ind w:left="900" w:right="120" w:hanging="447"/>
        <w:spacing w:after="0" w:line="331"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 w:lineRule="exact"/>
        <w:rPr>
          <w:rFonts w:ascii="Arial" w:cs="Arial" w:eastAsia="Arial" w:hAnsi="Arial"/>
          <w:sz w:val="16"/>
          <w:szCs w:val="16"/>
          <w:color w:val="auto"/>
        </w:rPr>
      </w:pPr>
    </w:p>
    <w:p>
      <w:pPr>
        <w:ind w:left="900" w:right="80" w:hanging="447"/>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171"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values during the reporting period, including any reversal of previously recorded unrealized appreciation or depreciation, when gains or losses are realized.</w:t>
      </w:r>
    </w:p>
    <w:p>
      <w:pPr>
        <w:spacing w:after="0" w:line="147" w:lineRule="exact"/>
        <w:rPr>
          <w:sz w:val="20"/>
          <w:szCs w:val="20"/>
          <w:color w:val="auto"/>
        </w:rPr>
      </w:pPr>
    </w:p>
    <w:p>
      <w:pPr>
        <w:ind w:right="20" w:firstLine="449"/>
        <w:spacing w:after="0" w:line="314" w:lineRule="auto"/>
        <w:rPr>
          <w:sz w:val="20"/>
          <w:szCs w:val="20"/>
          <w:color w:val="auto"/>
        </w:rPr>
      </w:pPr>
      <w:r>
        <w:rPr>
          <w:rFonts w:ascii="Arial" w:cs="Arial" w:eastAsia="Arial" w:hAnsi="Arial"/>
          <w:sz w:val="15"/>
          <w:szCs w:val="15"/>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investments as interest income. Dividend income, if any, is recognized on an accrual basis on the ex-dividend date to the extent that we expect to collect such amounts.</w:t>
      </w:r>
    </w:p>
    <w:p>
      <w:pPr>
        <w:spacing w:after="0" w:line="104" w:lineRule="exact"/>
        <w:rPr>
          <w:sz w:val="20"/>
          <w:szCs w:val="20"/>
          <w:color w:val="auto"/>
        </w:rPr>
      </w:pPr>
    </w:p>
    <w:p>
      <w:pPr>
        <w:ind w:right="240" w:firstLine="449"/>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Income Taxes</w:t>
      </w:r>
    </w:p>
    <w:p>
      <w:pPr>
        <w:spacing w:after="0" w:line="171"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Since May 1, 2007, PennantPark Investment has complied with the requirements of Subchapter M of the Internal Revenue Code of 1986, as amended, (the “Code”) and expects to be subject to tax as a regulated investment company, or “RIC”. As a RIC, PennantPark Investment accounts for income taxes using the asset liability method prescribed by ASC 740 (formerly known as FASB Statement No. 109), “Income Taxes.”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corporate-level taxes in the future. PennantPark Investment recognizes in its financial statements the effect of a tax position when it is more likely than not, based on the technical merits, that the position will be sustained upon examination. We did not have any uncertain tax positions that met the recognition or measurement criteria of ASC 740-10-25 (formerly known as FASB Interpretation No. 48, Accounting for Uncertainty in Income Taxes) nor did we have any unrecognized tax benefits as of September 30, 2007, 2008 or 2009. Although we file federal and state tax returns, our major tax jurisdiction is federal. Our 2007 to 2009 federal tax years remain subject to examination by the Internal Revenue Service. See Note 7 to the financial statements.</w:t>
      </w:r>
    </w:p>
    <w:p>
      <w:pPr>
        <w:sectPr>
          <w:pgSz w:w="11900" w:h="16838" w:orient="portrait"/>
          <w:cols w:equalWidth="0" w:num="1">
            <w:col w:w="11240"/>
          </w:cols>
          <w:pgMar w:left="320" w:top="459" w:right="339" w:bottom="1440" w:gutter="0" w:footer="0" w:header="0"/>
        </w:sectPr>
      </w:pPr>
    </w:p>
    <w:bookmarkStart w:id="79" w:name="page80"/>
    <w:bookmarkEnd w:id="79"/>
    <w:p>
      <w:pPr>
        <w:ind w:left="460"/>
        <w:spacing w:after="0"/>
        <w:rPr>
          <w:sz w:val="20"/>
          <w:szCs w:val="20"/>
          <w:color w:val="auto"/>
        </w:rPr>
      </w:pPr>
      <w:r>
        <w:rPr>
          <w:rFonts w:ascii="Arial" w:cs="Arial" w:eastAsia="Arial" w:hAnsi="Arial"/>
          <w:sz w:val="18"/>
          <w:szCs w:val="18"/>
          <w:b w:val="1"/>
          <w:bCs w:val="1"/>
          <w:i w:val="1"/>
          <w:iCs w:val="1"/>
          <w:color w:val="auto"/>
        </w:rPr>
        <w:t>(d) Dividends, Distributions, and Capital Transactions</w:t>
      </w:r>
    </w:p>
    <w:p>
      <w:pPr>
        <w:spacing w:after="0" w:line="171" w:lineRule="exact"/>
        <w:rPr>
          <w:sz w:val="20"/>
          <w:szCs w:val="20"/>
          <w:color w:val="auto"/>
        </w:rPr>
      </w:pPr>
    </w:p>
    <w:p>
      <w:pPr>
        <w:jc w:val="both"/>
        <w:ind w:right="80" w:firstLine="449"/>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 New Accounting Pronouncements and Accounting Standards Updates</w:t>
      </w:r>
    </w:p>
    <w:p>
      <w:pPr>
        <w:spacing w:after="0" w:line="171" w:lineRule="exact"/>
        <w:rPr>
          <w:sz w:val="20"/>
          <w:szCs w:val="20"/>
          <w:color w:val="auto"/>
        </w:rPr>
      </w:pPr>
    </w:p>
    <w:p>
      <w:pPr>
        <w:ind w:right="80" w:firstLine="449"/>
        <w:spacing w:after="0" w:line="290" w:lineRule="auto"/>
        <w:rPr>
          <w:sz w:val="20"/>
          <w:szCs w:val="20"/>
          <w:color w:val="auto"/>
        </w:rPr>
      </w:pPr>
      <w:r>
        <w:rPr>
          <w:rFonts w:ascii="Arial" w:cs="Arial" w:eastAsia="Arial" w:hAnsi="Arial"/>
          <w:sz w:val="16"/>
          <w:szCs w:val="16"/>
          <w:color w:val="auto"/>
        </w:rPr>
        <w:t xml:space="preserve">In September 2006, FASB issued SFAS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which clarifies the definition of fair value and requires companies to expand their disclosure about the use of fair value to measure assets and liabilities in interim and annual periods subsequent to initial recognition. With adoption of the Accounting Standards Codification in September 2009, or ASC, references to authoritative accounting literature refer to the relevant section of the ASC. Adoption of ASC 820 (formerly known as SFAS 157) requires the use of the price that would be received to sell an asset or paid to transfer a liability in an orderly transaction between market participants at the measurement date. ASC 820 is effective for financial statements issued for fiscal years beginning after November 15, 2007, and interim periods within those fiscal years. We have adopted ASC 820 on October 1, 2008. The adoption of ASC 820 did not affect our financial position or results of operations. See Note 2 and Note 5 to the financial statements.</w:t>
      </w:r>
    </w:p>
    <w:p>
      <w:pPr>
        <w:spacing w:after="0" w:line="118"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 xml:space="preserve">In February 2007, FASB issued SFAS 159, </w:t>
      </w:r>
      <w:r>
        <w:rPr>
          <w:rFonts w:ascii="Arial" w:cs="Arial" w:eastAsia="Arial" w:hAnsi="Arial"/>
          <w:sz w:val="16"/>
          <w:szCs w:val="16"/>
          <w:i w:val="1"/>
          <w:iCs w:val="1"/>
          <w:color w:val="auto"/>
        </w:rPr>
        <w:t>The Fair Value Option for Financial Assets and Financial Liabilities—Including an Amendment of FASB 115</w:t>
      </w:r>
      <w:r>
        <w:rPr>
          <w:rFonts w:ascii="Arial" w:cs="Arial" w:eastAsia="Arial" w:hAnsi="Arial"/>
          <w:sz w:val="16"/>
          <w:szCs w:val="16"/>
          <w:color w:val="auto"/>
        </w:rPr>
        <w:t>. ASC 825 (formerly known as SFAS 159) permits an entity to choose to measure many financial instruments and certain other items at fair value. ASC 825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have adopted ASC 825 on October 1, 2008 and have made an irrevocable election to apply the fair value option to our long-term credit facility liability. The fair value option was elected for our credit facility to align the measurement attributes of both the assets and liabilities while mitigating volatility in earnings from using different measurement attributes.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31" w:right="339" w:bottom="1440" w:gutter="0" w:footer="0" w:header="0"/>
        </w:sectPr>
      </w:pPr>
    </w:p>
    <w:bookmarkStart w:id="80" w:name="page81"/>
    <w:bookmarkEnd w:id="80"/>
    <w:p>
      <w:pPr>
        <w:spacing w:after="0" w:line="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2009</w:t>
      </w:r>
    </w:p>
    <w:p>
      <w:pPr>
        <w:spacing w:after="0" w:line="15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Upon our adoption of ASC 825 our Net Asset Value increased by $41.8 million, or $1.99 per share, due to the fair value adjustment related to our credit facility. We have used a nationally recognized independent valuations firm to measure the fair value of our credit facility in a manner consistent with the valuation process that our board of directors uses to value our investments. After adoption, subsequent changes in the fair value of our credit facility have been recorded in the statement of operations. We have not elected to apply the fair value option to any other financial assets or liabilities. See Note 5 to the financial statements.</w:t>
      </w:r>
    </w:p>
    <w:p>
      <w:pPr>
        <w:spacing w:after="0" w:line="147"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 xml:space="preserve">In April 2009, the FASB issued FASB Staff Position No. 157-4, Determining </w:t>
      </w:r>
      <w:r>
        <w:rPr>
          <w:rFonts w:ascii="Arial" w:cs="Arial" w:eastAsia="Arial" w:hAnsi="Arial"/>
          <w:sz w:val="16"/>
          <w:szCs w:val="16"/>
          <w:i w:val="1"/>
          <w:iCs w:val="1"/>
          <w:color w:val="auto"/>
        </w:rPr>
        <w:t>Fair Value When the Volume and Level of Activity for the Asset or Liability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Have Significantly Decreased and Identifying Transactions That Are Not Orderly </w:t>
      </w:r>
      <w:r>
        <w:rPr>
          <w:rFonts w:ascii="Arial" w:cs="Arial" w:eastAsia="Arial" w:hAnsi="Arial"/>
          <w:sz w:val="16"/>
          <w:szCs w:val="16"/>
          <w:color w:val="auto"/>
        </w:rPr>
        <w:t>(“FSP No. 157-4”). ASC 820-10-35-51A (formerly known as FSP No. 157-4)</w:t>
      </w:r>
      <w:r>
        <w:rPr>
          <w:rFonts w:ascii="Arial" w:cs="Arial" w:eastAsia="Arial" w:hAnsi="Arial"/>
          <w:sz w:val="16"/>
          <w:szCs w:val="16"/>
          <w:i w:val="1"/>
          <w:iCs w:val="1"/>
          <w:color w:val="auto"/>
        </w:rPr>
        <w:t xml:space="preserve"> </w:t>
      </w:r>
      <w:r>
        <w:rPr>
          <w:rFonts w:ascii="Arial" w:cs="Arial" w:eastAsia="Arial" w:hAnsi="Arial"/>
          <w:sz w:val="16"/>
          <w:szCs w:val="16"/>
          <w:color w:val="auto"/>
        </w:rPr>
        <w:t>made amendments to ASC 820 to provide additional guidance for estimating fair value in accordance with ASC 820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We adopted ASC 820-10-35-51A on June 30, 2009 and it did not have a material impact on our financial statements.</w:t>
      </w:r>
    </w:p>
    <w:p>
      <w:pPr>
        <w:spacing w:after="0" w:line="119"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 xml:space="preserve">In May 2009, FASB issued SFAS 165, or ASC 855, </w:t>
      </w:r>
      <w:r>
        <w:rPr>
          <w:rFonts w:ascii="Arial" w:cs="Arial" w:eastAsia="Arial" w:hAnsi="Arial"/>
          <w:sz w:val="18"/>
          <w:szCs w:val="18"/>
          <w:i w:val="1"/>
          <w:iCs w:val="1"/>
          <w:color w:val="auto"/>
        </w:rPr>
        <w:t>Subsequent Events</w:t>
      </w:r>
      <w:r>
        <w:rPr>
          <w:rFonts w:ascii="Arial" w:cs="Arial" w:eastAsia="Arial" w:hAnsi="Arial"/>
          <w:sz w:val="18"/>
          <w:szCs w:val="18"/>
          <w:color w:val="auto"/>
        </w:rPr>
        <w:t>, which establishes general accounting standards for and disclosure of events that occur after the balance sheet date but before the financial statements are issued. The adoption of ASC 855 did not have a material impact on our financial statements.</w:t>
      </w:r>
    </w:p>
    <w:p>
      <w:pPr>
        <w:spacing w:after="0" w:line="140"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 xml:space="preserve">In June 2009, FASB issued SFAS 168, </w:t>
      </w:r>
      <w:r>
        <w:rPr>
          <w:rFonts w:ascii="Arial" w:cs="Arial" w:eastAsia="Arial" w:hAnsi="Arial"/>
          <w:sz w:val="18"/>
          <w:szCs w:val="18"/>
          <w:i w:val="1"/>
          <w:iCs w:val="1"/>
          <w:color w:val="auto"/>
        </w:rPr>
        <w:t>The FASB Accounting Standards Codification and the Hierarchy of Generally Accepted Accounting Principles - a</w:t>
      </w:r>
      <w:r>
        <w:rPr>
          <w:rFonts w:ascii="Arial" w:cs="Arial" w:eastAsia="Arial" w:hAnsi="Arial"/>
          <w:sz w:val="18"/>
          <w:szCs w:val="18"/>
          <w:color w:val="auto"/>
        </w:rPr>
        <w:t xml:space="preserve"> </w:t>
      </w:r>
      <w:r>
        <w:rPr>
          <w:rFonts w:ascii="Arial" w:cs="Arial" w:eastAsia="Arial" w:hAnsi="Arial"/>
          <w:sz w:val="18"/>
          <w:szCs w:val="18"/>
          <w:i w:val="1"/>
          <w:iCs w:val="1"/>
          <w:color w:val="auto"/>
        </w:rPr>
        <w:t>replacement of FASB 162</w:t>
      </w:r>
      <w:r>
        <w:rPr>
          <w:rFonts w:ascii="Arial" w:cs="Arial" w:eastAsia="Arial" w:hAnsi="Arial"/>
          <w:sz w:val="18"/>
          <w:szCs w:val="18"/>
          <w:color w:val="auto"/>
        </w:rPr>
        <w:t>, SFAS 168 or ASC 105-10,</w:t>
      </w:r>
      <w:r>
        <w:rPr>
          <w:rFonts w:ascii="Arial" w:cs="Arial" w:eastAsia="Arial" w:hAnsi="Arial"/>
          <w:sz w:val="18"/>
          <w:szCs w:val="18"/>
          <w:i w:val="1"/>
          <w:iCs w:val="1"/>
          <w:color w:val="auto"/>
        </w:rPr>
        <w:t xml:space="preserve"> Generally Accepted Accounting Principles</w:t>
      </w:r>
      <w:r>
        <w:rPr>
          <w:rFonts w:ascii="Arial" w:cs="Arial" w:eastAsia="Arial" w:hAnsi="Arial"/>
          <w:sz w:val="18"/>
          <w:szCs w:val="18"/>
          <w:color w:val="auto"/>
        </w:rPr>
        <w:t>. ASC 105-10 is effective for financial statements issued for</w:t>
      </w:r>
      <w:r>
        <w:rPr>
          <w:rFonts w:ascii="Arial" w:cs="Arial" w:eastAsia="Arial" w:hAnsi="Arial"/>
          <w:sz w:val="18"/>
          <w:szCs w:val="18"/>
          <w:i w:val="1"/>
          <w:iCs w:val="1"/>
          <w:color w:val="auto"/>
        </w:rPr>
        <w:t xml:space="preserve"> </w:t>
      </w:r>
      <w:r>
        <w:rPr>
          <w:rFonts w:ascii="Arial" w:cs="Arial" w:eastAsia="Arial" w:hAnsi="Arial"/>
          <w:sz w:val="18"/>
          <w:szCs w:val="18"/>
          <w:color w:val="auto"/>
        </w:rPr>
        <w:t>interim and annual periods ending after September 15, 2009. On the effective date of ASC 105-10, the Accounting Standards Codification, or ASC, will supersede all then-existing GAAP for non-governmental entities and reporting standards, subject to certain grandfathered literature. The purpose of ASC is not change accounting literature but rather to serve as a single source of authoritative accounting literature. The adoption of ASC 105-10 did not have a material impact on our financial statements.</w:t>
      </w:r>
    </w:p>
    <w:p>
      <w:pPr>
        <w:spacing w:after="0" w:line="144"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 xml:space="preserve">In August 2009, the FASB released Accounting Standards Update No. 2009-05 (ASU 2009-05) as an update to ASC 820, </w:t>
      </w:r>
      <w:r>
        <w:rPr>
          <w:rFonts w:ascii="Arial" w:cs="Arial" w:eastAsia="Arial" w:hAnsi="Arial"/>
          <w:sz w:val="16"/>
          <w:szCs w:val="16"/>
          <w:i w:val="1"/>
          <w:iCs w:val="1"/>
          <w:color w:val="auto"/>
        </w:rPr>
        <w:t>Measuring Liabilities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w:t>
      </w:r>
      <w:r>
        <w:rPr>
          <w:rFonts w:ascii="Arial" w:cs="Arial" w:eastAsia="Arial" w:hAnsi="Arial"/>
          <w:sz w:val="16"/>
          <w:szCs w:val="16"/>
          <w:color w:val="auto"/>
        </w:rPr>
        <w:t xml:space="preserve">. ASU 2009-05 provides additional clarity in circumstances where a quoted price in an active market for the identical liability is not available. ASU 2009-05 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 consistent with principles of ASC 820. This update also clarifies that when estimating fair value of a liability, a reporting entity is not required to include a separate adjustment to an input relating to the 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6"/>
          <w:szCs w:val="16"/>
          <w:i w:val="1"/>
          <w:iCs w:val="1"/>
          <w:color w:val="auto"/>
        </w:rPr>
        <w:t>Level 1</w:t>
      </w:r>
      <w:r>
        <w:rPr>
          <w:rFonts w:ascii="Arial" w:cs="Arial" w:eastAsia="Arial" w:hAnsi="Arial"/>
          <w:sz w:val="16"/>
          <w:szCs w:val="16"/>
          <w:color w:val="auto"/>
        </w:rPr>
        <w:t xml:space="preserve"> fair value measurements. We adopted ASU 2009-05 on September 30, 2009 and it did not have a material impact on our financial statements. See Note 5 to the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177" w:lineRule="exact"/>
        <w:rPr>
          <w:sz w:val="20"/>
          <w:szCs w:val="20"/>
          <w:color w:val="auto"/>
        </w:rPr>
      </w:pPr>
    </w:p>
    <w:p>
      <w:pPr>
        <w:ind w:right="220" w:firstLine="449"/>
        <w:spacing w:after="0" w:line="294" w:lineRule="auto"/>
        <w:rPr>
          <w:sz w:val="20"/>
          <w:szCs w:val="20"/>
          <w:color w:val="auto"/>
        </w:rPr>
      </w:pPr>
      <w:r>
        <w:rPr>
          <w:rFonts w:ascii="Arial" w:cs="Arial" w:eastAsia="Arial" w:hAnsi="Arial"/>
          <w:sz w:val="16"/>
          <w:szCs w:val="16"/>
          <w:color w:val="auto"/>
        </w:rPr>
        <w:t>PennantPark Investment has entered into an Investment Management Agreement with the Investment Adviser, which was re-approved by our board of directors, including a majority of our directors who are not interested persons of PennantPark Investment in February 2009.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15"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and/or temporary draws on the credit facility “adjusted gross assets”, if any, see Note 11). Although the base management fee is 2.00% of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equals 2.00% since March 31, 2008 and is payable quarterly in arrears. The base management fee is calculated based on the average value of adjusted gross assets at the end of the two most recently completed calendar quarters, and appropriately adjusted for any share issuances or repurchases during the current calendar quarter. For the fiscal years ended September 30, 2009 and 2008, the Investment Adviser received a net base management fee of $7.7 million and $6.7 million, respectively, from us. For the period from April 24, 2007 (initial public offering) through September 30, 2007, the Investment Adviser received a net base management fee of approximately $1.9 million from us.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449"/>
        <w:spacing w:after="0" w:line="305" w:lineRule="auto"/>
        <w:rPr>
          <w:sz w:val="20"/>
          <w:szCs w:val="20"/>
          <w:color w:val="auto"/>
        </w:rPr>
      </w:pPr>
      <w:r>
        <w:rPr>
          <w:rFonts w:ascii="Arial" w:cs="Arial" w:eastAsia="Arial" w:hAnsi="Arial"/>
          <w:sz w:val="15"/>
          <w:szCs w:val="15"/>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 (1) no incentive fee in any calendar quarter in which PennantPark Investment’s Pre-Incentive Fee Net Investment Income does not exceed the hurdle rate of 1.75%,(2)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w:t>
      </w:r>
    </w:p>
    <w:p>
      <w:pPr>
        <w:sectPr>
          <w:pgSz w:w="11900" w:h="16873" w:orient="portrait"/>
          <w:cols w:equalWidth="0" w:num="1">
            <w:col w:w="11240"/>
          </w:cols>
          <w:pgMar w:left="320" w:top="459" w:right="339" w:bottom="0" w:gutter="0" w:footer="0" w:header="0"/>
        </w:sectPr>
      </w:pPr>
    </w:p>
    <w:bookmarkStart w:id="81" w:name="page82"/>
    <w:bookmarkEnd w:id="81"/>
    <w:p>
      <w:pPr>
        <w:spacing w:after="0" w:line="268" w:lineRule="auto"/>
        <w:rPr>
          <w:sz w:val="20"/>
          <w:szCs w:val="20"/>
          <w:color w:val="auto"/>
        </w:rPr>
      </w:pPr>
      <w:r>
        <w:rPr>
          <w:rFonts w:ascii="Arial" w:cs="Arial" w:eastAsia="Arial" w:hAnsi="Arial"/>
          <w:sz w:val="18"/>
          <w:szCs w:val="18"/>
          <w:color w:val="auto"/>
        </w:rPr>
        <w:t>Investment Income, if any, that exceeds 2.1875% in any calendar quarter. These calculations are pro rated for any period of less than three months and adjusted for any share issuances or repurchases during the current quarter.</w:t>
      </w:r>
    </w:p>
    <w:p>
      <w:pPr>
        <w:spacing w:after="0" w:line="132" w:lineRule="exact"/>
        <w:rPr>
          <w:sz w:val="20"/>
          <w:szCs w:val="20"/>
          <w:color w:val="auto"/>
        </w:rPr>
      </w:pPr>
    </w:p>
    <w:p>
      <w:pPr>
        <w:ind w:right="180" w:firstLine="449"/>
        <w:spacing w:after="0" w:line="288"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fiscal years ended September 30, 2009 and 2008, the Investment Adviser received an incentive fee of $5.7 million and $3.8 million, respectively from us. For the period from April 24, 2007 (initial public offering) through September 30, 2007, the Investment Adviser did not receive an incentive fee from us.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320" w:top="131" w:right="3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2009</w:t>
      </w:r>
    </w:p>
    <w:p>
      <w:pPr>
        <w:spacing w:after="0" w:line="151"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which was reapproved by our board of directors including a majority of our directors who are not interested persons of PennantPark Investment in February 2009. Under this agreement 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administrative services expenses in the statement of operations. For the fiscal years ended September 30, 2009 and 2008, the Investment Adviser was reimbursed $1.7 million and $2.0 million, respectively, from us, including expenses it incurred on behalf of the Administrator, for services described above. For the period from April 24, 2007 (initial public offering) through September 30, 2007, the Investment Adviser was reimbursed approximately $0.5 million from us for services described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77" w:lineRule="exact"/>
        <w:rPr>
          <w:sz w:val="20"/>
          <w:szCs w:val="20"/>
          <w:color w:val="auto"/>
        </w:rPr>
      </w:pPr>
    </w:p>
    <w:p>
      <w:pPr>
        <w:ind w:right="380" w:firstLine="449"/>
        <w:spacing w:after="0" w:line="256" w:lineRule="auto"/>
        <w:rPr>
          <w:sz w:val="20"/>
          <w:szCs w:val="20"/>
          <w:color w:val="auto"/>
        </w:rPr>
      </w:pPr>
      <w:r>
        <w:rPr>
          <w:rFonts w:ascii="Arial" w:cs="Arial" w:eastAsia="Arial" w:hAnsi="Arial"/>
          <w:sz w:val="18"/>
          <w:szCs w:val="18"/>
          <w:color w:val="auto"/>
        </w:rPr>
        <w:t>Purchases of long-term investments including PIK for the fiscal years ended September 30, 2009, 2008 and for the period from January 11, 2007 (inception) through September 30, 2007 totaled $117.4 million, $209.2 million and $414.6 million, respectively. Sales and repayments of long-term investments for the fiscal years ended September 30, 2009, 2008 and for the period from January 11, 2007 (inception) through September 30, 2007 totaled $28.0 million, $70.1 million and $99.6 million,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38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3"/>
                <w:szCs w:val="13"/>
                <w:b w:val="1"/>
                <w:bCs w:val="1"/>
                <w:color w:val="auto"/>
              </w:rPr>
              <w:t>September 30, 2009</w:t>
            </w:r>
          </w:p>
        </w:tc>
        <w:tc>
          <w:tcPr>
            <w:tcW w:w="300" w:type="dxa"/>
            <w:vAlign w:val="bottom"/>
          </w:tcPr>
          <w:p>
            <w:pPr>
              <w:spacing w:after="0"/>
              <w:rPr>
                <w:sz w:val="14"/>
                <w:szCs w:val="14"/>
                <w:color w:val="auto"/>
              </w:rPr>
            </w:pPr>
          </w:p>
        </w:tc>
        <w:tc>
          <w:tcPr>
            <w:tcW w:w="240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3"/>
                <w:szCs w:val="13"/>
                <w:b w:val="1"/>
                <w:bCs w:val="1"/>
                <w:color w:val="auto"/>
              </w:rPr>
              <w:t>September 30, 2008</w:t>
            </w: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40" w:type="dxa"/>
            <w:vAlign w:val="bottom"/>
            <w:tcBorders>
              <w:bottom w:val="single" w:sz="8" w:color="auto"/>
            </w:tcBorders>
          </w:tcPr>
          <w:p>
            <w:pPr>
              <w:jc w:val="right"/>
              <w:ind w:right="326"/>
              <w:spacing w:after="0" w:line="142" w:lineRule="exact"/>
              <w:rPr>
                <w:sz w:val="20"/>
                <w:szCs w:val="20"/>
                <w:color w:val="auto"/>
              </w:rPr>
            </w:pPr>
            <w:r>
              <w:rPr>
                <w:rFonts w:ascii="Arial" w:cs="Arial" w:eastAsia="Arial" w:hAnsi="Arial"/>
                <w:sz w:val="13"/>
                <w:szCs w:val="13"/>
                <w:b w:val="1"/>
                <w:bCs w:val="1"/>
                <w:color w:val="auto"/>
              </w:rPr>
              <w:t>Cost</w:t>
            </w:r>
          </w:p>
        </w:tc>
        <w:tc>
          <w:tcPr>
            <w:tcW w:w="300" w:type="dxa"/>
            <w:vAlign w:val="bottom"/>
          </w:tcPr>
          <w:p>
            <w:pPr>
              <w:spacing w:after="0"/>
              <w:rPr>
                <w:sz w:val="12"/>
                <w:szCs w:val="12"/>
                <w:color w:val="auto"/>
              </w:rPr>
            </w:pPr>
          </w:p>
        </w:tc>
        <w:tc>
          <w:tcPr>
            <w:tcW w:w="104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3"/>
                <w:szCs w:val="13"/>
                <w:b w:val="1"/>
                <w:bCs w:val="1"/>
                <w:color w:val="auto"/>
              </w:rPr>
              <w:t>Fair Value</w:t>
            </w:r>
          </w:p>
        </w:tc>
        <w:tc>
          <w:tcPr>
            <w:tcW w:w="300" w:type="dxa"/>
            <w:vAlign w:val="bottom"/>
          </w:tcPr>
          <w:p>
            <w:pPr>
              <w:spacing w:after="0"/>
              <w:rPr>
                <w:sz w:val="12"/>
                <w:szCs w:val="12"/>
                <w:color w:val="auto"/>
              </w:rPr>
            </w:pPr>
          </w:p>
        </w:tc>
        <w:tc>
          <w:tcPr>
            <w:tcW w:w="1040" w:type="dxa"/>
            <w:vAlign w:val="bottom"/>
            <w:tcBorders>
              <w:bottom w:val="single" w:sz="8" w:color="auto"/>
            </w:tcBorders>
          </w:tcPr>
          <w:p>
            <w:pPr>
              <w:jc w:val="right"/>
              <w:ind w:right="326"/>
              <w:spacing w:after="0" w:line="142" w:lineRule="exact"/>
              <w:rPr>
                <w:sz w:val="20"/>
                <w:szCs w:val="20"/>
                <w:color w:val="auto"/>
              </w:rPr>
            </w:pPr>
            <w:r>
              <w:rPr>
                <w:rFonts w:ascii="Arial" w:cs="Arial" w:eastAsia="Arial" w:hAnsi="Arial"/>
                <w:sz w:val="13"/>
                <w:szCs w:val="13"/>
                <w:b w:val="1"/>
                <w:bCs w:val="1"/>
                <w:color w:val="auto"/>
              </w:rPr>
              <w:t>Cost</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3"/>
                <w:szCs w:val="13"/>
                <w:b w:val="1"/>
                <w:bCs w:val="1"/>
                <w:color w:val="auto"/>
              </w:rPr>
              <w:t>Fair Value</w:t>
            </w: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$ 164,863,868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$ 150,607,490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$ 105,222,862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78,844,929</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Second lien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152,321,496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134,401,542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132,155,221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104,242,000</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158,139,903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157,119,017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187,087,744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166,173,175</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Preferred equity</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9,750,317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10,934,053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9,298,819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9,298,819</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12,212,302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16,697,971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10,409,360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13,588,897</w:t>
            </w: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Cash equivalents</w:t>
            </w:r>
          </w:p>
        </w:tc>
        <w:tc>
          <w:tcPr>
            <w:tcW w:w="13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33,247,666</w:t>
            </w:r>
          </w:p>
        </w:tc>
        <w:tc>
          <w:tcPr>
            <w:tcW w:w="3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33,247,666</w:t>
            </w:r>
          </w:p>
        </w:tc>
        <w:tc>
          <w:tcPr>
            <w:tcW w:w="3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40,249,201</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40,249,201</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$ 530,535,552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$ 503,007,739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$ 484,423,207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412,397,021</w:t>
            </w: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60" w:firstLine="449"/>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September 30, 2009 and September 30, 2008.</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00" w:type="dxa"/>
            <w:vAlign w:val="bottom"/>
            <w:gridSpan w:val="3"/>
          </w:tcPr>
          <w:p>
            <w:pPr>
              <w:spacing w:after="0"/>
              <w:rPr>
                <w:sz w:val="20"/>
                <w:szCs w:val="20"/>
                <w:color w:val="auto"/>
              </w:rPr>
            </w:pPr>
            <w:r>
              <w:rPr>
                <w:rFonts w:ascii="Arial" w:cs="Arial" w:eastAsia="Arial" w:hAnsi="Arial"/>
                <w:sz w:val="13"/>
                <w:szCs w:val="13"/>
                <w:b w:val="1"/>
                <w:bCs w:val="1"/>
                <w:color w:val="auto"/>
              </w:rPr>
              <w:t>Industry Classification</w:t>
            </w:r>
          </w:p>
        </w:tc>
        <w:tc>
          <w:tcPr>
            <w:tcW w:w="2380" w:type="dxa"/>
            <w:vAlign w:val="bottom"/>
            <w:gridSpan w:val="2"/>
          </w:tcPr>
          <w:p>
            <w:pPr>
              <w:jc w:val="right"/>
              <w:ind w:right="1240"/>
              <w:spacing w:after="0"/>
              <w:rPr>
                <w:sz w:val="20"/>
                <w:szCs w:val="20"/>
                <w:color w:val="auto"/>
              </w:rPr>
            </w:pPr>
            <w:r>
              <w:rPr>
                <w:rFonts w:ascii="Arial" w:cs="Arial" w:eastAsia="Arial" w:hAnsi="Arial"/>
                <w:sz w:val="13"/>
                <w:szCs w:val="13"/>
                <w:b w:val="1"/>
                <w:bCs w:val="1"/>
                <w:color w:val="auto"/>
                <w:w w:val="92"/>
              </w:rPr>
              <w:t>September 30, 2009</w:t>
            </w:r>
          </w:p>
        </w:tc>
        <w:tc>
          <w:tcPr>
            <w:tcW w:w="13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0"/>
              </w:rPr>
              <w:t>September 30,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 and Rubber</w:t>
            </w:r>
          </w:p>
        </w:tc>
        <w:tc>
          <w:tcPr>
            <w:tcW w:w="238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9%</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2380" w:type="dxa"/>
            <w:vAlign w:val="bottom"/>
            <w:gridSpan w:val="2"/>
          </w:tcPr>
          <w:p>
            <w:pPr>
              <w:jc w:val="right"/>
              <w:ind w:right="1240"/>
              <w:spacing w:after="0"/>
              <w:rPr>
                <w:sz w:val="20"/>
                <w:szCs w:val="20"/>
                <w:color w:val="auto"/>
              </w:rPr>
            </w:pPr>
            <w:r>
              <w:rPr>
                <w:rFonts w:ascii="Arial" w:cs="Arial" w:eastAsia="Arial" w:hAnsi="Arial"/>
                <w:sz w:val="18"/>
                <w:szCs w:val="18"/>
                <w:color w:val="auto"/>
              </w:rPr>
              <w:t>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3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2380" w:type="dxa"/>
            <w:vAlign w:val="bottom"/>
            <w:gridSpan w:val="2"/>
          </w:tcPr>
          <w:p>
            <w:pPr>
              <w:jc w:val="right"/>
              <w:ind w:right="1240"/>
              <w:spacing w:after="0"/>
              <w:rPr>
                <w:sz w:val="20"/>
                <w:szCs w:val="20"/>
                <w:color w:val="auto"/>
              </w:rPr>
            </w:pPr>
            <w:r>
              <w:rPr>
                <w:rFonts w:ascii="Arial" w:cs="Arial" w:eastAsia="Arial" w:hAnsi="Arial"/>
                <w:sz w:val="18"/>
                <w:szCs w:val="18"/>
                <w:color w:val="auto"/>
              </w:rPr>
              <w:t>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23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7</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2380" w:type="dxa"/>
            <w:vAlign w:val="bottom"/>
            <w:gridSpan w:val="2"/>
          </w:tcPr>
          <w:p>
            <w:pPr>
              <w:jc w:val="right"/>
              <w:ind w:right="1240"/>
              <w:spacing w:after="0"/>
              <w:rPr>
                <w:sz w:val="20"/>
                <w:szCs w:val="20"/>
                <w:color w:val="auto"/>
              </w:rPr>
            </w:pPr>
            <w:r>
              <w:rPr>
                <w:rFonts w:ascii="Arial" w:cs="Arial" w:eastAsia="Arial" w:hAnsi="Arial"/>
                <w:sz w:val="18"/>
                <w:szCs w:val="18"/>
                <w:color w:val="auto"/>
              </w:rPr>
              <w:t>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23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Energy / Utilities</w:t>
            </w:r>
          </w:p>
        </w:tc>
        <w:tc>
          <w:tcPr>
            <w:tcW w:w="2380" w:type="dxa"/>
            <w:vAlign w:val="bottom"/>
            <w:gridSpan w:val="2"/>
          </w:tcPr>
          <w:p>
            <w:pPr>
              <w:jc w:val="right"/>
              <w:ind w:right="1240"/>
              <w:spacing w:after="0"/>
              <w:rPr>
                <w:sz w:val="20"/>
                <w:szCs w:val="20"/>
                <w:color w:val="auto"/>
              </w:rPr>
            </w:pPr>
            <w:r>
              <w:rPr>
                <w:rFonts w:ascii="Arial" w:cs="Arial" w:eastAsia="Arial" w:hAnsi="Arial"/>
                <w:sz w:val="18"/>
                <w:szCs w:val="18"/>
                <w:color w:val="auto"/>
              </w:rPr>
              <w:t>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23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2380" w:type="dxa"/>
            <w:vAlign w:val="bottom"/>
            <w:gridSpan w:val="2"/>
          </w:tcPr>
          <w:p>
            <w:pPr>
              <w:jc w:val="right"/>
              <w:ind w:right="1240"/>
              <w:spacing w:after="0"/>
              <w:rPr>
                <w:sz w:val="20"/>
                <w:szCs w:val="20"/>
                <w:color w:val="auto"/>
              </w:rPr>
            </w:pPr>
            <w:r>
              <w:rPr>
                <w:rFonts w:ascii="Arial" w:cs="Arial" w:eastAsia="Arial" w:hAnsi="Arial"/>
                <w:sz w:val="18"/>
                <w:szCs w:val="18"/>
                <w:color w:val="auto"/>
              </w:rPr>
              <w:t>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23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2380" w:type="dxa"/>
            <w:vAlign w:val="bottom"/>
            <w:gridSpan w:val="2"/>
          </w:tcPr>
          <w:p>
            <w:pPr>
              <w:jc w:val="right"/>
              <w:ind w:right="1240"/>
              <w:spacing w:after="0"/>
              <w:rPr>
                <w:sz w:val="20"/>
                <w:szCs w:val="20"/>
                <w:color w:val="auto"/>
              </w:rPr>
            </w:pPr>
            <w:r>
              <w:rPr>
                <w:rFonts w:ascii="Arial" w:cs="Arial" w:eastAsia="Arial" w:hAnsi="Arial"/>
                <w:sz w:val="18"/>
                <w:szCs w:val="18"/>
                <w:color w:val="auto"/>
              </w:rPr>
              <w:t>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Cargo Transport</w:t>
            </w:r>
          </w:p>
        </w:tc>
        <w:tc>
          <w:tcPr>
            <w:tcW w:w="23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2380" w:type="dxa"/>
            <w:vAlign w:val="bottom"/>
            <w:gridSpan w:val="2"/>
          </w:tcPr>
          <w:p>
            <w:pPr>
              <w:jc w:val="right"/>
              <w:ind w:right="1240"/>
              <w:spacing w:after="0"/>
              <w:rPr>
                <w:sz w:val="20"/>
                <w:szCs w:val="20"/>
                <w:color w:val="auto"/>
              </w:rPr>
            </w:pPr>
            <w:r>
              <w:rPr>
                <w:rFonts w:ascii="Arial" w:cs="Arial" w:eastAsia="Arial" w:hAnsi="Arial"/>
                <w:sz w:val="18"/>
                <w:szCs w:val="18"/>
                <w:color w:val="auto"/>
              </w:rPr>
              <w:t>3</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23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2380" w:type="dxa"/>
            <w:vAlign w:val="bottom"/>
            <w:gridSpan w:val="2"/>
          </w:tcPr>
          <w:p>
            <w:pPr>
              <w:jc w:val="right"/>
              <w:ind w:right="1240"/>
              <w:spacing w:after="0"/>
              <w:rPr>
                <w:sz w:val="20"/>
                <w:szCs w:val="20"/>
                <w:color w:val="auto"/>
              </w:rPr>
            </w:pPr>
            <w:r>
              <w:rPr>
                <w:rFonts w:ascii="Arial" w:cs="Arial" w:eastAsia="Arial" w:hAnsi="Arial"/>
                <w:sz w:val="18"/>
                <w:szCs w:val="18"/>
                <w:color w:val="auto"/>
              </w:rPr>
              <w:t>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Office Furnishings, Housewares, and Durable</w:t>
            </w:r>
          </w:p>
        </w:tc>
        <w:tc>
          <w:tcPr>
            <w:tcW w:w="1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Consumer Products</w:t>
            </w:r>
          </w:p>
        </w:tc>
        <w:tc>
          <w:tcPr>
            <w:tcW w:w="23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Leisure, Amusement, Motion Picture, Entertainment</w:t>
            </w:r>
          </w:p>
        </w:tc>
        <w:tc>
          <w:tcPr>
            <w:tcW w:w="2380" w:type="dxa"/>
            <w:vAlign w:val="bottom"/>
            <w:gridSpan w:val="2"/>
          </w:tcPr>
          <w:p>
            <w:pPr>
              <w:jc w:val="right"/>
              <w:ind w:right="1240"/>
              <w:spacing w:after="0"/>
              <w:rPr>
                <w:sz w:val="20"/>
                <w:szCs w:val="20"/>
                <w:color w:val="auto"/>
              </w:rPr>
            </w:pPr>
            <w:r>
              <w:rPr>
                <w:rFonts w:ascii="Arial" w:cs="Arial" w:eastAsia="Arial" w:hAnsi="Arial"/>
                <w:sz w:val="18"/>
                <w:szCs w:val="18"/>
                <w:color w:val="auto"/>
              </w:rPr>
              <w:t>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23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2380" w:type="dxa"/>
            <w:vAlign w:val="bottom"/>
            <w:gridSpan w:val="2"/>
          </w:tcPr>
          <w:p>
            <w:pPr>
              <w:jc w:val="right"/>
              <w:ind w:right="124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w:t>
            </w:r>
          </w:p>
        </w:tc>
        <w:tc>
          <w:tcPr>
            <w:tcW w:w="23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Retail</w:t>
            </w:r>
          </w:p>
        </w:tc>
        <w:tc>
          <w:tcPr>
            <w:tcW w:w="2380" w:type="dxa"/>
            <w:vAlign w:val="bottom"/>
            <w:gridSpan w:val="2"/>
          </w:tcPr>
          <w:p>
            <w:pPr>
              <w:jc w:val="right"/>
              <w:ind w:right="124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00" w:type="dxa"/>
            <w:vAlign w:val="bottom"/>
            <w:gridSpan w:val="3"/>
          </w:tcPr>
          <w:p>
            <w:pPr>
              <w:spacing w:after="0"/>
              <w:rPr>
                <w:sz w:val="20"/>
                <w:szCs w:val="20"/>
                <w:color w:val="auto"/>
              </w:rPr>
            </w:pPr>
            <w:r>
              <w:rPr>
                <w:rFonts w:ascii="Arial" w:cs="Arial" w:eastAsia="Arial" w:hAnsi="Arial"/>
                <w:sz w:val="18"/>
                <w:szCs w:val="18"/>
                <w:color w:val="auto"/>
              </w:rPr>
              <w:t>Total</w:t>
            </w:r>
          </w:p>
        </w:tc>
        <w:tc>
          <w:tcPr>
            <w:tcW w:w="2380" w:type="dxa"/>
            <w:vAlign w:val="bottom"/>
            <w:gridSpan w:val="2"/>
          </w:tcPr>
          <w:p>
            <w:pPr>
              <w:jc w:val="right"/>
              <w:ind w:right="1100"/>
              <w:spacing w:after="0"/>
              <w:rPr>
                <w:sz w:val="20"/>
                <w:szCs w:val="20"/>
                <w:color w:val="auto"/>
              </w:rPr>
            </w:pPr>
            <w:r>
              <w:rPr>
                <w:rFonts w:ascii="Arial" w:cs="Arial" w:eastAsia="Arial" w:hAnsi="Arial"/>
                <w:sz w:val="18"/>
                <w:szCs w:val="18"/>
                <w:color w:val="auto"/>
              </w:rPr>
              <w:t>100%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220"/>
          </w:cols>
          <w:pgMar w:left="320" w:top="459" w:right="359" w:bottom="1440" w:gutter="0" w:footer="0" w:header="0"/>
        </w:sectPr>
      </w:pPr>
    </w:p>
    <w:p>
      <w:pPr>
        <w:jc w:val="center"/>
        <w:ind w:right="-3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20"/>
          </w:cols>
          <w:pgMar w:left="320" w:top="459" w:right="35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2009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77"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Effective October 1, 2008, we adopted ASC 820 for cash and cash equivalents, investments and long-term credit facility. We realized no gain or loss as a result of the adoption of ASC 820. 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Investment. Unobservable inputs are inputs that reflect the assumptions market participants would use in pricing an asset or liability developed based on the best information available in the circumstances.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 Inputs that are quoted prices (unadjusted) in active markets for identical assets or liabilities, accessible by us at the measurement date.</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that are quoted prices for similar assets or liabilities in active markets, or that are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Inputs that are unobservable for an asset or liability because they are based on our own assumptions about how market participants would price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132" w:lineRule="exact"/>
        <w:rPr>
          <w:sz w:val="20"/>
          <w:szCs w:val="20"/>
          <w:color w:val="auto"/>
        </w:rPr>
      </w:pPr>
    </w:p>
    <w:p>
      <w:pPr>
        <w:ind w:right="740" w:firstLine="449"/>
        <w:spacing w:after="0" w:line="268" w:lineRule="auto"/>
        <w:rPr>
          <w:sz w:val="20"/>
          <w:szCs w:val="20"/>
          <w:color w:val="auto"/>
        </w:rPr>
      </w:pPr>
      <w:r>
        <w:rPr>
          <w:rFonts w:ascii="Arial" w:cs="Arial" w:eastAsia="Arial" w:hAnsi="Arial"/>
          <w:sz w:val="18"/>
          <w:szCs w:val="18"/>
          <w:color w:val="auto"/>
        </w:rPr>
        <w:t xml:space="preserve">A financial instrument’s categorization within the valuation hierarchy is based upon the lowest level of input that is significant to the fair value measurement. All of our investments and long-term credit facility are classified as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32" w:lineRule="exact"/>
        <w:rPr>
          <w:sz w:val="20"/>
          <w:szCs w:val="20"/>
          <w:color w:val="auto"/>
        </w:rPr>
      </w:pPr>
    </w:p>
    <w:p>
      <w:pPr>
        <w:ind w:right="80" w:firstLine="449"/>
        <w:spacing w:after="0" w:line="256" w:lineRule="auto"/>
        <w:rPr>
          <w:sz w:val="20"/>
          <w:szCs w:val="20"/>
          <w:color w:val="auto"/>
        </w:rPr>
      </w:pPr>
      <w:r>
        <w:rPr>
          <w:rFonts w:ascii="Arial" w:cs="Arial" w:eastAsia="Arial" w:hAnsi="Arial"/>
          <w:sz w:val="18"/>
          <w:szCs w:val="18"/>
          <w:color w:val="auto"/>
        </w:rPr>
        <w:t xml:space="preserve">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information, assuming no additional corroborating evidence was available.</w:t>
      </w:r>
    </w:p>
    <w:p>
      <w:pPr>
        <w:spacing w:after="0" w:line="143" w:lineRule="exact"/>
        <w:rPr>
          <w:sz w:val="20"/>
          <w:szCs w:val="20"/>
          <w:color w:val="auto"/>
        </w:rPr>
      </w:pPr>
    </w:p>
    <w:p>
      <w:pPr>
        <w:ind w:right="20" w:firstLine="449"/>
        <w:spacing w:after="0" w:line="306" w:lineRule="auto"/>
        <w:rPr>
          <w:sz w:val="20"/>
          <w:szCs w:val="20"/>
          <w:color w:val="auto"/>
        </w:rPr>
      </w:pPr>
      <w:r>
        <w:rPr>
          <w:rFonts w:ascii="Arial" w:cs="Arial" w:eastAsia="Arial" w:hAnsi="Arial"/>
          <w:sz w:val="16"/>
          <w:szCs w:val="16"/>
          <w:color w:val="auto"/>
        </w:rPr>
        <w:t>In addition to using the above inputs in cash and cash equivalents, investments and long-term credit facility valuations, PennantPark Investment employs the valuation policy approved by its board of directors that is consistent with ASC 820 (See Note 2). Consistent with our valuation policy, PennantPark Investment evaluates the source of inputs, including any markets in which its investments are trading, in determining fair value.</w:t>
      </w:r>
    </w:p>
    <w:p>
      <w:pPr>
        <w:spacing w:after="0" w:line="106"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 xml:space="preserve">In April 2009, the FASB issued FASB Staff Position No. 157-4, Determining </w:t>
      </w:r>
      <w:r>
        <w:rPr>
          <w:rFonts w:ascii="Arial" w:cs="Arial" w:eastAsia="Arial" w:hAnsi="Arial"/>
          <w:sz w:val="16"/>
          <w:szCs w:val="16"/>
          <w:i w:val="1"/>
          <w:iCs w:val="1"/>
          <w:color w:val="auto"/>
        </w:rPr>
        <w:t>Fair Value When the Volume and Level of Activity for the Asset or Liability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Have Significantly Decreased and Identifying Transactions That Are Not Orderly </w:t>
      </w:r>
      <w:r>
        <w:rPr>
          <w:rFonts w:ascii="Arial" w:cs="Arial" w:eastAsia="Arial" w:hAnsi="Arial"/>
          <w:sz w:val="16"/>
          <w:szCs w:val="16"/>
          <w:color w:val="auto"/>
        </w:rPr>
        <w:t>(“FSP No. 157-4”). ASC 820-10-35-51A (formerly known as FSP No. 157-4)</w:t>
      </w:r>
      <w:r>
        <w:rPr>
          <w:rFonts w:ascii="Arial" w:cs="Arial" w:eastAsia="Arial" w:hAnsi="Arial"/>
          <w:sz w:val="16"/>
          <w:szCs w:val="16"/>
          <w:i w:val="1"/>
          <w:iCs w:val="1"/>
          <w:color w:val="auto"/>
        </w:rPr>
        <w:t xml:space="preserve"> </w:t>
      </w:r>
      <w:r>
        <w:rPr>
          <w:rFonts w:ascii="Arial" w:cs="Arial" w:eastAsia="Arial" w:hAnsi="Arial"/>
          <w:sz w:val="16"/>
          <w:szCs w:val="16"/>
          <w:color w:val="auto"/>
        </w:rPr>
        <w:t>made amendments to ASC 820 to provide additional guidance for estimating fair value in accordance with ASC 820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We adopted ASC 820-10-35-51A on June 30, 2009 and it did not have a material impact on our financial statements.</w:t>
      </w:r>
    </w:p>
    <w:p>
      <w:pPr>
        <w:spacing w:after="0" w:line="119"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 xml:space="preserve">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of the fair value hierarchy.</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459" w:right="3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51" w:lineRule="exact"/>
        <w:rPr>
          <w:sz w:val="20"/>
          <w:szCs w:val="20"/>
          <w:color w:val="auto"/>
        </w:rPr>
      </w:pPr>
    </w:p>
    <w:p>
      <w:pPr>
        <w:ind w:right="620" w:firstLine="449"/>
        <w:spacing w:after="0" w:line="268" w:lineRule="auto"/>
        <w:rPr>
          <w:sz w:val="20"/>
          <w:szCs w:val="20"/>
          <w:color w:val="auto"/>
        </w:rPr>
      </w:pPr>
      <w:r>
        <w:rPr>
          <w:rFonts w:ascii="Arial" w:cs="Arial" w:eastAsia="Arial" w:hAnsi="Arial"/>
          <w:sz w:val="18"/>
          <w:szCs w:val="18"/>
          <w:color w:val="auto"/>
        </w:rPr>
        <w:t>At September 30, 2009, our cash and cash equivalents, investments and our long-term credit facility were categorized as follows in the fair value hierarchy for ASC 820 purposes: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80" w:type="dxa"/>
            <w:vAlign w:val="bottom"/>
            <w:gridSpan w:val="7"/>
          </w:tcPr>
          <w:p>
            <w:pPr>
              <w:ind w:left="800"/>
              <w:spacing w:after="0"/>
              <w:rPr>
                <w:sz w:val="20"/>
                <w:szCs w:val="20"/>
                <w:color w:val="auto"/>
              </w:rPr>
            </w:pPr>
            <w:r>
              <w:rPr>
                <w:rFonts w:ascii="Arial" w:cs="Arial" w:eastAsia="Arial" w:hAnsi="Arial"/>
                <w:sz w:val="13"/>
                <w:szCs w:val="13"/>
                <w:b w:val="1"/>
                <w:bCs w:val="1"/>
                <w:color w:val="auto"/>
              </w:rPr>
              <w:t>Fair Value Measurements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92"/>
              </w:rPr>
              <w:t>Quoted Prices in</w:t>
            </w:r>
          </w:p>
        </w:tc>
        <w:tc>
          <w:tcPr>
            <w:tcW w:w="5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93"/>
              </w:rPr>
              <w:t>Significant</w:t>
            </w:r>
          </w:p>
        </w:tc>
        <w:tc>
          <w:tcPr>
            <w:tcW w:w="5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Active Markets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7"/>
              <w:spacing w:after="0"/>
              <w:rPr>
                <w:sz w:val="20"/>
                <w:szCs w:val="20"/>
                <w:color w:val="auto"/>
              </w:rPr>
            </w:pPr>
            <w:r>
              <w:rPr>
                <w:rFonts w:ascii="Arial" w:cs="Arial" w:eastAsia="Arial" w:hAnsi="Arial"/>
                <w:sz w:val="13"/>
                <w:szCs w:val="13"/>
                <w:b w:val="1"/>
                <w:bCs w:val="1"/>
                <w:color w:val="auto"/>
                <w:w w:val="97"/>
              </w:rPr>
              <w:t>Other</w:t>
            </w:r>
          </w:p>
        </w:tc>
        <w:tc>
          <w:tcPr>
            <w:tcW w:w="500" w:type="dxa"/>
            <w:vAlign w:val="bottom"/>
          </w:tcPr>
          <w:p>
            <w:pPr>
              <w:spacing w:after="0"/>
              <w:rPr>
                <w:sz w:val="12"/>
                <w:szCs w:val="12"/>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0"/>
              <w:spacing w:after="0"/>
              <w:rPr>
                <w:sz w:val="20"/>
                <w:szCs w:val="20"/>
                <w:color w:val="auto"/>
              </w:rPr>
            </w:pPr>
            <w:r>
              <w:rPr>
                <w:rFonts w:ascii="Arial" w:cs="Arial" w:eastAsia="Arial" w:hAnsi="Arial"/>
                <w:sz w:val="13"/>
                <w:szCs w:val="13"/>
                <w:b w:val="1"/>
                <w:bCs w:val="1"/>
                <w:color w:val="auto"/>
                <w:w w:val="97"/>
              </w:rPr>
              <w:t>for Identical</w:t>
            </w:r>
          </w:p>
        </w:tc>
        <w:tc>
          <w:tcPr>
            <w:tcW w:w="1160" w:type="dxa"/>
            <w:vAlign w:val="bottom"/>
            <w:gridSpan w:val="3"/>
          </w:tcPr>
          <w:p>
            <w:pPr>
              <w:jc w:val="center"/>
              <w:ind w:left="419"/>
              <w:spacing w:after="0"/>
              <w:rPr>
                <w:sz w:val="20"/>
                <w:szCs w:val="20"/>
                <w:color w:val="auto"/>
              </w:rPr>
            </w:pPr>
            <w:r>
              <w:rPr>
                <w:rFonts w:ascii="Arial" w:cs="Arial" w:eastAsia="Arial" w:hAnsi="Arial"/>
                <w:sz w:val="13"/>
                <w:szCs w:val="13"/>
                <w:b w:val="1"/>
                <w:bCs w:val="1"/>
                <w:color w:val="auto"/>
                <w:w w:val="93"/>
              </w:rPr>
              <w:t>Observable</w:t>
            </w:r>
          </w:p>
        </w:tc>
        <w:tc>
          <w:tcPr>
            <w:tcW w:w="500" w:type="dxa"/>
            <w:vAlign w:val="bottom"/>
          </w:tcPr>
          <w:p>
            <w:pPr>
              <w:spacing w:after="0"/>
              <w:rPr>
                <w:sz w:val="12"/>
                <w:szCs w:val="12"/>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0"/>
              <w:spacing w:after="0"/>
              <w:rPr>
                <w:sz w:val="20"/>
                <w:szCs w:val="20"/>
                <w:color w:val="auto"/>
              </w:rPr>
            </w:pPr>
            <w:r>
              <w:rPr>
                <w:rFonts w:ascii="Arial" w:cs="Arial" w:eastAsia="Arial" w:hAnsi="Arial"/>
                <w:sz w:val="13"/>
                <w:szCs w:val="13"/>
                <w:b w:val="1"/>
                <w:bCs w:val="1"/>
                <w:color w:val="auto"/>
                <w:w w:val="84"/>
              </w:rPr>
              <w:t>Assets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7"/>
              <w:spacing w:after="0"/>
              <w:rPr>
                <w:sz w:val="20"/>
                <w:szCs w:val="20"/>
                <w:color w:val="auto"/>
              </w:rPr>
            </w:pPr>
            <w:r>
              <w:rPr>
                <w:rFonts w:ascii="Arial" w:cs="Arial" w:eastAsia="Arial" w:hAnsi="Arial"/>
                <w:sz w:val="13"/>
                <w:szCs w:val="13"/>
                <w:b w:val="1"/>
                <w:bCs w:val="1"/>
                <w:color w:val="auto"/>
                <w:w w:val="97"/>
              </w:rPr>
              <w:t>inputs</w:t>
            </w:r>
          </w:p>
        </w:tc>
        <w:tc>
          <w:tcPr>
            <w:tcW w:w="500" w:type="dxa"/>
            <w:vAlign w:val="bottom"/>
          </w:tcPr>
          <w:p>
            <w:pPr>
              <w:spacing w:after="0"/>
              <w:rPr>
                <w:sz w:val="12"/>
                <w:szCs w:val="12"/>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161"/>
        </w:trPr>
        <w:tc>
          <w:tcPr>
            <w:tcW w:w="4900" w:type="dxa"/>
            <w:vAlign w:val="bottom"/>
            <w:gridSpan w:val="3"/>
          </w:tcPr>
          <w:p>
            <w:pPr>
              <w:spacing w:after="0"/>
              <w:rPr>
                <w:sz w:val="20"/>
                <w:szCs w:val="20"/>
                <w:color w:val="auto"/>
              </w:rPr>
            </w:pPr>
            <w:r>
              <w:rPr>
                <w:rFonts w:ascii="Arial" w:cs="Arial" w:eastAsia="Arial" w:hAnsi="Arial"/>
                <w:sz w:val="13"/>
                <w:szCs w:val="13"/>
                <w:b w:val="1"/>
                <w:bCs w:val="1"/>
                <w:color w:val="auto"/>
              </w:rPr>
              <w:t>Description</w:t>
            </w:r>
          </w:p>
        </w:tc>
        <w:tc>
          <w:tcPr>
            <w:tcW w:w="138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Fair Value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40"/>
              <w:spacing w:after="0"/>
              <w:rPr>
                <w:sz w:val="20"/>
                <w:szCs w:val="20"/>
                <w:color w:val="auto"/>
              </w:rPr>
            </w:pPr>
            <w:r>
              <w:rPr>
                <w:rFonts w:ascii="Arial" w:cs="Arial" w:eastAsia="Arial" w:hAnsi="Arial"/>
                <w:sz w:val="13"/>
                <w:szCs w:val="13"/>
                <w:b w:val="1"/>
                <w:bCs w:val="1"/>
                <w:color w:val="auto"/>
                <w:w w:val="94"/>
              </w:rPr>
              <w:t>(Level 1)</w:t>
            </w:r>
          </w:p>
        </w:tc>
        <w:tc>
          <w:tcPr>
            <w:tcW w:w="5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(Level 2)</w:t>
            </w:r>
          </w:p>
        </w:tc>
        <w:tc>
          <w:tcPr>
            <w:tcW w:w="50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$ 442,128,049</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$ 442,128,049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33,247,666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4"/>
              </w:rPr>
              <w:t>33,247,666</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Cash Equivalents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503,007,739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4"/>
              </w:rPr>
              <w:t>33,247,666</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00" w:type="dxa"/>
            <w:vAlign w:val="bottom"/>
            <w:gridSpan w:val="3"/>
            <w:vMerge w:val="continue"/>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(168,475,380)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(168,475,380)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49"/>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w w:val="98"/>
              </w:rPr>
              <w:t>Loan and debt</w:t>
            </w:r>
          </w:p>
        </w:tc>
        <w:tc>
          <w:tcPr>
            <w:tcW w:w="80" w:type="dxa"/>
            <w:vAlign w:val="bottom"/>
          </w:tcPr>
          <w:p>
            <w:pPr>
              <w:spacing w:after="0"/>
              <w:rPr>
                <w:sz w:val="13"/>
                <w:szCs w:val="13"/>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Description</w:t>
            </w:r>
          </w:p>
        </w:tc>
        <w:tc>
          <w:tcPr>
            <w:tcW w:w="7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w w:val="94"/>
              </w:rPr>
              <w:t>investments</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89"/>
              </w:rPr>
              <w:t>investments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b w:val="1"/>
                <w:bCs w:val="1"/>
                <w:color w:val="auto"/>
              </w:rPr>
              <w:t>Totals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349,260,104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22,887,716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372,147,820</w:t>
            </w:r>
          </w:p>
        </w:tc>
        <w:tc>
          <w:tcPr>
            <w:tcW w:w="0" w:type="dxa"/>
            <w:vAlign w:val="bottom"/>
          </w:tcPr>
          <w:p>
            <w:pPr>
              <w:spacing w:after="0"/>
              <w:rPr>
                <w:sz w:val="1"/>
                <w:szCs w:val="1"/>
                <w:color w:val="auto"/>
              </w:rPr>
            </w:pPr>
          </w:p>
        </w:tc>
      </w:tr>
      <w:tr>
        <w:trPr>
          <w:trHeight w:val="216"/>
        </w:trPr>
        <w:tc>
          <w:tcPr>
            <w:tcW w:w="7760" w:type="dxa"/>
            <w:vAlign w:val="bottom"/>
            <w:gridSpan w:val="2"/>
          </w:tcPr>
          <w:p>
            <w:pPr>
              <w:ind w:left="440"/>
              <w:spacing w:after="0"/>
              <w:rPr>
                <w:sz w:val="20"/>
                <w:szCs w:val="20"/>
                <w:color w:val="auto"/>
              </w:rPr>
            </w:pPr>
            <w:r>
              <w:rPr>
                <w:rFonts w:ascii="Arial" w:cs="Arial" w:eastAsia="Arial" w:hAnsi="Arial"/>
                <w:sz w:val="18"/>
                <w:szCs w:val="18"/>
                <w:color w:val="auto"/>
              </w:rPr>
              <w:t>Realized gains (losses)</w:t>
            </w:r>
          </w:p>
        </w:tc>
        <w:tc>
          <w:tcPr>
            <w:tcW w:w="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(39,243,879)</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(39,243,879)</w:t>
            </w: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appreciation / (depreciation)</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42,008,505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2,489,868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44,498,373</w:t>
            </w:r>
          </w:p>
        </w:tc>
        <w:tc>
          <w:tcPr>
            <w:tcW w:w="0" w:type="dxa"/>
            <w:vAlign w:val="bottom"/>
          </w:tcPr>
          <w:p>
            <w:pPr>
              <w:spacing w:after="0"/>
              <w:rPr>
                <w:sz w:val="1"/>
                <w:szCs w:val="1"/>
                <w:color w:val="auto"/>
              </w:rPr>
            </w:pPr>
          </w:p>
        </w:tc>
      </w:tr>
      <w:tr>
        <w:trPr>
          <w:trHeight w:val="216"/>
        </w:trPr>
        <w:tc>
          <w:tcPr>
            <w:tcW w:w="7760" w:type="dxa"/>
            <w:vAlign w:val="bottom"/>
            <w:gridSpan w:val="2"/>
          </w:tcPr>
          <w:p>
            <w:pPr>
              <w:ind w:left="440"/>
              <w:spacing w:after="0"/>
              <w:rPr>
                <w:sz w:val="20"/>
                <w:szCs w:val="20"/>
                <w:color w:val="auto"/>
              </w:rPr>
            </w:pPr>
            <w:r>
              <w:rPr>
                <w:rFonts w:ascii="Arial" w:cs="Arial" w:eastAsia="Arial" w:hAnsi="Arial"/>
                <w:sz w:val="18"/>
                <w:szCs w:val="18"/>
                <w:color w:val="auto"/>
              </w:rPr>
              <w:t>Purchases, PIK, and net discount accretion</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118,059,327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2,254,440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120,313,767</w:t>
            </w: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 repayments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(27,956,008)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(27,956,008)</w:t>
            </w:r>
          </w:p>
        </w:tc>
        <w:tc>
          <w:tcPr>
            <w:tcW w:w="0" w:type="dxa"/>
            <w:vAlign w:val="bottom"/>
          </w:tcPr>
          <w:p>
            <w:pPr>
              <w:spacing w:after="0"/>
              <w:rPr>
                <w:sz w:val="1"/>
                <w:szCs w:val="1"/>
                <w:color w:val="auto"/>
              </w:rPr>
            </w:pPr>
          </w:p>
        </w:tc>
      </w:tr>
      <w:tr>
        <w:trPr>
          <w:trHeight w:val="223"/>
        </w:trPr>
        <w:tc>
          <w:tcPr>
            <w:tcW w:w="7760" w:type="dxa"/>
            <w:vAlign w:val="bottom"/>
            <w:gridSpan w:val="2"/>
          </w:tcPr>
          <w:p>
            <w:pPr>
              <w:ind w:left="440"/>
              <w:spacing w:after="0"/>
              <w:rPr>
                <w:sz w:val="20"/>
                <w:szCs w:val="20"/>
                <w:color w:val="auto"/>
              </w:rPr>
            </w:pPr>
            <w:r>
              <w:rPr>
                <w:rFonts w:ascii="Arial" w:cs="Arial" w:eastAsia="Arial" w:hAnsi="Arial"/>
                <w:sz w:val="18"/>
                <w:szCs w:val="18"/>
                <w:color w:val="auto"/>
              </w:rPr>
              <w:t xml:space="preserve">Transfers in and /or out of </w:t>
            </w:r>
            <w:r>
              <w:rPr>
                <w:rFonts w:ascii="Arial" w:cs="Arial" w:eastAsia="Arial" w:hAnsi="Arial"/>
                <w:sz w:val="18"/>
                <w:szCs w:val="18"/>
                <w:i w:val="1"/>
                <w:iCs w:val="1"/>
                <w:color w:val="auto"/>
              </w:rPr>
              <w:t>Level 3</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442,128,049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27,632,024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469,760,073</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8"/>
                <w:szCs w:val="18"/>
                <w:color w:val="auto"/>
                <w:w w:val="98"/>
              </w:rPr>
              <w:t>Net change in unrealized appreciation / (depreciation) for the year reported within the net change in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77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60" w:type="dxa"/>
            <w:vAlign w:val="bottom"/>
            <w:gridSpan w:val="2"/>
          </w:tcPr>
          <w:p>
            <w:pPr>
              <w:ind w:left="220"/>
              <w:spacing w:after="0"/>
              <w:rPr>
                <w:sz w:val="20"/>
                <w:szCs w:val="20"/>
                <w:color w:val="auto"/>
              </w:rPr>
            </w:pPr>
            <w:r>
              <w:rPr>
                <w:rFonts w:ascii="Arial" w:cs="Arial" w:eastAsia="Arial" w:hAnsi="Arial"/>
                <w:sz w:val="18"/>
                <w:szCs w:val="18"/>
                <w:color w:val="auto"/>
                <w:w w:val="90"/>
              </w:rPr>
              <w:t xml:space="preserve">unrealized appreciation on investments in our Statement of Operations attributable to our </w:t>
            </w:r>
            <w:r>
              <w:rPr>
                <w:rFonts w:ascii="Arial" w:cs="Arial" w:eastAsia="Arial" w:hAnsi="Arial"/>
                <w:sz w:val="18"/>
                <w:szCs w:val="18"/>
                <w:i w:val="1"/>
                <w:iCs w:val="1"/>
                <w:color w:val="auto"/>
                <w:w w:val="90"/>
              </w:rPr>
              <w:t>Level 3</w:t>
            </w:r>
            <w:r>
              <w:rPr>
                <w:rFonts w:ascii="Arial" w:cs="Arial" w:eastAsia="Arial" w:hAnsi="Arial"/>
                <w:sz w:val="18"/>
                <w:szCs w:val="18"/>
                <w:color w:val="auto"/>
                <w:w w:val="90"/>
              </w:rPr>
              <w:t xml:space="preserve"> assets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still held at the reporting date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30,141,081</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2,489,868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32,630,949</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67"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40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Long-Term</w:t>
            </w:r>
          </w:p>
        </w:tc>
        <w:tc>
          <w:tcPr>
            <w:tcW w:w="0" w:type="dxa"/>
            <w:vAlign w:val="bottom"/>
          </w:tcPr>
          <w:p>
            <w:pPr>
              <w:spacing w:after="0"/>
              <w:rPr>
                <w:sz w:val="1"/>
                <w:szCs w:val="1"/>
                <w:color w:val="auto"/>
              </w:rPr>
            </w:pPr>
          </w:p>
        </w:tc>
      </w:tr>
      <w:tr>
        <w:trPr>
          <w:trHeight w:val="161"/>
        </w:trPr>
        <w:tc>
          <w:tcPr>
            <w:tcW w:w="40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Credit Facility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4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$162,000,000</w:t>
            </w: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w w:val="93"/>
              </w:rPr>
              <w:t>Cumulative effect of adoption of fair value option</w:t>
            </w:r>
          </w:p>
        </w:tc>
        <w:tc>
          <w:tcPr>
            <w:tcW w:w="4460" w:type="dxa"/>
            <w:vAlign w:val="bottom"/>
            <w:gridSpan w:val="3"/>
          </w:tcPr>
          <w:p>
            <w:pPr>
              <w:jc w:val="right"/>
              <w:ind w:right="40"/>
              <w:spacing w:after="0"/>
              <w:rPr>
                <w:sz w:val="20"/>
                <w:szCs w:val="20"/>
                <w:color w:val="auto"/>
              </w:rPr>
            </w:pPr>
            <w:r>
              <w:rPr>
                <w:rFonts w:ascii="Arial" w:cs="Arial" w:eastAsia="Arial" w:hAnsi="Arial"/>
                <w:sz w:val="18"/>
                <w:szCs w:val="18"/>
                <w:color w:val="auto"/>
              </w:rPr>
              <w:t>(41,796,000)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Total unrealized appreciation included in earnings</w:t>
            </w:r>
          </w:p>
        </w:tc>
        <w:tc>
          <w:tcPr>
            <w:tcW w:w="4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(7,828,620)</w:t>
            </w: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Borrowings</w:t>
            </w:r>
          </w:p>
        </w:tc>
        <w:tc>
          <w:tcPr>
            <w:tcW w:w="4460" w:type="dxa"/>
            <w:vAlign w:val="bottom"/>
            <w:gridSpan w:val="3"/>
          </w:tcPr>
          <w:p>
            <w:pPr>
              <w:jc w:val="right"/>
              <w:ind w:right="100"/>
              <w:spacing w:after="0"/>
              <w:rPr>
                <w:sz w:val="20"/>
                <w:szCs w:val="20"/>
                <w:color w:val="auto"/>
              </w:rPr>
            </w:pPr>
            <w:r>
              <w:rPr>
                <w:rFonts w:ascii="Arial" w:cs="Arial" w:eastAsia="Arial" w:hAnsi="Arial"/>
                <w:sz w:val="18"/>
                <w:szCs w:val="18"/>
                <w:color w:val="auto"/>
              </w:rPr>
              <w:t>108,200,000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Repayments</w:t>
            </w:r>
          </w:p>
        </w:tc>
        <w:tc>
          <w:tcPr>
            <w:tcW w:w="4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(52,100,000)</w:t>
            </w:r>
          </w:p>
        </w:tc>
        <w:tc>
          <w:tcPr>
            <w:tcW w:w="0" w:type="dxa"/>
            <w:vAlign w:val="bottom"/>
          </w:tcPr>
          <w:p>
            <w:pPr>
              <w:spacing w:after="0"/>
              <w:rPr>
                <w:sz w:val="1"/>
                <w:szCs w:val="1"/>
                <w:color w:val="auto"/>
              </w:rPr>
            </w:pPr>
          </w:p>
        </w:tc>
      </w:tr>
      <w:tr>
        <w:trPr>
          <w:trHeight w:val="223"/>
        </w:trPr>
        <w:tc>
          <w:tcPr>
            <w:tcW w:w="4060" w:type="dxa"/>
            <w:vAlign w:val="bottom"/>
          </w:tcPr>
          <w:p>
            <w:pPr>
              <w:ind w:left="440"/>
              <w:spacing w:after="0"/>
              <w:rPr>
                <w:sz w:val="20"/>
                <w:szCs w:val="20"/>
                <w:color w:val="auto"/>
              </w:rPr>
            </w:pPr>
            <w:r>
              <w:rPr>
                <w:rFonts w:ascii="Arial" w:cs="Arial" w:eastAsia="Arial" w:hAnsi="Arial"/>
                <w:sz w:val="18"/>
                <w:szCs w:val="18"/>
                <w:color w:val="auto"/>
              </w:rPr>
              <w:t xml:space="preserve">Transfers in and/or out of </w:t>
            </w:r>
            <w:r>
              <w:rPr>
                <w:rFonts w:ascii="Arial" w:cs="Arial" w:eastAsia="Arial" w:hAnsi="Arial"/>
                <w:sz w:val="18"/>
                <w:szCs w:val="18"/>
                <w:i w:val="1"/>
                <w:iCs w:val="1"/>
                <w:color w:val="auto"/>
              </w:rPr>
              <w:t>Level 3</w:t>
            </w:r>
          </w:p>
        </w:tc>
        <w:tc>
          <w:tcPr>
            <w:tcW w:w="3380" w:type="dxa"/>
            <w:vAlign w:val="bottom"/>
          </w:tcPr>
          <w:p>
            <w:pPr>
              <w:spacing w:after="0"/>
              <w:rPr>
                <w:sz w:val="19"/>
                <w:szCs w:val="19"/>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September 30, 2009</w:t>
            </w:r>
          </w:p>
        </w:tc>
        <w:tc>
          <w:tcPr>
            <w:tcW w:w="4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168,475,380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380" w:type="dxa"/>
            <w:vAlign w:val="bottom"/>
            <w:vMerge w:val="restart"/>
          </w:tcPr>
          <w:p>
            <w:pPr>
              <w:jc w:val="right"/>
              <w:ind w:right="2992"/>
              <w:spacing w:after="0"/>
              <w:rPr>
                <w:sz w:val="20"/>
                <w:szCs w:val="20"/>
                <w:color w:val="auto"/>
              </w:rPr>
            </w:pPr>
            <w:r>
              <w:rPr>
                <w:rFonts w:ascii="Arial" w:cs="Arial" w:eastAsia="Arial" w:hAnsi="Arial"/>
                <w:sz w:val="18"/>
                <w:szCs w:val="18"/>
                <w:color w:val="auto"/>
              </w:rPr>
              <w:t>58</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40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51"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The carrying value of our financial instruments approximates fair value. Effective October 1, 2008, we adopted ASC 825-10, which provides companies with an option to report selected financial assets and liabilities at fair value, and made an irrevocable election to apply ASC 825-10 to our long-term credit facility. PennantPark Investment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of a company’s choice to use fair value on its earnings. ASC 825-10 also requires entities to display the fair value of the selected assets and liabilities on the face of the balance sheet and changes in fair value of the credit facility are recorded in the statement of operations. We elected not to apply ASC 825-10 to any other financial assets or liabilities. For our fiscal year ended September 30, 2009, $7.8 million was recorded as the change in unrealized appreciation on the credit facility in the statement of operations. PennantPark Investment has used a nationally recognized independent valuation service to measure the fair value of its credit facility in a manner consistent with the valuation process that the board of directors uses to value investments.</w:t>
      </w:r>
    </w:p>
    <w:p>
      <w:pPr>
        <w:spacing w:after="0" w:line="122"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 xml:space="preserve">In August 2009, the FASB released Accounting Standards Update No. 2009-05 (ASU 2009-05) as an update to ASC 820, </w:t>
      </w:r>
      <w:r>
        <w:rPr>
          <w:rFonts w:ascii="Arial" w:cs="Arial" w:eastAsia="Arial" w:hAnsi="Arial"/>
          <w:sz w:val="16"/>
          <w:szCs w:val="16"/>
          <w:i w:val="1"/>
          <w:iCs w:val="1"/>
          <w:color w:val="auto"/>
        </w:rPr>
        <w:t>Measuring Liabilities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w:t>
      </w:r>
      <w:r>
        <w:rPr>
          <w:rFonts w:ascii="Arial" w:cs="Arial" w:eastAsia="Arial" w:hAnsi="Arial"/>
          <w:sz w:val="16"/>
          <w:szCs w:val="16"/>
          <w:color w:val="auto"/>
        </w:rPr>
        <w:t xml:space="preserve">. ASU 2009-05 provides additional clarity in circumstances where a quoted price in an active market for the identical liability is not available. ASU 2009-05 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 consistent with principles of ASC 820. This update also clarifies that when estimating fair value of a liability, a reporting entity is not required to include a separate adjustment to an input relating to the 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6"/>
          <w:szCs w:val="16"/>
          <w:i w:val="1"/>
          <w:iCs w:val="1"/>
          <w:color w:val="auto"/>
        </w:rPr>
        <w:t>Level 1</w:t>
      </w:r>
      <w:r>
        <w:rPr>
          <w:rFonts w:ascii="Arial" w:cs="Arial" w:eastAsia="Arial" w:hAnsi="Arial"/>
          <w:sz w:val="16"/>
          <w:szCs w:val="16"/>
          <w:color w:val="auto"/>
        </w:rPr>
        <w:t xml:space="preserve"> fair value measurements. We adopted ASU 2009-05 on September 30, 2009 and it did not have a material impact on our financial statements.</w:t>
      </w:r>
    </w:p>
    <w:p>
      <w:pPr>
        <w:spacing w:after="0" w:line="119" w:lineRule="exact"/>
        <w:rPr>
          <w:sz w:val="20"/>
          <w:szCs w:val="20"/>
          <w:color w:val="auto"/>
        </w:rPr>
      </w:pPr>
    </w:p>
    <w:p>
      <w:pPr>
        <w:ind w:right="40" w:firstLine="449"/>
        <w:spacing w:after="0" w:line="268" w:lineRule="auto"/>
        <w:rPr>
          <w:sz w:val="20"/>
          <w:szCs w:val="20"/>
          <w:color w:val="auto"/>
        </w:rPr>
      </w:pPr>
      <w:r>
        <w:rPr>
          <w:rFonts w:ascii="Arial" w:cs="Arial" w:eastAsia="Arial" w:hAnsi="Arial"/>
          <w:sz w:val="18"/>
          <w:szCs w:val="18"/>
          <w:color w:val="auto"/>
        </w:rPr>
        <w:t>The following table presents information about the eligible instrument for which PennantPark Investment elected the fair value option under ASC 825 as of September 30, 2009 and for which a transition adjustment was recorded as of October 1, 2008:</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6"/>
              </w:rPr>
              <w:t>Carrying Value/</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220" w:type="dxa"/>
            <w:vAlign w:val="bottom"/>
            <w:gridSpan w:val="3"/>
            <w:vMerge w:val="restart"/>
          </w:tcPr>
          <w:p>
            <w:pPr>
              <w:jc w:val="right"/>
              <w:ind w:right="460"/>
              <w:spacing w:after="0"/>
              <w:rPr>
                <w:sz w:val="20"/>
                <w:szCs w:val="20"/>
                <w:color w:val="auto"/>
              </w:rPr>
            </w:pPr>
            <w:r>
              <w:rPr>
                <w:rFonts w:ascii="Arial" w:cs="Arial" w:eastAsia="Arial" w:hAnsi="Arial"/>
                <w:sz w:val="13"/>
                <w:szCs w:val="13"/>
                <w:b w:val="1"/>
                <w:bCs w:val="1"/>
                <w:color w:val="auto"/>
              </w:rPr>
              <w:t>September 30, 2009</w:t>
            </w:r>
          </w:p>
        </w:tc>
        <w:tc>
          <w:tcPr>
            <w:tcW w:w="220" w:type="dxa"/>
            <w:vAlign w:val="bottom"/>
          </w:tcPr>
          <w:p>
            <w:pPr>
              <w:spacing w:after="0"/>
              <w:rPr>
                <w:sz w:val="12"/>
                <w:szCs w:val="12"/>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Cost on</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5"/>
              </w:rPr>
              <w:t>Transition</w:t>
            </w: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3"/>
              </w:rPr>
              <w:t>Fair Value on</w:t>
            </w: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220" w:type="dxa"/>
            <w:vAlign w:val="bottom"/>
            <w:tcBorders>
              <w:bottom w:val="single" w:sz="8" w:color="auto"/>
            </w:tcBorders>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w w:val="92"/>
              </w:rPr>
              <w:t>October 1, 2008</w:t>
            </w:r>
          </w:p>
        </w:tc>
        <w:tc>
          <w:tcPr>
            <w:tcW w:w="9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6"/>
              </w:rPr>
              <w:t>Adjustment to</w:t>
            </w:r>
          </w:p>
        </w:tc>
        <w:tc>
          <w:tcPr>
            <w:tcW w:w="220" w:type="dxa"/>
            <w:vAlign w:val="bottom"/>
          </w:tcPr>
          <w:p>
            <w:pPr>
              <w:spacing w:after="0"/>
              <w:rPr>
                <w:sz w:val="12"/>
                <w:szCs w:val="12"/>
                <w:color w:val="auto"/>
              </w:rPr>
            </w:pPr>
          </w:p>
        </w:tc>
        <w:tc>
          <w:tcPr>
            <w:tcW w:w="10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4"/>
              </w:rPr>
              <w:t>October 1, 2008</w:t>
            </w: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right"/>
              <w:ind w:right="140"/>
              <w:spacing w:after="0" w:line="129" w:lineRule="exact"/>
              <w:rPr>
                <w:sz w:val="20"/>
                <w:szCs w:val="20"/>
                <w:color w:val="auto"/>
              </w:rPr>
            </w:pPr>
            <w:r>
              <w:rPr>
                <w:rFonts w:ascii="Arial" w:cs="Arial" w:eastAsia="Arial" w:hAnsi="Arial"/>
                <w:sz w:val="13"/>
                <w:szCs w:val="13"/>
                <w:b w:val="1"/>
                <w:bCs w:val="1"/>
                <w:color w:val="auto"/>
              </w:rPr>
              <w:t>Carrying/</w:t>
            </w:r>
          </w:p>
        </w:tc>
        <w:tc>
          <w:tcPr>
            <w:tcW w:w="220" w:type="dxa"/>
            <w:vAlign w:val="bottom"/>
          </w:tcPr>
          <w:p>
            <w:pPr>
              <w:spacing w:after="0"/>
              <w:rPr>
                <w:sz w:val="11"/>
                <w:szCs w:val="11"/>
                <w:color w:val="auto"/>
              </w:rPr>
            </w:pPr>
          </w:p>
        </w:tc>
        <w:tc>
          <w:tcPr>
            <w:tcW w:w="124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91"/>
              </w:rPr>
              <w:t>before adoption</w:t>
            </w:r>
          </w:p>
        </w:tc>
        <w:tc>
          <w:tcPr>
            <w:tcW w:w="9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4"/>
              </w:rPr>
              <w:t>Retained</w:t>
            </w:r>
          </w:p>
        </w:tc>
        <w:tc>
          <w:tcPr>
            <w:tcW w:w="22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6"/>
              </w:rPr>
              <w:t>after adoption</w:t>
            </w: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220" w:type="dxa"/>
            <w:vAlign w:val="bottom"/>
            <w:gridSpan w:val="2"/>
          </w:tcPr>
          <w:p>
            <w:pPr>
              <w:ind w:left="360"/>
              <w:spacing w:after="0"/>
              <w:rPr>
                <w:sz w:val="20"/>
                <w:szCs w:val="20"/>
                <w:color w:val="auto"/>
              </w:rPr>
            </w:pPr>
            <w:r>
              <w:rPr>
                <w:rFonts w:ascii="Arial" w:cs="Arial" w:eastAsia="Arial" w:hAnsi="Arial"/>
                <w:sz w:val="13"/>
                <w:szCs w:val="13"/>
                <w:b w:val="1"/>
                <w:bCs w:val="1"/>
                <w:color w:val="auto"/>
              </w:rPr>
              <w:t>Cost</w:t>
            </w:r>
          </w:p>
        </w:tc>
        <w:tc>
          <w:tcPr>
            <w:tcW w:w="1000" w:type="dxa"/>
            <w:vAlign w:val="bottom"/>
          </w:tcPr>
          <w:p>
            <w:pPr>
              <w:jc w:val="right"/>
              <w:ind w:right="120"/>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of ASC 825</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3"/>
              </w:rPr>
              <w:t>Earnings</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3"/>
              </w:rPr>
              <w:t>of ASC 825</w:t>
            </w:r>
          </w:p>
        </w:tc>
        <w:tc>
          <w:tcPr>
            <w:tcW w:w="0" w:type="dxa"/>
            <w:vAlign w:val="bottom"/>
          </w:tcPr>
          <w:p>
            <w:pPr>
              <w:spacing w:after="0"/>
              <w:rPr>
                <w:sz w:val="1"/>
                <w:szCs w:val="1"/>
                <w:color w:val="auto"/>
              </w:rPr>
            </w:pPr>
          </w:p>
        </w:tc>
      </w:tr>
      <w:tr>
        <w:trPr>
          <w:trHeight w:val="209"/>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ind w:left="440"/>
              <w:spacing w:after="0"/>
              <w:rPr>
                <w:sz w:val="20"/>
                <w:szCs w:val="20"/>
                <w:color w:val="auto"/>
              </w:rPr>
            </w:pPr>
            <w:r>
              <w:rPr>
                <w:rFonts w:ascii="Arial" w:cs="Arial" w:eastAsia="Arial" w:hAnsi="Arial"/>
                <w:sz w:val="18"/>
                <w:szCs w:val="18"/>
                <w:color w:val="auto"/>
              </w:rPr>
              <w:t>Long-term</w:t>
            </w:r>
          </w:p>
        </w:tc>
        <w:tc>
          <w:tcPr>
            <w:tcW w:w="1000" w:type="dxa"/>
            <w:vAlign w:val="bottom"/>
          </w:tcPr>
          <w:p>
            <w:pPr>
              <w:jc w:val="right"/>
              <w:spacing w:after="0"/>
              <w:rPr>
                <w:sz w:val="20"/>
                <w:szCs w:val="20"/>
                <w:color w:val="auto"/>
              </w:rPr>
            </w:pPr>
            <w:r>
              <w:rPr>
                <w:rFonts w:ascii="Arial" w:cs="Arial" w:eastAsia="Arial" w:hAnsi="Arial"/>
                <w:sz w:val="18"/>
                <w:szCs w:val="18"/>
                <w:color w:val="auto"/>
                <w:w w:val="85"/>
              </w:rPr>
              <w:t>$ 218,100,000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5"/>
              </w:rPr>
              <w:t>$ 168,475,380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$ 162,000,000</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$ 41,796,000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$ 120,204,000</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Temporary draw</w:t>
            </w:r>
            <w:r>
              <w:rPr>
                <w:rFonts w:ascii="Arial" w:cs="Arial" w:eastAsia="Arial" w:hAnsi="Arial"/>
                <w:sz w:val="11"/>
                <w:szCs w:val="11"/>
                <w:color w:val="auto"/>
              </w:rPr>
              <w:t>(1)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2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2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jc w:val="right"/>
              <w:spacing w:after="0"/>
              <w:rPr>
                <w:sz w:val="20"/>
                <w:szCs w:val="20"/>
                <w:color w:val="auto"/>
              </w:rPr>
            </w:pPr>
            <w:r>
              <w:rPr>
                <w:rFonts w:ascii="Arial" w:cs="Arial" w:eastAsia="Arial" w:hAnsi="Arial"/>
                <w:sz w:val="18"/>
                <w:szCs w:val="18"/>
                <w:color w:val="auto"/>
                <w:w w:val="85"/>
              </w:rPr>
              <w:t>$ 225,100,000</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5"/>
              </w:rPr>
              <w:t>$ 175,475,380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$ 202,000,000</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$ 41,796,000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$ 160,204,000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20" w:type="dxa"/>
            <w:vAlign w:val="bottom"/>
            <w:tcBorders>
              <w:bottom w:val="single" w:sz="8" w:color="auto"/>
            </w:tcBorders>
          </w:tcPr>
          <w:p>
            <w:pPr>
              <w:spacing w:after="0"/>
              <w:rPr>
                <w:sz w:val="8"/>
                <w:szCs w:val="8"/>
                <w:color w:val="auto"/>
              </w:rPr>
            </w:pPr>
          </w:p>
        </w:tc>
        <w:tc>
          <w:tcPr>
            <w:tcW w:w="4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8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Temporary draw may include credit facility borrowings at the end of each quarter to maximize investment flexibility. See Note 11 to the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CHANGE IN NET ASSETS FROM OPERATIONS PER COMMON SHARE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 (decrease) in net assets resulting from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Period from</w:t>
            </w:r>
          </w:p>
        </w:tc>
      </w:tr>
      <w:tr>
        <w:trPr>
          <w:trHeight w:val="149"/>
        </w:trPr>
        <w:tc>
          <w:tcPr>
            <w:tcW w:w="9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January 11,</w:t>
            </w:r>
          </w:p>
        </w:tc>
      </w:tr>
      <w:tr>
        <w:trPr>
          <w:trHeight w:val="148"/>
        </w:trPr>
        <w:tc>
          <w:tcPr>
            <w:tcW w:w="9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6"/>
              <w:spacing w:after="0"/>
              <w:rPr>
                <w:sz w:val="20"/>
                <w:szCs w:val="20"/>
                <w:color w:val="auto"/>
              </w:rPr>
            </w:pPr>
            <w:r>
              <w:rPr>
                <w:rFonts w:ascii="Arial" w:cs="Arial" w:eastAsia="Arial" w:hAnsi="Arial"/>
                <w:sz w:val="13"/>
                <w:szCs w:val="13"/>
                <w:b w:val="1"/>
                <w:bCs w:val="1"/>
                <w:color w:val="auto"/>
                <w:w w:val="89"/>
              </w:rPr>
              <w:t>2007</w:t>
            </w:r>
          </w:p>
        </w:tc>
        <w:tc>
          <w:tcPr>
            <w:tcW w:w="140" w:type="dxa"/>
            <w:vAlign w:val="bottom"/>
          </w:tcPr>
          <w:p>
            <w:pPr>
              <w:spacing w:after="0"/>
              <w:rPr>
                <w:sz w:val="12"/>
                <w:szCs w:val="12"/>
                <w:color w:val="auto"/>
              </w:rPr>
            </w:pPr>
          </w:p>
        </w:tc>
      </w:tr>
      <w:tr>
        <w:trPr>
          <w:trHeight w:val="148"/>
        </w:trPr>
        <w:tc>
          <w:tcPr>
            <w:tcW w:w="9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(inception)</w:t>
            </w:r>
          </w:p>
        </w:tc>
      </w:tr>
      <w:tr>
        <w:trPr>
          <w:trHeight w:val="149"/>
        </w:trPr>
        <w:tc>
          <w:tcPr>
            <w:tcW w:w="9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4"/>
              </w:rPr>
              <w:t>Year ended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4"/>
              </w:rPr>
              <w:t>Year ended</w:t>
            </w:r>
          </w:p>
        </w:tc>
        <w:tc>
          <w:tcPr>
            <w:tcW w:w="10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through</w:t>
            </w:r>
          </w:p>
        </w:tc>
      </w:tr>
      <w:tr>
        <w:trPr>
          <w:trHeight w:val="148"/>
        </w:trPr>
        <w:tc>
          <w:tcPr>
            <w:tcW w:w="9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2"/>
              </w:rPr>
              <w:t>September 30,</w:t>
            </w:r>
          </w:p>
        </w:tc>
        <w:tc>
          <w:tcPr>
            <w:tcW w:w="180" w:type="dxa"/>
            <w:vAlign w:val="bottom"/>
          </w:tcPr>
          <w:p>
            <w:pPr>
              <w:spacing w:after="0"/>
              <w:rPr>
                <w:sz w:val="12"/>
                <w:szCs w:val="12"/>
                <w:color w:val="auto"/>
              </w:rPr>
            </w:pPr>
          </w:p>
        </w:tc>
        <w:tc>
          <w:tcPr>
            <w:tcW w:w="136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2"/>
              </w:rPr>
              <w:t>September 30,</w:t>
            </w:r>
          </w:p>
        </w:tc>
        <w:tc>
          <w:tcPr>
            <w:tcW w:w="10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September 30,</w:t>
            </w:r>
          </w:p>
        </w:tc>
      </w:tr>
      <w:tr>
        <w:trPr>
          <w:trHeight w:val="161"/>
        </w:trPr>
        <w:tc>
          <w:tcPr>
            <w:tcW w:w="9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8"/>
              </w:rPr>
              <w:t>Class and Year</w:t>
            </w:r>
          </w:p>
        </w:tc>
        <w:tc>
          <w:tcPr>
            <w:tcW w:w="5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w w:val="89"/>
              </w:rPr>
              <w:t>2009</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2008</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6"/>
              <w:spacing w:after="0"/>
              <w:rPr>
                <w:sz w:val="20"/>
                <w:szCs w:val="20"/>
                <w:color w:val="auto"/>
              </w:rPr>
            </w:pPr>
            <w:r>
              <w:rPr>
                <w:rFonts w:ascii="Arial" w:cs="Arial" w:eastAsia="Arial" w:hAnsi="Arial"/>
                <w:sz w:val="13"/>
                <w:szCs w:val="13"/>
                <w:b w:val="1"/>
                <w:bCs w:val="1"/>
                <w:color w:val="auto"/>
                <w:w w:val="89"/>
              </w:rPr>
              <w:t>2007</w:t>
            </w:r>
          </w:p>
        </w:tc>
        <w:tc>
          <w:tcPr>
            <w:tcW w:w="140" w:type="dxa"/>
            <w:vAlign w:val="bottom"/>
          </w:tcPr>
          <w:p>
            <w:pPr>
              <w:spacing w:after="0"/>
              <w:rPr>
                <w:sz w:val="14"/>
                <w:szCs w:val="14"/>
                <w:color w:val="auto"/>
              </w:rPr>
            </w:pPr>
          </w:p>
        </w:tc>
      </w:tr>
      <w:tr>
        <w:trPr>
          <w:trHeight w:val="210"/>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for net increase (decrease) in net assets resulting from operations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35,802,029</w:t>
            </w: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(40,702,939)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(16,699,251)</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21,092,334**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21,068,772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20,936,149*</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Basic and diluted net increase (decrease) in net assets per share resulting from operations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Since completion of IPO on April 24, 2007</w:t>
      </w:r>
    </w:p>
    <w:p>
      <w:pPr>
        <w:spacing w:after="0" w:line="15" w:lineRule="exact"/>
        <w:rPr>
          <w:sz w:val="20"/>
          <w:szCs w:val="20"/>
          <w:color w:val="auto"/>
        </w:rPr>
      </w:pPr>
    </w:p>
    <w:p>
      <w:pPr>
        <w:ind w:left="5540" w:right="3460" w:hanging="5532"/>
        <w:spacing w:after="0" w:line="433" w:lineRule="auto"/>
        <w:tabs>
          <w:tab w:leader="none" w:pos="457"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Denominator for diluted weighted average shares is 21,094,745. See Note 13 to the financial statements. 59</w:t>
      </w:r>
    </w:p>
    <w:p>
      <w:pPr>
        <w:sectPr>
          <w:pgSz w:w="11900" w:h="16838" w:orient="portrait"/>
          <w:cols w:equalWidth="0" w:num="1">
            <w:col w:w="11240"/>
          </w:cols>
          <w:pgMar w:left="320" w:top="459"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TAXES AND DISTRIBUTIONS</w:t>
      </w:r>
    </w:p>
    <w:p>
      <w:pPr>
        <w:spacing w:after="0" w:line="177" w:lineRule="exact"/>
        <w:rPr>
          <w:sz w:val="20"/>
          <w:szCs w:val="20"/>
          <w:color w:val="auto"/>
        </w:rPr>
      </w:pPr>
    </w:p>
    <w:p>
      <w:pPr>
        <w:ind w:right="60" w:firstLine="449"/>
        <w:spacing w:after="0" w:line="298" w:lineRule="auto"/>
        <w:rPr>
          <w:sz w:val="20"/>
          <w:szCs w:val="20"/>
          <w:color w:val="auto"/>
        </w:rPr>
      </w:pPr>
      <w:r>
        <w:rPr>
          <w:rFonts w:ascii="Arial" w:cs="Arial" w:eastAsia="Arial" w:hAnsi="Arial"/>
          <w:sz w:val="16"/>
          <w:szCs w:val="16"/>
          <w:color w:val="auto"/>
        </w:rPr>
        <w:t>Dividends from net investment income and distributions from net realized capital gains are determined in accordance with U.S. federal tax regulations, which may differ from amounts determined in accordance with GAAP. These book/tax differences are either temporary or permanent in nature. To the extent these differences are permanent, they are reclassified to undistributed net investment income, accumulated net realized loss or paid-in-capital, as appropriate in the period that the differences arise. The following differences were reclassified for tax purposes for the year ended September 30, 2009:</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Decrease in paid-in capital</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Decrease in accumulated net realized loss</w:t>
            </w:r>
          </w:p>
        </w:tc>
        <w:tc>
          <w:tcPr>
            <w:tcW w:w="31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(87,991)</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Increase in undistributed net investment income</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8"/>
              </w:rPr>
              <w:t>89,527</w:t>
            </w:r>
          </w:p>
        </w:tc>
      </w:tr>
    </w:tbl>
    <w:p>
      <w:pPr>
        <w:spacing w:after="0" w:line="15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As of September 30, 2009, the cost of investments for federal income tax purposes was $497.3 million resulting in a gross unrealized appreciation and depreciation of $19.4 million and $46.9 million, respectively. The following reconciles net increase in net assets resulting from operations to taxable income for the year ended September 30, 2009:</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$ 35,802,029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39,243,879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 transactions</w:t>
            </w:r>
          </w:p>
        </w:tc>
        <w:tc>
          <w:tcPr>
            <w:tcW w:w="3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(44,498,373)</w:t>
            </w: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3280" w:type="dxa"/>
            <w:vAlign w:val="bottom"/>
            <w:gridSpan w:val="3"/>
          </w:tcPr>
          <w:p>
            <w:pPr>
              <w:jc w:val="right"/>
              <w:ind w:right="60"/>
              <w:spacing w:after="0"/>
              <w:rPr>
                <w:sz w:val="20"/>
                <w:szCs w:val="20"/>
                <w:color w:val="auto"/>
              </w:rPr>
            </w:pPr>
            <w:r>
              <w:rPr>
                <w:rFonts w:ascii="Arial" w:cs="Arial" w:eastAsia="Arial" w:hAnsi="Arial"/>
                <w:sz w:val="18"/>
                <w:szCs w:val="18"/>
                <w:color w:val="auto"/>
              </w:rPr>
              <w:t>(7,828,620)</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taxable income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841,335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 deductible expenses</w:t>
            </w:r>
          </w:p>
        </w:tc>
        <w:tc>
          <w:tcPr>
            <w:tcW w:w="22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(13,808)</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Taxable income before deductions for distributions</w:t>
            </w:r>
          </w:p>
        </w:tc>
        <w:tc>
          <w:tcPr>
            <w:tcW w:w="222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$ 23,546,442</w:t>
            </w:r>
          </w:p>
        </w:tc>
        <w:tc>
          <w:tcPr>
            <w:tcW w:w="120" w:type="dxa"/>
            <w:vAlign w:val="bottom"/>
            <w:shd w:val="clear" w:color="auto" w:fill="CCEEFF"/>
          </w:tcPr>
          <w:p>
            <w:pPr>
              <w:spacing w:after="0"/>
              <w:rPr>
                <w:sz w:val="18"/>
                <w:szCs w:val="18"/>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September 30, 2009, the components of accumulated losses on tax basis and reconciliation to accumulated losses on a book basis were as follows:</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ordinary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7,618,230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Undistributed long-term net capital gains</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Total undistributed net earnings</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7,618,230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Capital loss carry forward*</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(11,250,565)</w:t>
            </w: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Post-October capital losses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(39,331,872)</w:t>
            </w: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Dividend payable and other temporary differences</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(5,638,469)</w:t>
            </w: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of investments and credit facility</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22,096,807</w:t>
            </w:r>
          </w:p>
        </w:tc>
        <w:tc>
          <w:tcPr>
            <w:tcW w:w="120" w:type="dxa"/>
            <w:vAlign w:val="bottom"/>
            <w:shd w:val="clear" w:color="auto" w:fill="CCEEFF"/>
          </w:tcPr>
          <w:p>
            <w:pPr>
              <w:spacing w:after="0"/>
              <w:rPr>
                <w:sz w:val="18"/>
                <w:szCs w:val="18"/>
                <w:color w:val="auto"/>
              </w:rPr>
            </w:pPr>
          </w:p>
        </w:tc>
      </w:tr>
      <w:tr>
        <w:trPr>
          <w:trHeight w:val="222"/>
        </w:trPr>
        <w:tc>
          <w:tcPr>
            <w:tcW w:w="8360" w:type="dxa"/>
            <w:vAlign w:val="bottom"/>
            <w:gridSpan w:val="2"/>
          </w:tcPr>
          <w:p>
            <w:pPr>
              <w:spacing w:after="0"/>
              <w:rPr>
                <w:sz w:val="20"/>
                <w:szCs w:val="20"/>
                <w:color w:val="auto"/>
              </w:rPr>
            </w:pPr>
            <w:r>
              <w:rPr>
                <w:rFonts w:ascii="Arial" w:cs="Arial" w:eastAsia="Arial" w:hAnsi="Arial"/>
                <w:sz w:val="18"/>
                <w:szCs w:val="18"/>
                <w:color w:val="auto"/>
              </w:rPr>
              <w:t>Total accumulated losses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(26,505,869)</w:t>
            </w: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12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34" w:lineRule="exact"/>
        <w:rPr>
          <w:sz w:val="20"/>
          <w:szCs w:val="20"/>
          <w:color w:val="auto"/>
        </w:rPr>
      </w:pPr>
    </w:p>
    <w:p>
      <w:pPr>
        <w:ind w:left="220" w:right="180" w:hanging="212"/>
        <w:spacing w:after="0" w:line="268" w:lineRule="auto"/>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of September 30, 2009, the Fund had a capital loss carryforward of $11.2 million. If not utilized against future capital gains, $0.2 million of this capital loss carryforward will expire in 2016 and $11.0 million will expire in 2017.</w:t>
      </w:r>
    </w:p>
    <w:p>
      <w:pPr>
        <w:spacing w:after="0" w:line="132" w:lineRule="exact"/>
        <w:rPr>
          <w:sz w:val="20"/>
          <w:szCs w:val="20"/>
          <w:color w:val="auto"/>
        </w:rPr>
      </w:pPr>
    </w:p>
    <w:p>
      <w:pPr>
        <w:ind w:right="200" w:firstLine="449"/>
        <w:spacing w:after="0" w:line="268" w:lineRule="auto"/>
        <w:rPr>
          <w:sz w:val="20"/>
          <w:szCs w:val="20"/>
          <w:color w:val="auto"/>
        </w:rPr>
      </w:pPr>
      <w:r>
        <w:rPr>
          <w:rFonts w:ascii="Arial" w:cs="Arial" w:eastAsia="Arial" w:hAnsi="Arial"/>
          <w:sz w:val="18"/>
          <w:szCs w:val="18"/>
          <w:color w:val="auto"/>
        </w:rPr>
        <w:t>The tax character of dividends declared during the fiscal year ended September 30, 2009 was solely from ordinary income and totaled $20.2 million or $0.96 per share.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177"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Cash equivalents represents cash pending investment in longer-term portfolio holdings, PennantPark Investment may invest temporarily in U.S. Treasury Bills (of varying maturities), repurchase agreements, money markets or repo-like treasury securities. These temporary investments with maturities of 90 days or less are deemed cash equivalents and are included in the Schedule of Investments. At the end of each fiscal quarter, PennantPark Investment could take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temporarily drawing down on its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w:t>
      </w:r>
    </w:p>
    <w:p>
      <w:pPr>
        <w:sectPr>
          <w:pgSz w:w="11900" w:h="16838" w:orient="portrait"/>
          <w:cols w:equalWidth="0" w:num="1">
            <w:col w:w="11240"/>
          </w:cols>
          <w:pgMar w:left="320" w:top="459"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9. REPURCHASE AGREEMENTS</w:t>
      </w:r>
    </w:p>
    <w:p>
      <w:pPr>
        <w:spacing w:after="0" w:line="17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on September 30, 2009 or 2008.</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125"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96" w:lineRule="exact"/>
        <w:rPr>
          <w:sz w:val="20"/>
          <w:szCs w:val="20"/>
          <w:color w:val="auto"/>
        </w:rPr>
      </w:pPr>
    </w:p>
    <w:p>
      <w:pPr>
        <w:ind w:right="100" w:firstLine="449"/>
        <w:spacing w:after="0" w:line="306" w:lineRule="auto"/>
        <w:rPr>
          <w:sz w:val="20"/>
          <w:szCs w:val="20"/>
          <w:color w:val="auto"/>
        </w:rPr>
      </w:pPr>
      <w:r>
        <w:rPr>
          <w:rFonts w:ascii="Arial" w:cs="Arial" w:eastAsia="Arial" w:hAnsi="Arial"/>
          <w:sz w:val="16"/>
          <w:szCs w:val="16"/>
          <w:color w:val="auto"/>
        </w:rPr>
        <w:t>On September 30, 2009 and 2008, PennantPark Investment’s total net assets and net asset value per share were $300.6 million and $210.7 million, respectively, and $11.85 and $10.00, respectively. On September 30, 2007, PennantPark Investment’s total net assets and net asset value per share were $270.4 million and $12.83, respectively. Below please find the financial highlights for the periods ending September 30, 2009, 2008 and 2007.</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5"/>
              </w:rPr>
              <w:t>Period from</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4"/>
              </w:rPr>
              <w:t>January 11,</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92"/>
              </w:rPr>
              <w:t>2007 (inception)</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4"/>
              </w:rPr>
              <w:t>Year 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4"/>
              </w:rPr>
              <w:t>Year ended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3"/>
              </w:rPr>
              <w:t>through</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2"/>
              </w:rPr>
              <w:t>September 30,</w:t>
            </w:r>
          </w:p>
        </w:tc>
        <w:tc>
          <w:tcPr>
            <w:tcW w:w="200" w:type="dxa"/>
            <w:vAlign w:val="bottom"/>
          </w:tcPr>
          <w:p>
            <w:pPr>
              <w:spacing w:after="0"/>
              <w:rPr>
                <w:sz w:val="12"/>
                <w:szCs w:val="12"/>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92"/>
              </w:rPr>
              <w:t>September 30,</w:t>
            </w:r>
          </w:p>
        </w:tc>
        <w:tc>
          <w:tcPr>
            <w:tcW w:w="220" w:type="dxa"/>
            <w:vAlign w:val="bottom"/>
          </w:tcPr>
          <w:p>
            <w:pPr>
              <w:spacing w:after="0"/>
              <w:rPr>
                <w:sz w:val="12"/>
                <w:szCs w:val="12"/>
                <w:color w:val="auto"/>
              </w:rPr>
            </w:pPr>
          </w:p>
        </w:tc>
        <w:tc>
          <w:tcPr>
            <w:tcW w:w="144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92"/>
              </w:rPr>
              <w:t>September 30,</w:t>
            </w:r>
          </w:p>
        </w:tc>
        <w:tc>
          <w:tcPr>
            <w:tcW w:w="0" w:type="dxa"/>
            <w:vAlign w:val="bottom"/>
          </w:tcPr>
          <w:p>
            <w:pPr>
              <w:spacing w:after="0"/>
              <w:rPr>
                <w:sz w:val="1"/>
                <w:szCs w:val="1"/>
                <w:color w:val="auto"/>
              </w:rPr>
            </w:pPr>
          </w:p>
        </w:tc>
      </w:tr>
      <w:tr>
        <w:trPr>
          <w:trHeight w:val="161"/>
        </w:trPr>
        <w:tc>
          <w:tcPr>
            <w:tcW w:w="5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9"/>
              </w:rPr>
              <w:t>2009</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9"/>
              </w:rPr>
              <w:t>2008</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2007</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12.83</w:t>
            </w:r>
          </w:p>
        </w:tc>
        <w:tc>
          <w:tcPr>
            <w:tcW w:w="4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w:t>
            </w:r>
            <w:r>
              <w:rPr>
                <w:rFonts w:ascii="Arial" w:cs="Arial" w:eastAsia="Arial" w:hAnsi="Arial"/>
                <w:sz w:val="11"/>
                <w:szCs w:val="11"/>
                <w:color w:val="auto"/>
              </w:rPr>
              <w:t>(1)</w:t>
            </w:r>
          </w:p>
        </w:tc>
        <w:tc>
          <w:tcPr>
            <w:tcW w:w="1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60" w:type="dxa"/>
            <w:vAlign w:val="bottom"/>
          </w:tcPr>
          <w:p>
            <w:pPr>
              <w:spacing w:after="0"/>
              <w:rPr>
                <w:sz w:val="20"/>
                <w:szCs w:val="20"/>
                <w:color w:val="auto"/>
              </w:rPr>
            </w:pPr>
            <w:r>
              <w:rPr>
                <w:rFonts w:ascii="Arial" w:cs="Arial" w:eastAsia="Arial" w:hAnsi="Arial"/>
                <w:sz w:val="18"/>
                <w:szCs w:val="18"/>
                <w:color w:val="auto"/>
              </w:rPr>
              <w:t>Adjusted net asset value, beginning of period</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11.99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12.83</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Net change in realized and unrealized loss</w:t>
            </w:r>
            <w:r>
              <w:rPr>
                <w:rFonts w:ascii="Arial" w:cs="Arial" w:eastAsia="Arial" w:hAnsi="Arial"/>
                <w:sz w:val="11"/>
                <w:szCs w:val="11"/>
                <w:color w:val="auto"/>
              </w:rPr>
              <w:t>(2)</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Dividends and distributions to stockholders</w:t>
            </w:r>
            <w:r>
              <w:rPr>
                <w:rFonts w:ascii="Arial" w:cs="Arial" w:eastAsia="Arial" w:hAnsi="Arial"/>
                <w:sz w:val="11"/>
                <w:szCs w:val="11"/>
                <w:color w:val="auto"/>
              </w:rPr>
              <w:t>(3)</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(0.96)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(0.90)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Initial issuance of common stock</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Dilutive effect of common stock issuance below net asset value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(0.79)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related to public offerings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Net asset value, end of period</w:t>
            </w: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6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11.85</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(4)</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(38.58)%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(8.29)%*</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25,368,772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21,068,772</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21,068,772</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11"/>
                <w:szCs w:val="11"/>
                <w:color w:val="auto"/>
              </w:rPr>
              <w:t>(5)</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to average net assets</w:t>
            </w:r>
            <w:r>
              <w:rPr>
                <w:rFonts w:ascii="Arial" w:cs="Arial" w:eastAsia="Arial" w:hAnsi="Arial"/>
                <w:sz w:val="11"/>
                <w:szCs w:val="11"/>
                <w:color w:val="auto"/>
              </w:rPr>
              <w:t>(6)</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7.82%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5.96%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300,580,268</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210,728,260</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270,393,094</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Average debt outstanding</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182,490,685</w:t>
            </w:r>
          </w:p>
        </w:tc>
        <w:tc>
          <w:tcPr>
            <w:tcW w:w="3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119,472,732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817,610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Average debt per share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0.04</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22"/>
        </w:trPr>
        <w:tc>
          <w:tcPr>
            <w:tcW w:w="556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7.47%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12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15" w:lineRule="exact"/>
        <w:rPr>
          <w:sz w:val="20"/>
          <w:szCs w:val="20"/>
          <w:color w:val="auto"/>
        </w:rPr>
      </w:pPr>
    </w:p>
    <w:p>
      <w:pPr>
        <w:ind w:left="460" w:right="220" w:hanging="452"/>
        <w:spacing w:after="0" w:line="300" w:lineRule="auto"/>
        <w:tabs>
          <w:tab w:leader="none" w:pos="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On October 1, 2008, PennantPark Investment adopted ASC 825 and made an irrevocable election to apply the fair value option to our long-term credit facility. Upon our adoption Net Asset Value increased $41.8 million, or $1.99 per share, due to the fair value adjustment related to our credit facility.</w:t>
      </w:r>
    </w:p>
    <w:p>
      <w:pPr>
        <w:ind w:left="460" w:right="6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Net investment income and net change in realized and unrealized loss per share data are calculated based on the weighted average shares outstanding for the respective period.</w:t>
      </w:r>
    </w:p>
    <w:p>
      <w:pPr>
        <w:ind w:left="460" w:right="54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ind w:left="460" w:right="28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our dividend reinvestment plan.</w:t>
      </w:r>
    </w:p>
    <w:p>
      <w:pPr>
        <w:jc w:val="both"/>
        <w:ind w:left="460" w:right="140" w:hanging="452"/>
        <w:spacing w:after="0" w:line="281"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ratio of operating expenses to average net assets before adoption of ASC 825 for the fiscal year ended September 30, 2009 was 9.32%. The ratio of operating expenses to average net assets before management fee waiver was 6.47% and 4.28% for the fiscal year ended September 30, 2008 and for the period from April 24, 2007 (initial public offering) through September 30, 2007, respectively.</w:t>
      </w:r>
    </w:p>
    <w:p>
      <w:pPr>
        <w:spacing w:after="0" w:line="1" w:lineRule="exact"/>
        <w:rPr>
          <w:rFonts w:ascii="Arial" w:cs="Arial" w:eastAsia="Arial" w:hAnsi="Arial"/>
          <w:sz w:val="16"/>
          <w:szCs w:val="16"/>
          <w:color w:val="auto"/>
        </w:rPr>
      </w:pPr>
    </w:p>
    <w:p>
      <w:pPr>
        <w:ind w:left="460" w:right="10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ratio of total expenses to average net assets before adoption of ASC 825 for the fiscal year ended September 30, 2009 was 11.75%. the ratio of total expenses before management fee waiver to average net assets was 9.13% and 5.78% for the fiscal year ended September 30, 2008 and for the period from April 24, 2007 (initial public offering) through September 30, 2007, respectively.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Since initial public offering on April 24, 2007.</w:t>
      </w:r>
    </w:p>
    <w:p>
      <w:pPr>
        <w:sectPr>
          <w:pgSz w:w="11900" w:h="16838" w:orient="portrait"/>
          <w:cols w:equalWidth="0" w:num="1">
            <w:col w:w="11240"/>
          </w:cols>
          <w:pgMar w:left="320" w:top="459"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11. CREDIT FACILITY</w:t>
      </w:r>
    </w:p>
    <w:p>
      <w:pPr>
        <w:spacing w:after="0" w:line="177" w:lineRule="exact"/>
        <w:rPr>
          <w:sz w:val="20"/>
          <w:szCs w:val="20"/>
          <w:color w:val="auto"/>
        </w:rPr>
      </w:pPr>
    </w:p>
    <w:p>
      <w:pPr>
        <w:ind w:right="180" w:firstLine="449"/>
        <w:spacing w:after="0" w:line="294" w:lineRule="auto"/>
        <w:rPr>
          <w:sz w:val="20"/>
          <w:szCs w:val="20"/>
          <w:color w:val="auto"/>
        </w:rPr>
      </w:pPr>
      <w:r>
        <w:rPr>
          <w:rFonts w:ascii="Arial" w:cs="Arial" w:eastAsia="Arial" w:hAnsi="Arial"/>
          <w:sz w:val="16"/>
          <w:szCs w:val="16"/>
          <w:color w:val="auto"/>
        </w:rPr>
        <w:t>On June 25, 2007, we entered into a senior secured revolving credit agreement, or our credit facility, among us, various lenders and SunTrust Bank, as administrative agent for the lenders. SunTrust Robinson Humphrey Capital Markets acted as the joint lead arranger and book-runner, and JPMorgan Chase (Chase Lincoln First Commercial successor interest of Bear Stearns Corporate Lending Inc.) acted as joint lead arranger and syndication agent. As of September 30, 2009, there was $225.1 million in outstanding borrowings under the credit facility (including a $7.0 million temporary draw), with a weighted average interest rate at the time of 1.31% exclusive of the fee on undrawn commitment of 0.20%.</w:t>
      </w:r>
    </w:p>
    <w:p>
      <w:pPr>
        <w:spacing w:after="0" w:line="115" w:lineRule="exact"/>
        <w:rPr>
          <w:sz w:val="20"/>
          <w:szCs w:val="20"/>
          <w:color w:val="auto"/>
        </w:rPr>
      </w:pPr>
    </w:p>
    <w:p>
      <w:pPr>
        <w:ind w:right="140" w:firstLine="449"/>
        <w:spacing w:after="0" w:line="306" w:lineRule="auto"/>
        <w:rPr>
          <w:sz w:val="20"/>
          <w:szCs w:val="20"/>
          <w:color w:val="auto"/>
        </w:rPr>
      </w:pPr>
      <w:r>
        <w:rPr>
          <w:rFonts w:ascii="Arial" w:cs="Arial" w:eastAsia="Arial" w:hAnsi="Arial"/>
          <w:sz w:val="16"/>
          <w:szCs w:val="16"/>
          <w:color w:val="auto"/>
        </w:rPr>
        <w:t>Under the credit facility, the lenders agreed to extend credit to PennantPark Investment in an initial aggregate principal or face amount not exceeding $300.0 million at any one time outstanding. The credit facility is a five-year revolving facility (with a stated maturity date of June 25, 2012) and is secured by substantially all of the assets in PennantPark Investment’s portfolio. Pricing is set at 100 basis points over LIBOR.</w:t>
      </w:r>
    </w:p>
    <w:p>
      <w:pPr>
        <w:spacing w:after="0" w:line="106"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The credit facility contains customary affirmative and negative covenants, including the maintenance of a minimum stockholders’ equity, the maintenance of a ratio not less than 200% of total assets (less total liabilities other than indebtedness) to total indebtedness is approximately 271% including temporary draw as of September 30, 2009 or 278% excluding such draws, and restrictions on certain payments and issuance of debt. For a complete list of such covenants, see our report on Form 8-K, filed June 28, 2007.</w:t>
      </w:r>
    </w:p>
    <w:p>
      <w:pPr>
        <w:spacing w:after="0" w:line="143" w:lineRule="exact"/>
        <w:rPr>
          <w:sz w:val="20"/>
          <w:szCs w:val="20"/>
          <w:color w:val="auto"/>
        </w:rPr>
      </w:pPr>
    </w:p>
    <w:p>
      <w:pPr>
        <w:ind w:right="140" w:firstLine="449"/>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depends on many factors, some of which are beyond our control. Material net asset devaluation could have a material adverse effect on our operations and could require us to reduce our borrowings under our credit facility in order to comply with certain of the covenants we made when we entered into the credit facility, including the ratio of total assets to total indebtedness.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77"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Subsequent events after the Statement of Assets and Liabilities date have been evaluated through the November 18, 2009.</w:t>
      </w:r>
    </w:p>
    <w:p>
      <w:pPr>
        <w:spacing w:after="0" w:line="171"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On October 13, 2009, the underwriters of the follow-on public offering of common stock exercised their over-allotment option under the underwriting agreement and elected to purchase an additional 440,000 shares of common stock from us at a price of $8.00 per share, resulting in proceeds, net of underwriting fees, of $3.3 million.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25" w:right="3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ind w:firstLine="449"/>
        <w:spacing w:after="0" w:line="310" w:lineRule="auto"/>
        <w:rPr>
          <w:sz w:val="20"/>
          <w:szCs w:val="20"/>
          <w:color w:val="auto"/>
        </w:rPr>
      </w:pPr>
      <w:r>
        <w:rPr>
          <w:rFonts w:ascii="Arial" w:cs="Arial" w:eastAsia="Arial" w:hAnsi="Arial"/>
          <w:sz w:val="15"/>
          <w:szCs w:val="15"/>
          <w:color w:val="auto"/>
        </w:rPr>
        <w:t>As of September 30, 2009, we, including our Chief Executive Officer and Chief Financial Officer, evaluated the effectiveness of the design and operation of our disclosure controls and procedures (as defined in Rule 13a-15(e) of the 1934 Act).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Management’s Report on Internal Control Over Financial Reporting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Management’s Report on Internal Control Over Financial Reporting, which appears on page 40 of this Form 10-K, is incorporated by reference herein.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Changes in Internal Controls Over Financial Reporting.</w:t>
      </w:r>
    </w:p>
    <w:p>
      <w:pPr>
        <w:spacing w:after="0" w:line="171" w:lineRule="exact"/>
        <w:rPr>
          <w:sz w:val="20"/>
          <w:szCs w:val="20"/>
          <w:color w:val="auto"/>
        </w:rPr>
      </w:pPr>
    </w:p>
    <w:p>
      <w:pPr>
        <w:jc w:val="both"/>
        <w:ind w:right="120" w:firstLine="449"/>
        <w:spacing w:after="0" w:line="259" w:lineRule="auto"/>
        <w:rPr>
          <w:sz w:val="20"/>
          <w:szCs w:val="20"/>
          <w:color w:val="auto"/>
        </w:rPr>
      </w:pPr>
      <w:r>
        <w:rPr>
          <w:rFonts w:ascii="Arial" w:cs="Arial" w:eastAsia="Arial" w:hAnsi="Arial"/>
          <w:sz w:val="18"/>
          <w:szCs w:val="18"/>
          <w:color w:val="auto"/>
        </w:rPr>
        <w:t>There have been no material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1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459"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177" w:lineRule="exact"/>
        <w:rPr>
          <w:sz w:val="20"/>
          <w:szCs w:val="20"/>
          <w:color w:val="auto"/>
        </w:rPr>
      </w:pPr>
    </w:p>
    <w:p>
      <w:pPr>
        <w:ind w:firstLine="449"/>
        <w:spacing w:after="0" w:line="306" w:lineRule="auto"/>
        <w:rPr>
          <w:sz w:val="20"/>
          <w:szCs w:val="20"/>
          <w:color w:val="auto"/>
        </w:rPr>
      </w:pPr>
      <w:r>
        <w:rPr>
          <w:rFonts w:ascii="Arial" w:cs="Arial" w:eastAsia="Arial" w:hAnsi="Arial"/>
          <w:sz w:val="16"/>
          <w:szCs w:val="16"/>
          <w:color w:val="auto"/>
        </w:rPr>
        <w:t>We will file a definitive Proxy Statement for our 2010 Annual Meeting of Stockholders with the SEC, pursuant to Regulation 14A, not later than 120 days after the end of our fiscal year. Accordingly, certain information required by Part III has been omitted under General Instruction G(3) to Form 10-K. Only those sections of our definitive Proxy Statement that specifically address the items set forth herein are incorporated by reference.</w:t>
      </w:r>
    </w:p>
    <w:p>
      <w:pPr>
        <w:spacing w:after="0" w:line="30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6" w:lineRule="exact"/>
        <w:rPr>
          <w:sz w:val="20"/>
          <w:szCs w:val="20"/>
          <w:color w:val="auto"/>
        </w:rPr>
      </w:pPr>
    </w:p>
    <w:p>
      <w:pPr>
        <w:ind w:right="200" w:firstLine="449"/>
        <w:spacing w:after="0" w:line="331" w:lineRule="auto"/>
        <w:rPr>
          <w:sz w:val="20"/>
          <w:szCs w:val="20"/>
          <w:color w:val="auto"/>
        </w:rPr>
      </w:pPr>
      <w:r>
        <w:rPr>
          <w:rFonts w:ascii="Arial" w:cs="Arial" w:eastAsia="Arial" w:hAnsi="Arial"/>
          <w:sz w:val="16"/>
          <w:szCs w:val="16"/>
          <w:color w:val="auto"/>
        </w:rPr>
        <w:t>The information required by Item 10 is hereby incorporated by reference from our definitive Proxy Statement relating to our 2010 Annual Meeting of Stockholders, to be filed with the Securities and Exchange Commission within 120 days following the end of our fiscal year.</w:t>
      </w:r>
    </w:p>
    <w:p>
      <w:pPr>
        <w:spacing w:after="0" w:line="28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right="200" w:firstLine="449"/>
        <w:spacing w:after="0" w:line="331" w:lineRule="auto"/>
        <w:rPr>
          <w:sz w:val="20"/>
          <w:szCs w:val="20"/>
          <w:color w:val="auto"/>
        </w:rPr>
      </w:pPr>
      <w:r>
        <w:rPr>
          <w:rFonts w:ascii="Arial" w:cs="Arial" w:eastAsia="Arial" w:hAnsi="Arial"/>
          <w:sz w:val="16"/>
          <w:szCs w:val="16"/>
          <w:color w:val="auto"/>
        </w:rPr>
        <w:t>The information required by Item 11 is hereby incorporated by reference from our definitive Proxy Statement relating to our 2010 Annual Meeting of Stockholders, to be filed with the Securities and Exchange Commission within 120 days following the end of our fiscal year.</w:t>
      </w:r>
    </w:p>
    <w:p>
      <w:pPr>
        <w:spacing w:after="0" w:line="28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96" w:lineRule="exact"/>
        <w:rPr>
          <w:sz w:val="20"/>
          <w:szCs w:val="20"/>
          <w:color w:val="auto"/>
        </w:rPr>
      </w:pPr>
    </w:p>
    <w:p>
      <w:pPr>
        <w:ind w:right="200" w:firstLine="449"/>
        <w:spacing w:after="0" w:line="331" w:lineRule="auto"/>
        <w:rPr>
          <w:sz w:val="20"/>
          <w:szCs w:val="20"/>
          <w:color w:val="auto"/>
        </w:rPr>
      </w:pPr>
      <w:r>
        <w:rPr>
          <w:rFonts w:ascii="Arial" w:cs="Arial" w:eastAsia="Arial" w:hAnsi="Arial"/>
          <w:sz w:val="16"/>
          <w:szCs w:val="16"/>
          <w:color w:val="auto"/>
        </w:rPr>
        <w:t>The information required by Item 12 is hereby incorporated by reference from our definitive Proxy Statement relating to our 2010 Annual Meeting of Stockholders, to be filed with the Securities and Exchange Commission within 120 days following the end of our fiscal year.</w:t>
      </w:r>
    </w:p>
    <w:p>
      <w:pPr>
        <w:spacing w:after="0" w:line="28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right="200" w:firstLine="449"/>
        <w:spacing w:after="0" w:line="331" w:lineRule="auto"/>
        <w:rPr>
          <w:sz w:val="20"/>
          <w:szCs w:val="20"/>
          <w:color w:val="auto"/>
        </w:rPr>
      </w:pPr>
      <w:r>
        <w:rPr>
          <w:rFonts w:ascii="Arial" w:cs="Arial" w:eastAsia="Arial" w:hAnsi="Arial"/>
          <w:sz w:val="16"/>
          <w:szCs w:val="16"/>
          <w:color w:val="auto"/>
        </w:rPr>
        <w:t>The information required by Item 13 is hereby incorporated by reference from our definitive Proxy Statement relating to our 2010 Annual Meeting of Stockholders, to be filed with the Securities and Exchange Commission within 120 days following the end of our fiscal year.</w:t>
      </w:r>
    </w:p>
    <w:p>
      <w:pPr>
        <w:spacing w:after="0" w:line="28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ind w:right="200" w:firstLine="449"/>
        <w:spacing w:after="0" w:line="331" w:lineRule="auto"/>
        <w:rPr>
          <w:sz w:val="20"/>
          <w:szCs w:val="20"/>
          <w:color w:val="auto"/>
        </w:rPr>
      </w:pPr>
      <w:r>
        <w:rPr>
          <w:rFonts w:ascii="Arial" w:cs="Arial" w:eastAsia="Arial" w:hAnsi="Arial"/>
          <w:sz w:val="16"/>
          <w:szCs w:val="16"/>
          <w:color w:val="auto"/>
        </w:rPr>
        <w:t>The information required by Item 14 is hereby incorporated by reference from our definitive Proxy Statement relating to our 2010 Annual Meeting of Stockholders, to be filed with the Securities and Exchange Commission within 120 days following the end of our fiscal year.</w:t>
      </w:r>
    </w:p>
    <w:p>
      <w:pPr>
        <w:spacing w:after="0" w:line="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60"/>
          </w:cols>
          <w:pgMar w:left="320" w:top="459" w:right="4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part of this Annual Report:</w:t>
      </w:r>
    </w:p>
    <w:p>
      <w:pPr>
        <w:spacing w:after="0" w:line="90" w:lineRule="exact"/>
        <w:rPr>
          <w:sz w:val="20"/>
          <w:szCs w:val="20"/>
          <w:color w:val="auto"/>
        </w:rPr>
      </w:pPr>
    </w:p>
    <w:p>
      <w:pPr>
        <w:ind w:left="900" w:hanging="447"/>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Financial Statements—Refer to Item 8 starting on page 40.</w:t>
      </w:r>
    </w:p>
    <w:p>
      <w:pPr>
        <w:spacing w:after="0" w:line="90" w:lineRule="exact"/>
        <w:rPr>
          <w:rFonts w:ascii="Arial" w:cs="Arial" w:eastAsia="Arial" w:hAnsi="Arial"/>
          <w:sz w:val="18"/>
          <w:szCs w:val="18"/>
          <w:color w:val="auto"/>
        </w:rPr>
      </w:pPr>
    </w:p>
    <w:p>
      <w:pPr>
        <w:ind w:left="900" w:hanging="447"/>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Financial Statement Schedules—None.</w:t>
      </w:r>
    </w:p>
    <w:p>
      <w:pPr>
        <w:spacing w:after="0" w:line="90" w:lineRule="exact"/>
        <w:rPr>
          <w:rFonts w:ascii="Arial" w:cs="Arial" w:eastAsia="Arial" w:hAnsi="Arial"/>
          <w:sz w:val="18"/>
          <w:szCs w:val="18"/>
          <w:color w:val="auto"/>
        </w:rPr>
      </w:pPr>
    </w:p>
    <w:p>
      <w:pPr>
        <w:ind w:left="900" w:hanging="447"/>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ind w:left="920" w:right="40" w:hanging="784"/>
        <w:spacing w:after="0" w:line="268" w:lineRule="auto"/>
        <w:tabs>
          <w:tab w:leader="none" w:pos="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Articles of Incorporation (Incorporated by reference to the Registrant’s Pre-Effective Amendment No.1 to the Registration Statement on Form N-2/A (File No. 333-140092), filed on March 5, 2007).</w:t>
      </w:r>
    </w:p>
    <w:p>
      <w:pPr>
        <w:spacing w:after="0" w:line="78" w:lineRule="exact"/>
        <w:rPr>
          <w:sz w:val="20"/>
          <w:szCs w:val="20"/>
          <w:color w:val="auto"/>
        </w:rPr>
      </w:pPr>
    </w:p>
    <w:p>
      <w:pPr>
        <w:ind w:left="920" w:right="100" w:hanging="784"/>
        <w:spacing w:after="0" w:line="268" w:lineRule="auto"/>
        <w:tabs>
          <w:tab w:leader="none" w:pos="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the Registrant (Incorporated by reference to Exhibit 3.2 to the Registrant’s Annual Report on Form 10-K (File No. 814-00736), filed on December 13, 2007).</w:t>
      </w:r>
    </w:p>
    <w:p>
      <w:pPr>
        <w:spacing w:after="0" w:line="78"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Share Certificate (Incorporated by reference to Exhibit 99(d)(1) to the Registrant’s Registration Statement on Form N-2 (File No. 333-</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150033), filed on April 2, 2008).</w:t>
      </w:r>
    </w:p>
    <w:p>
      <w:pPr>
        <w:spacing w:after="0" w:line="111" w:lineRule="exact"/>
        <w:rPr>
          <w:sz w:val="20"/>
          <w:szCs w:val="20"/>
          <w:color w:val="auto"/>
        </w:rPr>
      </w:pPr>
    </w:p>
    <w:p>
      <w:pPr>
        <w:ind w:left="920" w:right="180" w:hanging="871"/>
        <w:spacing w:after="0" w:line="331" w:lineRule="auto"/>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Investment Management Agreement between the Registrant and PennantPark Investment Advisers, LLC (Incorporated by reference to Exhibit 99(g) to the Registrant’s Registration Statement on Form N-2 (File No. 333-150033), filed on April 2, 2008).</w:t>
      </w:r>
    </w:p>
    <w:p>
      <w:pPr>
        <w:spacing w:after="0" w:line="33" w:lineRule="exact"/>
        <w:rPr>
          <w:sz w:val="20"/>
          <w:szCs w:val="20"/>
          <w:color w:val="auto"/>
        </w:rPr>
      </w:pPr>
    </w:p>
    <w:p>
      <w:pPr>
        <w:ind w:left="920" w:hanging="871"/>
        <w:spacing w:after="0" w:line="268" w:lineRule="auto"/>
        <w:tabs>
          <w:tab w:leader="none" w:pos="9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Form of Custodian Agreement between the Registrant and PFPC Trust Company (Incorporated by reference to Exhibit 99(j)(1) to the Registrant’s Registration Statement on Form N-2 (File No. 333-150033), filed on April 2, 2008).</w:t>
      </w:r>
    </w:p>
    <w:p>
      <w:pPr>
        <w:spacing w:after="0" w:line="78" w:lineRule="exact"/>
        <w:rPr>
          <w:sz w:val="20"/>
          <w:szCs w:val="20"/>
          <w:color w:val="auto"/>
        </w:rPr>
      </w:pPr>
    </w:p>
    <w:p>
      <w:pPr>
        <w:ind w:left="920" w:right="80" w:hanging="871"/>
        <w:spacing w:after="0" w:line="268" w:lineRule="auto"/>
        <w:tabs>
          <w:tab w:leader="none" w:pos="9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Administration Agreement between the Registrant and various lenders (Incorporated by reference to Exhibit 99(k)(1) to the Registrant’s Registration Statement on Form N-2 (File No. 333-150033), filed on April 2, 2008).</w:t>
      </w:r>
    </w:p>
    <w:p>
      <w:pPr>
        <w:spacing w:after="0" w:line="78" w:lineRule="exact"/>
        <w:rPr>
          <w:sz w:val="20"/>
          <w:szCs w:val="20"/>
          <w:color w:val="auto"/>
        </w:rPr>
      </w:pPr>
    </w:p>
    <w:p>
      <w:pPr>
        <w:ind w:left="40"/>
        <w:spacing w:after="0"/>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Dividend Reinvestment Plan (Incorporated by reference to Exhibit 99(e) to the Registrant’s Registration Statement on Form N-2 (File No. 333-</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150033), filed on April 2, 2008).</w:t>
      </w:r>
    </w:p>
    <w:p>
      <w:pPr>
        <w:spacing w:after="0" w:line="111" w:lineRule="exact"/>
        <w:rPr>
          <w:sz w:val="20"/>
          <w:szCs w:val="20"/>
          <w:color w:val="auto"/>
        </w:rPr>
      </w:pPr>
    </w:p>
    <w:p>
      <w:pPr>
        <w:ind w:left="40"/>
        <w:spacing w:after="0"/>
        <w:tabs>
          <w:tab w:leader="none" w:pos="9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Senior Secured Revolving Credit Agreement between Registrant and various lenders (Incorporated by reference to the Report on Form 8-K.</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Exhibit 99.2 (File No. 814-00736), filed on June 28, 2007).</w:t>
      </w:r>
    </w:p>
    <w:p>
      <w:pPr>
        <w:spacing w:after="0" w:line="111" w:lineRule="exact"/>
        <w:rPr>
          <w:sz w:val="20"/>
          <w:szCs w:val="20"/>
          <w:color w:val="auto"/>
        </w:rPr>
      </w:pPr>
    </w:p>
    <w:p>
      <w:pPr>
        <w:ind w:left="920" w:hanging="877"/>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Computation of Per Share Earnings (included in the notes to the audited financial statements contained in this Report).</w:t>
      </w:r>
    </w:p>
    <w:p>
      <w:pPr>
        <w:spacing w:after="0" w:line="117"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14.1*</w:t>
      </w:r>
      <w:r>
        <w:rPr>
          <w:rFonts w:ascii="Arial" w:cs="Arial" w:eastAsia="Arial" w:hAnsi="Arial"/>
          <w:sz w:val="15"/>
          <w:szCs w:val="15"/>
          <w:color w:val="auto"/>
        </w:rPr>
        <w:t>Joint Code of Ethics of the Registrant.</w:t>
      </w:r>
    </w:p>
    <w:p>
      <w:pPr>
        <w:spacing w:after="0" w:line="117"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31.1*</w:t>
      </w:r>
      <w:r>
        <w:rPr>
          <w:rFonts w:ascii="Arial" w:cs="Arial" w:eastAsia="Arial" w:hAnsi="Arial"/>
          <w:sz w:val="16"/>
          <w:szCs w:val="16"/>
          <w:color w:val="auto"/>
        </w:rPr>
        <w:t>Certification of Chief Executive Officer pursuant to Rule 13a-14 of the Securities Exchange Act of 1934, as amended.</w:t>
      </w:r>
    </w:p>
    <w:p>
      <w:pPr>
        <w:spacing w:after="0" w:line="117"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31.2*</w:t>
      </w:r>
      <w:r>
        <w:rPr>
          <w:rFonts w:ascii="Arial" w:cs="Arial" w:eastAsia="Arial" w:hAnsi="Arial"/>
          <w:sz w:val="16"/>
          <w:szCs w:val="16"/>
          <w:color w:val="auto"/>
        </w:rPr>
        <w:t>Certification of Chief Financial Officer pursuant to Rule 13a-14 of the Securities Exchange Act of 1934, as amended.</w:t>
      </w:r>
    </w:p>
    <w:p>
      <w:pPr>
        <w:spacing w:after="0" w:line="117"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32.1*</w:t>
      </w:r>
      <w:r>
        <w:rPr>
          <w:rFonts w:ascii="Arial" w:cs="Arial" w:eastAsia="Arial" w:hAnsi="Arial"/>
          <w:sz w:val="16"/>
          <w:szCs w:val="16"/>
          <w:color w:val="auto"/>
        </w:rPr>
        <w:t>Certification of Chief Executive Officer pursuant to section 906 of The Sarbanes-Oxley Act of 2002.</w:t>
      </w:r>
    </w:p>
    <w:p>
      <w:pPr>
        <w:spacing w:after="0" w:line="117"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32.2*</w:t>
      </w:r>
      <w:r>
        <w:rPr>
          <w:rFonts w:ascii="Arial" w:cs="Arial" w:eastAsia="Arial" w:hAnsi="Arial"/>
          <w:sz w:val="16"/>
          <w:szCs w:val="16"/>
          <w:color w:val="auto"/>
        </w:rPr>
        <w:t>Certification of Chief Financial Officer pursuant to section 906 of The Sarbanes-Oxley Act of 2002.</w:t>
      </w:r>
    </w:p>
    <w:p>
      <w:pPr>
        <w:spacing w:after="0" w:line="117" w:lineRule="exact"/>
        <w:rPr>
          <w:sz w:val="20"/>
          <w:szCs w:val="20"/>
          <w:color w:val="auto"/>
        </w:rPr>
      </w:pPr>
    </w:p>
    <w:p>
      <w:pPr>
        <w:ind w:left="920" w:right="2380" w:hanging="871"/>
        <w:spacing w:after="0" w:line="268" w:lineRule="auto"/>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Privacy Policy of the Registrant (Incorporated by reference to Exhibit 99.1 to the Registrant’s Annual Report on Form 10-K (File No. 814-00736), filed on December 13,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12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60"/>
          </w:cols>
          <w:pgMar w:left="320" w:top="459" w:right="4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49"/>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00" w:type="dxa"/>
            <w:vAlign w:val="bottom"/>
          </w:tcPr>
          <w:p>
            <w:pPr>
              <w:jc w:val="center"/>
              <w:spacing w:after="0"/>
              <w:rPr>
                <w:sz w:val="20"/>
                <w:szCs w:val="20"/>
                <w:color w:val="auto"/>
              </w:rPr>
            </w:pPr>
            <w:r>
              <w:rPr>
                <w:rFonts w:ascii="Arial" w:cs="Arial" w:eastAsia="Arial" w:hAnsi="Arial"/>
                <w:sz w:val="13"/>
                <w:szCs w:val="13"/>
                <w:b w:val="1"/>
                <w:bCs w:val="1"/>
                <w:color w:val="auto"/>
              </w:rPr>
              <w:t>Arthur H. Penn</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jc w:val="center"/>
              <w:spacing w:after="0"/>
              <w:rPr>
                <w:sz w:val="20"/>
                <w:szCs w:val="20"/>
                <w:color w:val="auto"/>
              </w:rPr>
            </w:pPr>
            <w:r>
              <w:rPr>
                <w:rFonts w:ascii="Arial" w:cs="Arial" w:eastAsia="Arial" w:hAnsi="Arial"/>
                <w:sz w:val="13"/>
                <w:szCs w:val="13"/>
                <w:b w:val="1"/>
                <w:bCs w:val="1"/>
                <w:color w:val="auto"/>
                <w:w w:val="95"/>
              </w:rPr>
              <w:t>Chief Executive Officer and Chairman of the Board</w:t>
            </w:r>
          </w:p>
        </w:tc>
      </w:tr>
    </w:tbl>
    <w:p>
      <w:pPr>
        <w:spacing w:after="0" w:line="141" w:lineRule="exact"/>
        <w:rPr>
          <w:sz w:val="20"/>
          <w:szCs w:val="20"/>
          <w:color w:val="auto"/>
        </w:rPr>
      </w:pPr>
    </w:p>
    <w:p>
      <w:pPr>
        <w:ind w:right="500" w:firstLine="449"/>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3"/>
              </w:rPr>
              <w:t>Signature</w:t>
            </w:r>
          </w:p>
        </w:tc>
        <w:tc>
          <w:tcPr>
            <w:tcW w:w="1780" w:type="dxa"/>
            <w:vAlign w:val="bottom"/>
          </w:tcPr>
          <w:p>
            <w:pPr>
              <w:spacing w:after="0"/>
              <w:rPr>
                <w:sz w:val="14"/>
                <w:szCs w:val="14"/>
                <w:color w:val="auto"/>
              </w:rPr>
            </w:pPr>
          </w:p>
        </w:tc>
        <w:tc>
          <w:tcPr>
            <w:tcW w:w="5300" w:type="dxa"/>
            <w:vAlign w:val="bottom"/>
            <w:gridSpan w:val="3"/>
          </w:tcPr>
          <w:p>
            <w:pPr>
              <w:jc w:val="center"/>
              <w:ind w:left="94"/>
              <w:spacing w:after="0"/>
              <w:rPr>
                <w:sz w:val="20"/>
                <w:szCs w:val="20"/>
                <w:color w:val="auto"/>
              </w:rPr>
            </w:pPr>
            <w:r>
              <w:rPr>
                <w:rFonts w:ascii="Arial" w:cs="Arial" w:eastAsia="Arial" w:hAnsi="Arial"/>
                <w:sz w:val="13"/>
                <w:szCs w:val="13"/>
                <w:b w:val="1"/>
                <w:bCs w:val="1"/>
                <w:color w:val="auto"/>
              </w:rPr>
              <w:t>Title</w:t>
            </w:r>
          </w:p>
        </w:tc>
        <w:tc>
          <w:tcPr>
            <w:tcW w:w="840" w:type="dxa"/>
            <w:vAlign w:val="bottom"/>
          </w:tcPr>
          <w:p>
            <w:pPr>
              <w:spacing w:after="0"/>
              <w:rPr>
                <w:sz w:val="14"/>
                <w:szCs w:val="14"/>
                <w:color w:val="auto"/>
              </w:rPr>
            </w:pPr>
          </w:p>
        </w:tc>
        <w:tc>
          <w:tcPr>
            <w:tcW w:w="84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9"/>
              </w:rPr>
              <w:t>Date</w:t>
            </w:r>
          </w:p>
        </w:tc>
      </w:tr>
      <w:tr>
        <w:trPr>
          <w:trHeight w:val="20"/>
        </w:trPr>
        <w:tc>
          <w:tcPr>
            <w:tcW w:w="1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15"/>
        </w:trPr>
        <w:tc>
          <w:tcPr>
            <w:tcW w:w="132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w w:val="83"/>
              </w:rPr>
              <w:t>/s/</w:t>
            </w:r>
          </w:p>
        </w:tc>
        <w:tc>
          <w:tcPr>
            <w:tcW w:w="2840" w:type="dxa"/>
            <w:vAlign w:val="bottom"/>
            <w:tcBorders>
              <w:bottom w:val="single" w:sz="8" w:color="auto"/>
            </w:tcBorders>
            <w:gridSpan w:val="4"/>
          </w:tcPr>
          <w:p>
            <w:pPr>
              <w:jc w:val="center"/>
              <w:ind w:right="1280"/>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RTHUR</w:t>
            </w:r>
            <w:r>
              <w:rPr>
                <w:rFonts w:ascii="Arial" w:cs="Arial" w:eastAsia="Arial" w:hAnsi="Arial"/>
                <w:sz w:val="18"/>
                <w:szCs w:val="18"/>
                <w:color w:val="auto"/>
                <w:w w:val="97"/>
              </w:rPr>
              <w:t xml:space="preserve"> H. P</w:t>
            </w:r>
            <w:r>
              <w:rPr>
                <w:rFonts w:ascii="Arial" w:cs="Arial" w:eastAsia="Arial" w:hAnsi="Arial"/>
                <w:sz w:val="14"/>
                <w:szCs w:val="14"/>
                <w:color w:val="auto"/>
                <w:w w:val="97"/>
              </w:rPr>
              <w:t>ENN</w:t>
            </w:r>
          </w:p>
        </w:tc>
        <w:tc>
          <w:tcPr>
            <w:tcW w:w="5300" w:type="dxa"/>
            <w:vAlign w:val="bottom"/>
            <w:gridSpan w:val="3"/>
          </w:tcPr>
          <w:p>
            <w:pPr>
              <w:jc w:val="center"/>
              <w:ind w:left="94"/>
              <w:spacing w:after="0"/>
              <w:rPr>
                <w:sz w:val="20"/>
                <w:szCs w:val="20"/>
                <w:color w:val="auto"/>
              </w:rPr>
            </w:pPr>
            <w:r>
              <w:rPr>
                <w:rFonts w:ascii="Arial" w:cs="Arial" w:eastAsia="Arial" w:hAnsi="Arial"/>
                <w:sz w:val="18"/>
                <w:szCs w:val="18"/>
                <w:color w:val="auto"/>
                <w:w w:val="90"/>
              </w:rPr>
              <w:t>Chairman of the Board of Directors and Chief Executive Officer</w:t>
            </w:r>
          </w:p>
        </w:tc>
        <w:tc>
          <w:tcPr>
            <w:tcW w:w="1680" w:type="dxa"/>
            <w:vAlign w:val="bottom"/>
            <w:gridSpan w:val="3"/>
          </w:tcPr>
          <w:p>
            <w:pPr>
              <w:jc w:val="center"/>
              <w:ind w:left="192"/>
              <w:spacing w:after="0"/>
              <w:rPr>
                <w:sz w:val="20"/>
                <w:szCs w:val="20"/>
                <w:color w:val="auto"/>
              </w:rPr>
            </w:pPr>
            <w:r>
              <w:rPr>
                <w:rFonts w:ascii="Arial" w:cs="Arial" w:eastAsia="Arial" w:hAnsi="Arial"/>
                <w:sz w:val="18"/>
                <w:szCs w:val="18"/>
                <w:color w:val="auto"/>
                <w:w w:val="88"/>
              </w:rPr>
              <w:t>November 18, 2009</w:t>
            </w:r>
          </w:p>
        </w:tc>
      </w:tr>
      <w:tr>
        <w:trPr>
          <w:trHeight w:val="202"/>
        </w:trPr>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gridSpan w:val="3"/>
          </w:tcPr>
          <w:p>
            <w:pPr>
              <w:jc w:val="center"/>
              <w:ind w:right="1500"/>
              <w:spacing w:after="0"/>
              <w:rPr>
                <w:sz w:val="20"/>
                <w:szCs w:val="20"/>
                <w:color w:val="auto"/>
              </w:rPr>
            </w:pPr>
            <w:r>
              <w:rPr>
                <w:rFonts w:ascii="Arial" w:cs="Arial" w:eastAsia="Arial" w:hAnsi="Arial"/>
                <w:sz w:val="13"/>
                <w:szCs w:val="13"/>
                <w:b w:val="1"/>
                <w:bCs w:val="1"/>
                <w:color w:val="auto"/>
              </w:rPr>
              <w:t>Arthur H. Penn</w:t>
            </w:r>
          </w:p>
        </w:tc>
        <w:tc>
          <w:tcPr>
            <w:tcW w:w="5300" w:type="dxa"/>
            <w:vAlign w:val="bottom"/>
            <w:gridSpan w:val="3"/>
          </w:tcPr>
          <w:p>
            <w:pPr>
              <w:jc w:val="center"/>
              <w:ind w:left="94"/>
              <w:spacing w:after="0" w:line="202" w:lineRule="exact"/>
              <w:rPr>
                <w:sz w:val="20"/>
                <w:szCs w:val="20"/>
                <w:color w:val="auto"/>
              </w:rPr>
            </w:pPr>
            <w:r>
              <w:rPr>
                <w:rFonts w:ascii="Arial" w:cs="Arial" w:eastAsia="Arial" w:hAnsi="Arial"/>
                <w:sz w:val="18"/>
                <w:szCs w:val="18"/>
                <w:color w:val="auto"/>
                <w:w w:val="91"/>
              </w:rPr>
              <w:t>(Principal Executive Officer)</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39"/>
        </w:trPr>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/s/</w:t>
            </w:r>
          </w:p>
        </w:tc>
        <w:tc>
          <w:tcPr>
            <w:tcW w:w="2660" w:type="dxa"/>
            <w:vAlign w:val="bottom"/>
            <w:tcBorders>
              <w:bottom w:val="single" w:sz="8" w:color="auto"/>
            </w:tcBorders>
            <w:gridSpan w:val="3"/>
          </w:tcPr>
          <w:p>
            <w:pPr>
              <w:jc w:val="center"/>
              <w:ind w:right="1460"/>
              <w:spacing w:after="0"/>
              <w:rPr>
                <w:sz w:val="20"/>
                <w:szCs w:val="20"/>
                <w:color w:val="auto"/>
              </w:rPr>
            </w:pPr>
            <w:r>
              <w:rPr>
                <w:rFonts w:ascii="Arial" w:cs="Arial" w:eastAsia="Arial" w:hAnsi="Arial"/>
                <w:sz w:val="18"/>
                <w:szCs w:val="18"/>
                <w:color w:val="auto"/>
                <w:w w:val="99"/>
              </w:rPr>
              <w:t>A</w:t>
            </w:r>
            <w:r>
              <w:rPr>
                <w:rFonts w:ascii="Arial" w:cs="Arial" w:eastAsia="Arial" w:hAnsi="Arial"/>
                <w:sz w:val="14"/>
                <w:szCs w:val="14"/>
                <w:color w:val="auto"/>
                <w:w w:val="99"/>
              </w:rPr>
              <w:t>VIV</w:t>
            </w:r>
            <w:r>
              <w:rPr>
                <w:rFonts w:ascii="Arial" w:cs="Arial" w:eastAsia="Arial" w:hAnsi="Arial"/>
                <w:sz w:val="18"/>
                <w:szCs w:val="18"/>
                <w:color w:val="auto"/>
                <w:w w:val="99"/>
              </w:rPr>
              <w:t xml:space="preserve"> E</w:t>
            </w:r>
            <w:r>
              <w:rPr>
                <w:rFonts w:ascii="Arial" w:cs="Arial" w:eastAsia="Arial" w:hAnsi="Arial"/>
                <w:sz w:val="14"/>
                <w:szCs w:val="14"/>
                <w:color w:val="auto"/>
                <w:w w:val="99"/>
              </w:rPr>
              <w:t>FRAT</w:t>
            </w:r>
          </w:p>
        </w:tc>
        <w:tc>
          <w:tcPr>
            <w:tcW w:w="5300" w:type="dxa"/>
            <w:vAlign w:val="bottom"/>
            <w:gridSpan w:val="3"/>
          </w:tcPr>
          <w:p>
            <w:pPr>
              <w:jc w:val="center"/>
              <w:ind w:left="94"/>
              <w:spacing w:after="0"/>
              <w:rPr>
                <w:sz w:val="20"/>
                <w:szCs w:val="20"/>
                <w:color w:val="auto"/>
              </w:rPr>
            </w:pPr>
            <w:r>
              <w:rPr>
                <w:rFonts w:ascii="Arial" w:cs="Arial" w:eastAsia="Arial" w:hAnsi="Arial"/>
                <w:sz w:val="18"/>
                <w:szCs w:val="18"/>
                <w:color w:val="auto"/>
                <w:w w:val="89"/>
              </w:rPr>
              <w:t>Chief Financial Officer and Treasurer</w:t>
            </w:r>
          </w:p>
        </w:tc>
        <w:tc>
          <w:tcPr>
            <w:tcW w:w="1680" w:type="dxa"/>
            <w:vAlign w:val="bottom"/>
            <w:gridSpan w:val="3"/>
          </w:tcPr>
          <w:p>
            <w:pPr>
              <w:jc w:val="center"/>
              <w:ind w:left="192"/>
              <w:spacing w:after="0"/>
              <w:rPr>
                <w:sz w:val="20"/>
                <w:szCs w:val="20"/>
                <w:color w:val="auto"/>
              </w:rPr>
            </w:pPr>
            <w:r>
              <w:rPr>
                <w:rFonts w:ascii="Arial" w:cs="Arial" w:eastAsia="Arial" w:hAnsi="Arial"/>
                <w:sz w:val="18"/>
                <w:szCs w:val="18"/>
                <w:color w:val="auto"/>
                <w:w w:val="88"/>
              </w:rPr>
              <w:t>November 18, 2009</w:t>
            </w:r>
          </w:p>
        </w:tc>
      </w:tr>
      <w:tr>
        <w:trPr>
          <w:trHeight w:val="202"/>
        </w:trPr>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gridSpan w:val="3"/>
          </w:tcPr>
          <w:p>
            <w:pPr>
              <w:jc w:val="center"/>
              <w:ind w:right="1500"/>
              <w:spacing w:after="0"/>
              <w:rPr>
                <w:sz w:val="20"/>
                <w:szCs w:val="20"/>
                <w:color w:val="auto"/>
              </w:rPr>
            </w:pPr>
            <w:r>
              <w:rPr>
                <w:rFonts w:ascii="Arial" w:cs="Arial" w:eastAsia="Arial" w:hAnsi="Arial"/>
                <w:sz w:val="13"/>
                <w:szCs w:val="13"/>
                <w:b w:val="1"/>
                <w:bCs w:val="1"/>
                <w:color w:val="auto"/>
                <w:w w:val="98"/>
              </w:rPr>
              <w:t>Aviv Efrat</w:t>
            </w:r>
          </w:p>
        </w:tc>
        <w:tc>
          <w:tcPr>
            <w:tcW w:w="5300" w:type="dxa"/>
            <w:vAlign w:val="bottom"/>
            <w:gridSpan w:val="3"/>
          </w:tcPr>
          <w:p>
            <w:pPr>
              <w:jc w:val="center"/>
              <w:ind w:left="94"/>
              <w:spacing w:after="0" w:line="202" w:lineRule="exact"/>
              <w:rPr>
                <w:sz w:val="20"/>
                <w:szCs w:val="20"/>
                <w:color w:val="auto"/>
              </w:rPr>
            </w:pPr>
            <w:r>
              <w:rPr>
                <w:rFonts w:ascii="Arial" w:cs="Arial" w:eastAsia="Arial" w:hAnsi="Arial"/>
                <w:sz w:val="18"/>
                <w:szCs w:val="18"/>
                <w:color w:val="auto"/>
                <w:w w:val="91"/>
              </w:rPr>
              <w:t>(Principal Financial and Accounting Officer)</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40"/>
        </w:trPr>
        <w:tc>
          <w:tcPr>
            <w:tcW w:w="132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gridSpan w:val="4"/>
          </w:tcPr>
          <w:p>
            <w:pPr>
              <w:jc w:val="center"/>
              <w:ind w:right="12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DAM</w:t>
            </w:r>
            <w:r>
              <w:rPr>
                <w:rFonts w:ascii="Arial" w:cs="Arial" w:eastAsia="Arial" w:hAnsi="Arial"/>
                <w:sz w:val="18"/>
                <w:szCs w:val="18"/>
                <w:color w:val="auto"/>
              </w:rPr>
              <w:t xml:space="preserve"> K. B</w:t>
            </w:r>
            <w:r>
              <w:rPr>
                <w:rFonts w:ascii="Arial" w:cs="Arial" w:eastAsia="Arial" w:hAnsi="Arial"/>
                <w:sz w:val="14"/>
                <w:szCs w:val="14"/>
                <w:color w:val="auto"/>
              </w:rPr>
              <w:t>ERNSTEIN</w:t>
            </w:r>
          </w:p>
        </w:tc>
        <w:tc>
          <w:tcPr>
            <w:tcW w:w="5300" w:type="dxa"/>
            <w:vAlign w:val="bottom"/>
            <w:gridSpan w:val="3"/>
          </w:tcPr>
          <w:p>
            <w:pPr>
              <w:jc w:val="center"/>
              <w:ind w:left="94"/>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192"/>
              <w:spacing w:after="0"/>
              <w:rPr>
                <w:sz w:val="20"/>
                <w:szCs w:val="20"/>
                <w:color w:val="auto"/>
              </w:rPr>
            </w:pPr>
            <w:r>
              <w:rPr>
                <w:rFonts w:ascii="Arial" w:cs="Arial" w:eastAsia="Arial" w:hAnsi="Arial"/>
                <w:sz w:val="18"/>
                <w:szCs w:val="18"/>
                <w:color w:val="auto"/>
                <w:w w:val="88"/>
              </w:rPr>
              <w:t>November 18, 2009</w:t>
            </w:r>
          </w:p>
        </w:tc>
      </w:tr>
      <w:tr>
        <w:trPr>
          <w:trHeight w:val="169"/>
        </w:trPr>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3"/>
          </w:tcPr>
          <w:p>
            <w:pPr>
              <w:jc w:val="center"/>
              <w:ind w:right="1500"/>
              <w:spacing w:after="0"/>
              <w:rPr>
                <w:sz w:val="20"/>
                <w:szCs w:val="20"/>
                <w:color w:val="auto"/>
              </w:rPr>
            </w:pPr>
            <w:r>
              <w:rPr>
                <w:rFonts w:ascii="Arial" w:cs="Arial" w:eastAsia="Arial" w:hAnsi="Arial"/>
                <w:sz w:val="13"/>
                <w:szCs w:val="13"/>
                <w:b w:val="1"/>
                <w:bCs w:val="1"/>
                <w:color w:val="auto"/>
                <w:w w:val="96"/>
              </w:rPr>
              <w:t>Adam K. Bernstein</w:t>
            </w:r>
          </w:p>
        </w:tc>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419"/>
        </w:trPr>
        <w:tc>
          <w:tcPr>
            <w:tcW w:w="1500" w:type="dxa"/>
            <w:vAlign w:val="bottom"/>
            <w:tcBorders>
              <w:bottom w:val="single" w:sz="8" w:color="auto"/>
            </w:tcBorders>
            <w:gridSpan w:val="2"/>
          </w:tcPr>
          <w:p>
            <w:pPr>
              <w:ind w:left="1240"/>
              <w:spacing w:after="0"/>
              <w:rPr>
                <w:sz w:val="20"/>
                <w:szCs w:val="20"/>
                <w:color w:val="auto"/>
              </w:rPr>
            </w:pPr>
            <w:r>
              <w:rPr>
                <w:rFonts w:ascii="Arial" w:cs="Arial" w:eastAsia="Arial" w:hAnsi="Arial"/>
                <w:sz w:val="18"/>
                <w:szCs w:val="18"/>
                <w:color w:val="auto"/>
              </w:rPr>
              <w:t>/s/</w:t>
            </w:r>
          </w:p>
        </w:tc>
        <w:tc>
          <w:tcPr>
            <w:tcW w:w="2660" w:type="dxa"/>
            <w:vAlign w:val="bottom"/>
            <w:tcBorders>
              <w:bottom w:val="single" w:sz="8" w:color="auto"/>
            </w:tcBorders>
            <w:gridSpan w:val="3"/>
          </w:tcPr>
          <w:p>
            <w:pPr>
              <w:jc w:val="center"/>
              <w:ind w:right="144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EFFREY</w:t>
            </w:r>
            <w:r>
              <w:rPr>
                <w:rFonts w:ascii="Arial" w:cs="Arial" w:eastAsia="Arial" w:hAnsi="Arial"/>
                <w:sz w:val="18"/>
                <w:szCs w:val="18"/>
                <w:color w:val="auto"/>
                <w:w w:val="97"/>
              </w:rPr>
              <w:t xml:space="preserve"> F</w:t>
            </w:r>
            <w:r>
              <w:rPr>
                <w:rFonts w:ascii="Arial" w:cs="Arial" w:eastAsia="Arial" w:hAnsi="Arial"/>
                <w:sz w:val="14"/>
                <w:szCs w:val="14"/>
                <w:color w:val="auto"/>
                <w:w w:val="97"/>
              </w:rPr>
              <w:t>LUG</w:t>
            </w:r>
          </w:p>
        </w:tc>
        <w:tc>
          <w:tcPr>
            <w:tcW w:w="5300" w:type="dxa"/>
            <w:vAlign w:val="bottom"/>
            <w:gridSpan w:val="3"/>
          </w:tcPr>
          <w:p>
            <w:pPr>
              <w:jc w:val="center"/>
              <w:ind w:left="94"/>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192"/>
              <w:spacing w:after="0"/>
              <w:rPr>
                <w:sz w:val="20"/>
                <w:szCs w:val="20"/>
                <w:color w:val="auto"/>
              </w:rPr>
            </w:pPr>
            <w:r>
              <w:rPr>
                <w:rFonts w:ascii="Arial" w:cs="Arial" w:eastAsia="Arial" w:hAnsi="Arial"/>
                <w:sz w:val="18"/>
                <w:szCs w:val="18"/>
                <w:color w:val="auto"/>
                <w:w w:val="88"/>
              </w:rPr>
              <w:t>November 18, 2009</w:t>
            </w:r>
          </w:p>
        </w:tc>
      </w:tr>
      <w:tr>
        <w:trPr>
          <w:trHeight w:val="169"/>
        </w:trPr>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3"/>
          </w:tcPr>
          <w:p>
            <w:pPr>
              <w:jc w:val="center"/>
              <w:ind w:right="1500"/>
              <w:spacing w:after="0"/>
              <w:rPr>
                <w:sz w:val="20"/>
                <w:szCs w:val="20"/>
                <w:color w:val="auto"/>
              </w:rPr>
            </w:pPr>
            <w:r>
              <w:rPr>
                <w:rFonts w:ascii="Arial" w:cs="Arial" w:eastAsia="Arial" w:hAnsi="Arial"/>
                <w:sz w:val="13"/>
                <w:szCs w:val="13"/>
                <w:b w:val="1"/>
                <w:bCs w:val="1"/>
                <w:color w:val="auto"/>
                <w:w w:val="92"/>
              </w:rPr>
              <w:t>Jeffrey Flug</w:t>
            </w:r>
          </w:p>
        </w:tc>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419"/>
        </w:trPr>
        <w:tc>
          <w:tcPr>
            <w:tcW w:w="13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gridSpan w:val="4"/>
          </w:tcPr>
          <w:p>
            <w:pPr>
              <w:jc w:val="center"/>
              <w:ind w:right="12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ARSHALL</w:t>
            </w:r>
            <w:r>
              <w:rPr>
                <w:rFonts w:ascii="Arial" w:cs="Arial" w:eastAsia="Arial" w:hAnsi="Arial"/>
                <w:sz w:val="18"/>
                <w:szCs w:val="18"/>
                <w:color w:val="auto"/>
              </w:rPr>
              <w:t xml:space="preserve"> B</w:t>
            </w:r>
            <w:r>
              <w:rPr>
                <w:rFonts w:ascii="Arial" w:cs="Arial" w:eastAsia="Arial" w:hAnsi="Arial"/>
                <w:sz w:val="14"/>
                <w:szCs w:val="14"/>
                <w:color w:val="auto"/>
              </w:rPr>
              <w:t>ROZOST</w:t>
            </w:r>
          </w:p>
        </w:tc>
        <w:tc>
          <w:tcPr>
            <w:tcW w:w="5300" w:type="dxa"/>
            <w:vAlign w:val="bottom"/>
            <w:gridSpan w:val="3"/>
          </w:tcPr>
          <w:p>
            <w:pPr>
              <w:jc w:val="center"/>
              <w:ind w:left="94"/>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192"/>
              <w:spacing w:after="0"/>
              <w:rPr>
                <w:sz w:val="20"/>
                <w:szCs w:val="20"/>
                <w:color w:val="auto"/>
              </w:rPr>
            </w:pPr>
            <w:r>
              <w:rPr>
                <w:rFonts w:ascii="Arial" w:cs="Arial" w:eastAsia="Arial" w:hAnsi="Arial"/>
                <w:sz w:val="18"/>
                <w:szCs w:val="18"/>
                <w:color w:val="auto"/>
                <w:w w:val="88"/>
              </w:rPr>
              <w:t>November 18, 2009</w:t>
            </w:r>
          </w:p>
        </w:tc>
      </w:tr>
      <w:tr>
        <w:trPr>
          <w:trHeight w:val="169"/>
        </w:trPr>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3"/>
          </w:tcPr>
          <w:p>
            <w:pPr>
              <w:jc w:val="center"/>
              <w:ind w:right="1500"/>
              <w:spacing w:after="0"/>
              <w:rPr>
                <w:sz w:val="20"/>
                <w:szCs w:val="20"/>
                <w:color w:val="auto"/>
              </w:rPr>
            </w:pPr>
            <w:r>
              <w:rPr>
                <w:rFonts w:ascii="Arial" w:cs="Arial" w:eastAsia="Arial" w:hAnsi="Arial"/>
                <w:sz w:val="13"/>
                <w:szCs w:val="13"/>
                <w:b w:val="1"/>
                <w:bCs w:val="1"/>
                <w:color w:val="auto"/>
                <w:w w:val="95"/>
              </w:rPr>
              <w:t>Marshall Brozost</w:t>
            </w:r>
          </w:p>
        </w:tc>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419"/>
        </w:trPr>
        <w:tc>
          <w:tcPr>
            <w:tcW w:w="132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w w:val="83"/>
              </w:rPr>
              <w:t>/s/</w:t>
            </w:r>
          </w:p>
        </w:tc>
        <w:tc>
          <w:tcPr>
            <w:tcW w:w="2840" w:type="dxa"/>
            <w:vAlign w:val="bottom"/>
            <w:tcBorders>
              <w:bottom w:val="single" w:sz="8" w:color="auto"/>
            </w:tcBorders>
            <w:gridSpan w:val="4"/>
          </w:tcPr>
          <w:p>
            <w:pPr>
              <w:jc w:val="center"/>
              <w:ind w:right="12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AMUEL</w:t>
            </w:r>
            <w:r>
              <w:rPr>
                <w:rFonts w:ascii="Arial" w:cs="Arial" w:eastAsia="Arial" w:hAnsi="Arial"/>
                <w:sz w:val="18"/>
                <w:szCs w:val="18"/>
                <w:color w:val="auto"/>
              </w:rPr>
              <w:t xml:space="preserve"> L. K</w:t>
            </w:r>
            <w:r>
              <w:rPr>
                <w:rFonts w:ascii="Arial" w:cs="Arial" w:eastAsia="Arial" w:hAnsi="Arial"/>
                <w:sz w:val="14"/>
                <w:szCs w:val="14"/>
                <w:color w:val="auto"/>
              </w:rPr>
              <w:t>ATZ</w:t>
            </w:r>
          </w:p>
        </w:tc>
        <w:tc>
          <w:tcPr>
            <w:tcW w:w="5300" w:type="dxa"/>
            <w:vAlign w:val="bottom"/>
            <w:gridSpan w:val="3"/>
          </w:tcPr>
          <w:p>
            <w:pPr>
              <w:jc w:val="center"/>
              <w:ind w:left="94"/>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192"/>
              <w:spacing w:after="0"/>
              <w:rPr>
                <w:sz w:val="20"/>
                <w:szCs w:val="20"/>
                <w:color w:val="auto"/>
              </w:rPr>
            </w:pPr>
            <w:r>
              <w:rPr>
                <w:rFonts w:ascii="Arial" w:cs="Arial" w:eastAsia="Arial" w:hAnsi="Arial"/>
                <w:sz w:val="18"/>
                <w:szCs w:val="18"/>
                <w:color w:val="auto"/>
                <w:w w:val="88"/>
              </w:rPr>
              <w:t>November 18, 2009</w:t>
            </w:r>
          </w:p>
        </w:tc>
      </w:tr>
      <w:tr>
        <w:trPr>
          <w:trHeight w:val="169"/>
        </w:trPr>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3"/>
          </w:tcPr>
          <w:p>
            <w:pPr>
              <w:jc w:val="center"/>
              <w:ind w:right="1500"/>
              <w:spacing w:after="0"/>
              <w:rPr>
                <w:sz w:val="20"/>
                <w:szCs w:val="20"/>
                <w:color w:val="auto"/>
              </w:rPr>
            </w:pPr>
            <w:r>
              <w:rPr>
                <w:rFonts w:ascii="Arial" w:cs="Arial" w:eastAsia="Arial" w:hAnsi="Arial"/>
                <w:sz w:val="13"/>
                <w:szCs w:val="13"/>
                <w:b w:val="1"/>
                <w:bCs w:val="1"/>
                <w:color w:val="auto"/>
                <w:w w:val="95"/>
              </w:rPr>
              <w:t>Samuel L. Katz</w:t>
            </w:r>
          </w:p>
        </w:tc>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50"/>
        </w:trPr>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20" w:type="dxa"/>
            <w:vAlign w:val="bottom"/>
          </w:tcPr>
          <w:p>
            <w:pPr>
              <w:jc w:val="right"/>
              <w:ind w:right="974"/>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CODE OF ETHICS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ADVISERS, LLC</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 Statement of General Fiduciary Principles</w:t>
      </w:r>
    </w:p>
    <w:p>
      <w:pPr>
        <w:spacing w:after="0" w:line="96" w:lineRule="exact"/>
        <w:rPr>
          <w:sz w:val="20"/>
          <w:szCs w:val="20"/>
          <w:color w:val="auto"/>
        </w:rPr>
      </w:pPr>
    </w:p>
    <w:p>
      <w:pPr>
        <w:jc w:val="both"/>
        <w:ind w:right="180" w:firstLine="898"/>
        <w:spacing w:after="0" w:line="290" w:lineRule="auto"/>
        <w:rPr>
          <w:sz w:val="20"/>
          <w:szCs w:val="20"/>
          <w:color w:val="auto"/>
        </w:rPr>
      </w:pPr>
      <w:r>
        <w:rPr>
          <w:rFonts w:ascii="Arial" w:cs="Arial" w:eastAsia="Arial" w:hAnsi="Arial"/>
          <w:sz w:val="16"/>
          <w:szCs w:val="16"/>
          <w:color w:val="auto"/>
        </w:rPr>
        <w:t>This Joint Code of Ethics (the “Code”) has been adopted by each of PennantPark Investment Corporation (the “Corporation”), and PennantPark Investment Advisers, LLC, the Corporation’s investment adviser (the “Adviser”), in compliance with Rule 17j-1 under the Investment Company Act of 1940 (the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 may abuse their fiduciary duty to the Corporation, and otherwise to deal with the types of conflict of interest situations to which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118" w:lineRule="exact"/>
        <w:rPr>
          <w:sz w:val="20"/>
          <w:szCs w:val="20"/>
          <w:color w:val="auto"/>
        </w:rPr>
      </w:pPr>
    </w:p>
    <w:p>
      <w:pPr>
        <w:ind w:right="320" w:firstLine="898"/>
        <w:spacing w:after="0" w:line="253" w:lineRule="auto"/>
        <w:rPr>
          <w:sz w:val="20"/>
          <w:szCs w:val="20"/>
          <w:color w:val="auto"/>
        </w:rPr>
      </w:pPr>
      <w:r>
        <w:rPr>
          <w:rFonts w:ascii="Arial" w:cs="Arial" w:eastAsia="Arial" w:hAnsi="Arial"/>
          <w:sz w:val="18"/>
          <w:szCs w:val="18"/>
          <w:color w:val="auto"/>
        </w:rPr>
        <w:t>The Code is based on the principle that the directors and officers of the Corporation, and the managers, partners, officers and employees of the Adviser, who provide services to the Corporation, owe a fiduciary duty to the Corporation to conduct their personal securities transactions in a manner that does not interfere with the Corporation’s transactions or otherwise take unfair advantage of their relationship with the Corporation. All directors, managers, partners, officers and employees of the Corporation,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147" w:lineRule="exact"/>
        <w:rPr>
          <w:sz w:val="20"/>
          <w:szCs w:val="20"/>
          <w:color w:val="auto"/>
        </w:rPr>
      </w:pPr>
    </w:p>
    <w:p>
      <w:pPr>
        <w:ind w:right="60" w:firstLine="898"/>
        <w:spacing w:after="0" w:line="256" w:lineRule="auto"/>
        <w:rPr>
          <w:sz w:val="20"/>
          <w:szCs w:val="20"/>
          <w:color w:val="auto"/>
        </w:rPr>
      </w:pPr>
      <w:r>
        <w:rPr>
          <w:rFonts w:ascii="Arial" w:cs="Arial" w:eastAsia="Arial" w:hAnsi="Arial"/>
          <w:sz w:val="18"/>
          <w:szCs w:val="18"/>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14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All Covered Personnel must read and retain this Code.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II Definitions</w:t>
      </w:r>
    </w:p>
    <w:p>
      <w:pPr>
        <w:spacing w:after="0" w:line="96" w:lineRule="exact"/>
        <w:rPr>
          <w:sz w:val="20"/>
          <w:szCs w:val="20"/>
          <w:color w:val="auto"/>
        </w:rPr>
      </w:pPr>
    </w:p>
    <w:p>
      <w:pPr>
        <w:ind w:left="900" w:hanging="447"/>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“Access Person” means any director, officer, general partner or Advisory Person (as defined below) of the Corporation or the Adviser.</w:t>
      </w:r>
    </w:p>
    <w:p>
      <w:pPr>
        <w:spacing w:after="0" w:line="113" w:lineRule="exact"/>
        <w:rPr>
          <w:rFonts w:ascii="Arial" w:cs="Arial" w:eastAsia="Arial" w:hAnsi="Arial"/>
          <w:sz w:val="16"/>
          <w:szCs w:val="16"/>
          <w:color w:val="auto"/>
        </w:rPr>
      </w:pPr>
    </w:p>
    <w:p>
      <w:pPr>
        <w:ind w:left="900" w:right="60" w:hanging="447"/>
        <w:spacing w:after="0" w:line="291"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pacing w:after="0" w:line="38" w:lineRule="exact"/>
        <w:rPr>
          <w:rFonts w:ascii="Arial" w:cs="Arial" w:eastAsia="Arial" w:hAnsi="Arial"/>
          <w:sz w:val="16"/>
          <w:szCs w:val="16"/>
          <w:color w:val="auto"/>
        </w:rPr>
      </w:pPr>
    </w:p>
    <w:p>
      <w:pPr>
        <w:ind w:left="900" w:right="220" w:hanging="447"/>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“Beneficial Ownership” is interpreted in the same manner as it would be under Rule 16a-1(a)(2) under the Securities Exchange Act of 1934 (the “1934 Act”) in determining whether a person is a beneficial owner of a security for purposes of Section 16 of the 1934 Act and the rules and regulations thereunder.</w:t>
      </w:r>
    </w:p>
    <w:p>
      <w:pPr>
        <w:spacing w:after="0" w:line="58" w:lineRule="exact"/>
        <w:rPr>
          <w:rFonts w:ascii="Arial" w:cs="Arial" w:eastAsia="Arial" w:hAnsi="Arial"/>
          <w:sz w:val="18"/>
          <w:szCs w:val="18"/>
          <w:color w:val="auto"/>
        </w:rPr>
      </w:pPr>
    </w:p>
    <w:p>
      <w:pPr>
        <w:ind w:left="900" w:right="40" w:hanging="447"/>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“Chief Compliance Officer” means the Chief Compliance Officer of the Corporation (who also may serve as the compliance officer of the Adviser and/or one or more affiliates of the Adviser).</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“Control” shall have the same meaning as that set forth in Section 2(a)(9) of the Act.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5" w:right="339" w:bottom="1440" w:gutter="0" w:footer="0" w:header="0"/>
        </w:sectPr>
      </w:pPr>
    </w:p>
    <w:bookmarkStart w:id="95" w:name="page96"/>
    <w:bookmarkEnd w:id="95"/>
    <w:p>
      <w:pPr>
        <w:ind w:left="900" w:right="40" w:hanging="447"/>
        <w:spacing w:after="0" w:line="288"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“Covered Security” means a security as defined in Section 2(a)(36) of the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42" w:lineRule="exact"/>
        <w:rPr>
          <w:rFonts w:ascii="Arial" w:cs="Arial" w:eastAsia="Arial" w:hAnsi="Arial"/>
          <w:sz w:val="16"/>
          <w:szCs w:val="16"/>
          <w:color w:val="auto"/>
        </w:rPr>
      </w:pPr>
    </w:p>
    <w:p>
      <w:pPr>
        <w:ind w:left="900"/>
        <w:spacing w:after="0" w:line="288" w:lineRule="auto"/>
        <w:rPr>
          <w:rFonts w:ascii="Arial" w:cs="Arial" w:eastAsia="Arial" w:hAnsi="Arial"/>
          <w:sz w:val="16"/>
          <w:szCs w:val="16"/>
          <w:color w:val="auto"/>
        </w:rPr>
      </w:pPr>
      <w:r>
        <w:rPr>
          <w:rFonts w:ascii="Arial" w:cs="Arial" w:eastAsia="Arial" w:hAnsi="Arial"/>
          <w:sz w:val="16"/>
          <w:szCs w:val="16"/>
          <w:color w:val="auto"/>
        </w:rPr>
        <w:t>Except that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37" w:lineRule="exact"/>
        <w:rPr>
          <w:rFonts w:ascii="Arial" w:cs="Arial" w:eastAsia="Arial" w:hAnsi="Arial"/>
          <w:sz w:val="16"/>
          <w:szCs w:val="16"/>
          <w:color w:val="auto"/>
        </w:rPr>
      </w:pPr>
    </w:p>
    <w:p>
      <w:pPr>
        <w:ind w:left="900" w:right="820" w:hanging="447"/>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“Independent Director” means a director of the Corporation who is not an “interested person” of the Corporation within the meaning of Section 2(a)(19) of the Act.</w:t>
      </w:r>
    </w:p>
    <w:p>
      <w:pPr>
        <w:spacing w:after="0" w:line="50" w:lineRule="exact"/>
        <w:rPr>
          <w:rFonts w:ascii="Arial" w:cs="Arial" w:eastAsia="Arial" w:hAnsi="Arial"/>
          <w:sz w:val="18"/>
          <w:szCs w:val="18"/>
          <w:color w:val="auto"/>
        </w:rPr>
      </w:pPr>
    </w:p>
    <w:p>
      <w:pPr>
        <w:ind w:left="900" w:right="660" w:hanging="447"/>
        <w:spacing w:after="0" w:line="331"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“Initial Public Offering” means an offering of securities registered under the Securities Act of 1933 (the “1933 Act”), the issuer of which, immediately before the registration, was not subject to the reporting requirements of Sections 13 or 15(d) of the 1934 Act.</w:t>
      </w:r>
    </w:p>
    <w:p>
      <w:pPr>
        <w:spacing w:after="0" w:line="5" w:lineRule="exact"/>
        <w:rPr>
          <w:rFonts w:ascii="Arial" w:cs="Arial" w:eastAsia="Arial" w:hAnsi="Arial"/>
          <w:sz w:val="16"/>
          <w:szCs w:val="16"/>
          <w:color w:val="auto"/>
        </w:rPr>
      </w:pPr>
    </w:p>
    <w:p>
      <w:pPr>
        <w:ind w:left="900" w:right="440" w:hanging="447"/>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“Limited Offering” means an offering that is exempt from registration under the 1933 Act pursuant to Section 4(2) or Section 4(6) thereof or pursuant to Rule 504, Rule 505, or Rule 506 thereunder.</w:t>
      </w:r>
    </w:p>
    <w:p>
      <w:pPr>
        <w:spacing w:after="0" w:line="50" w:lineRule="exact"/>
        <w:rPr>
          <w:rFonts w:ascii="Arial" w:cs="Arial" w:eastAsia="Arial" w:hAnsi="Arial"/>
          <w:sz w:val="18"/>
          <w:szCs w:val="18"/>
          <w:color w:val="auto"/>
        </w:rPr>
      </w:pPr>
    </w:p>
    <w:p>
      <w:pPr>
        <w:ind w:left="900" w:right="180" w:hanging="447"/>
        <w:spacing w:after="0" w:line="306"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“Security Held or to be Acquired” by the Corporation means: (i) any Covered Security which, within the most recent 15 days: (A) is or has been held by the Corporation; or (B) is being or has been considered by the Corporation or the Adviser for purchase by the Corporation; and (ii) any option to purchase or sell, and any security convertible into or exchangeable for, a Covered Security described in Section II (K)(i).</w:t>
      </w:r>
    </w:p>
    <w:p>
      <w:pPr>
        <w:spacing w:after="0" w:line="25" w:lineRule="exact"/>
        <w:rPr>
          <w:rFonts w:ascii="Arial" w:cs="Arial" w:eastAsia="Arial" w:hAnsi="Arial"/>
          <w:sz w:val="16"/>
          <w:szCs w:val="16"/>
          <w:color w:val="auto"/>
        </w:rPr>
      </w:pPr>
    </w:p>
    <w:p>
      <w:pPr>
        <w:ind w:left="900" w:hanging="447"/>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“17j-1 Organization” means the Corporation or the Adviser, as the context requires.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III Objective and General Prohibitions</w:t>
      </w:r>
    </w:p>
    <w:p>
      <w:pPr>
        <w:spacing w:after="0" w:line="96" w:lineRule="exact"/>
        <w:rPr>
          <w:sz w:val="20"/>
          <w:szCs w:val="20"/>
          <w:color w:val="auto"/>
        </w:rPr>
      </w:pPr>
    </w:p>
    <w:p>
      <w:pPr>
        <w:ind w:right="20" w:firstLine="898"/>
        <w:spacing w:after="0" w:line="256" w:lineRule="auto"/>
        <w:rPr>
          <w:sz w:val="20"/>
          <w:szCs w:val="20"/>
          <w:color w:val="auto"/>
        </w:rPr>
      </w:pPr>
      <w:r>
        <w:rPr>
          <w:rFonts w:ascii="Arial" w:cs="Arial" w:eastAsia="Arial" w:hAnsi="Arial"/>
          <w:sz w:val="18"/>
          <w:szCs w:val="18"/>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143" w:lineRule="exact"/>
        <w:rPr>
          <w:sz w:val="20"/>
          <w:szCs w:val="20"/>
          <w:color w:val="auto"/>
        </w:rPr>
      </w:pPr>
    </w:p>
    <w:p>
      <w:pPr>
        <w:ind w:right="140" w:firstLine="898"/>
        <w:spacing w:after="0" w:line="298" w:lineRule="auto"/>
        <w:rPr>
          <w:sz w:val="20"/>
          <w:szCs w:val="20"/>
          <w:color w:val="auto"/>
        </w:rPr>
      </w:pPr>
      <w:r>
        <w:rPr>
          <w:rFonts w:ascii="Arial" w:cs="Arial" w:eastAsia="Arial" w:hAnsi="Arial"/>
          <w:sz w:val="16"/>
          <w:szCs w:val="16"/>
          <w:color w:val="auto"/>
        </w:rPr>
        <w:t>Covered Personnel may not engage in conduct that is deceitful, fraudulent or manipulative, or that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31" w:lineRule="exact"/>
        <w:rPr>
          <w:sz w:val="20"/>
          <w:szCs w:val="20"/>
          <w:color w:val="auto"/>
        </w:rPr>
      </w:pPr>
    </w:p>
    <w:p>
      <w:pPr>
        <w:ind w:left="900" w:hanging="447"/>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employ any device, scheme or artifice to defraud the Corporation;</w:t>
      </w:r>
    </w:p>
    <w:p>
      <w:pPr>
        <w:spacing w:after="0" w:line="90" w:lineRule="exact"/>
        <w:rPr>
          <w:rFonts w:ascii="Arial" w:cs="Arial" w:eastAsia="Arial" w:hAnsi="Arial"/>
          <w:sz w:val="18"/>
          <w:szCs w:val="18"/>
          <w:color w:val="auto"/>
        </w:rPr>
      </w:pPr>
    </w:p>
    <w:p>
      <w:pPr>
        <w:ind w:left="900" w:right="200" w:hanging="447"/>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make any untrue statement of a material fact to the Corporation or omit to state to the Corporation a material fact necessary in order to make the statements made, in light of the circumstances under which they are made, not misleading;</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engage in any act, practice or course of business that operates or would operate as a fraud or deceit upon the Corporation;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280" w:right="359" w:bottom="1440" w:gutter="0" w:footer="0" w:header="0"/>
        </w:sectPr>
      </w:pPr>
    </w:p>
    <w:bookmarkStart w:id="96" w:name="page97"/>
    <w:bookmarkEnd w:id="96"/>
    <w:p>
      <w:pPr>
        <w:ind w:left="900" w:hanging="447"/>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engage in any manipulative practice with respect to the Corporation.</w:t>
      </w:r>
    </w:p>
    <w:p>
      <w:pPr>
        <w:spacing w:after="0" w:line="171" w:lineRule="exact"/>
        <w:rPr>
          <w:sz w:val="20"/>
          <w:szCs w:val="20"/>
          <w:color w:val="auto"/>
        </w:rPr>
      </w:pPr>
    </w:p>
    <w:p>
      <w:pPr>
        <w:ind w:right="200" w:firstLine="898"/>
        <w:spacing w:after="0" w:line="268" w:lineRule="auto"/>
        <w:rPr>
          <w:sz w:val="20"/>
          <w:szCs w:val="20"/>
          <w:color w:val="auto"/>
        </w:rPr>
      </w:pPr>
      <w:r>
        <w:rPr>
          <w:rFonts w:ascii="Arial" w:cs="Arial" w:eastAsia="Arial" w:hAnsi="Arial"/>
          <w:sz w:val="18"/>
          <w:szCs w:val="18"/>
          <w:color w:val="auto"/>
        </w:rPr>
        <w:t>Covered Personnel should also recognize that a violation of this Code or of Rule 17j-1 may result in the imposition of: (1) sanctions as provided by Section VIII below; or (2) administrative, civil and, in certain cases, criminal fines, sanctions or penalties.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IV Prohibited Transactions</w:t>
      </w:r>
    </w:p>
    <w:p>
      <w:pPr>
        <w:spacing w:after="0" w:line="96" w:lineRule="exact"/>
        <w:rPr>
          <w:sz w:val="20"/>
          <w:szCs w:val="20"/>
          <w:color w:val="auto"/>
        </w:rPr>
      </w:pPr>
    </w:p>
    <w:p>
      <w:pPr>
        <w:ind w:left="900" w:right="60" w:hanging="447"/>
        <w:spacing w:after="0" w:line="291"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 Access Person may not purchase or otherwise acquire direct or indirect Beneficial Ownership of any Covered Security, and may not sell or otherwise dispose of any Covered Security in which he or she has direct or indirect Beneficial Ownership, if he or she knows or should know at the time of entering into the transaction that: (1) the Corporation has purchased or sold the Covered Security 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 Corporation.</w:t>
      </w:r>
    </w:p>
    <w:p>
      <w:pPr>
        <w:spacing w:after="0" w:line="38" w:lineRule="exact"/>
        <w:rPr>
          <w:rFonts w:ascii="Arial" w:cs="Arial" w:eastAsia="Arial" w:hAnsi="Arial"/>
          <w:sz w:val="16"/>
          <w:szCs w:val="16"/>
          <w:color w:val="auto"/>
        </w:rPr>
      </w:pPr>
    </w:p>
    <w:p>
      <w:pPr>
        <w:ind w:left="900" w:hanging="447"/>
        <w:spacing w:after="0" w:line="256"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 which case it must be obtained from the President of the 17j-1 Organization.</w:t>
      </w:r>
    </w:p>
    <w:p>
      <w:pPr>
        <w:spacing w:after="0" w:line="61" w:lineRule="exact"/>
        <w:rPr>
          <w:rFonts w:ascii="Arial" w:cs="Arial" w:eastAsia="Arial" w:hAnsi="Arial"/>
          <w:sz w:val="18"/>
          <w:szCs w:val="18"/>
          <w:color w:val="auto"/>
        </w:rPr>
      </w:pPr>
    </w:p>
    <w:p>
      <w:pPr>
        <w:ind w:left="900" w:right="120" w:hanging="447"/>
        <w:spacing w:after="0" w:line="25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Access Person shall recommend any transaction in any Covered Securities by the Corporation without having disclosed to the Chief Compliance Officer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 Reports by Access Persons</w:t>
      </w:r>
    </w:p>
    <w:p>
      <w:pPr>
        <w:spacing w:after="0" w:line="96" w:lineRule="exact"/>
        <w:rPr>
          <w:sz w:val="20"/>
          <w:szCs w:val="20"/>
          <w:color w:val="auto"/>
        </w:rPr>
      </w:pPr>
    </w:p>
    <w:p>
      <w:pPr>
        <w:ind w:left="900" w:hanging="447"/>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Personal Securities Holdings Reports.</w:t>
      </w:r>
    </w:p>
    <w:p>
      <w:pPr>
        <w:spacing w:after="0" w:line="171" w:lineRule="exact"/>
        <w:rPr>
          <w:sz w:val="20"/>
          <w:szCs w:val="20"/>
          <w:color w:val="auto"/>
        </w:rPr>
      </w:pPr>
    </w:p>
    <w:p>
      <w:pPr>
        <w:ind w:right="20" w:firstLine="898"/>
        <w:spacing w:after="0" w:line="290" w:lineRule="auto"/>
        <w:rPr>
          <w:sz w:val="20"/>
          <w:szCs w:val="20"/>
          <w:color w:val="auto"/>
        </w:rPr>
      </w:pPr>
      <w:r>
        <w:rPr>
          <w:rFonts w:ascii="Arial" w:cs="Arial" w:eastAsia="Arial" w:hAnsi="Arial"/>
          <w:sz w:val="16"/>
          <w:szCs w:val="16"/>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 “Personal Securities Holdings Report,” is attached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pacing w:after="0" w:line="37" w:lineRule="exact"/>
        <w:rPr>
          <w:sz w:val="20"/>
          <w:szCs w:val="20"/>
          <w:color w:val="auto"/>
        </w:rPr>
      </w:pPr>
    </w:p>
    <w:p>
      <w:pPr>
        <w:ind w:left="900" w:hanging="447"/>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Quarterly Transaction Reports.</w:t>
      </w:r>
    </w:p>
    <w:p>
      <w:pPr>
        <w:spacing w:after="0" w:line="171"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Within 10 days after the end of each calendar quarter, each Access Person shall make a written report to the Chief Compliance Officer of all transactions occurring in the quarter in a Covered Security in which he or she had any Beneficial Ownership. A form of such report, which is hereinafter called a “Quarterly Securities Transaction Report,” is attached as Schedule B.</w:t>
      </w:r>
    </w:p>
    <w:p>
      <w:pPr>
        <w:spacing w:after="0" w:line="140" w:lineRule="exact"/>
        <w:rPr>
          <w:sz w:val="20"/>
          <w:szCs w:val="20"/>
          <w:color w:val="auto"/>
        </w:rPr>
      </w:pPr>
    </w:p>
    <w:p>
      <w:pPr>
        <w:ind w:right="220" w:firstLine="898"/>
        <w:spacing w:after="0" w:line="268" w:lineRule="auto"/>
        <w:rPr>
          <w:sz w:val="20"/>
          <w:szCs w:val="20"/>
          <w:color w:val="auto"/>
        </w:rPr>
      </w:pPr>
      <w:r>
        <w:rPr>
          <w:rFonts w:ascii="Arial" w:cs="Arial" w:eastAsia="Arial" w:hAnsi="Arial"/>
          <w:sz w:val="18"/>
          <w:szCs w:val="18"/>
          <w:color w:val="auto"/>
        </w:rPr>
        <w:t>A Quarterly Securities Transaction Report shall be in the form of Schedule B or such other form approved by the Chief Compliance Officer and must contain the following information with respect to each reportable transaction:</w:t>
      </w:r>
    </w:p>
    <w:p>
      <w:pPr>
        <w:spacing w:after="0" w:line="51" w:lineRule="exact"/>
        <w:rPr>
          <w:sz w:val="20"/>
          <w:szCs w:val="20"/>
          <w:color w:val="auto"/>
        </w:rPr>
      </w:pPr>
    </w:p>
    <w:p>
      <w:pPr>
        <w:ind w:left="1140" w:hanging="252"/>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Date and nature of the transaction (purchase, sale or any other type of acquisition or disposition);</w:t>
      </w:r>
    </w:p>
    <w:p>
      <w:pPr>
        <w:spacing w:after="0" w:line="90" w:lineRule="exact"/>
        <w:rPr>
          <w:rFonts w:ascii="Arial" w:cs="Arial" w:eastAsia="Arial" w:hAnsi="Arial"/>
          <w:sz w:val="18"/>
          <w:szCs w:val="18"/>
          <w:color w:val="auto"/>
        </w:rPr>
      </w:pPr>
    </w:p>
    <w:p>
      <w:pPr>
        <w:ind w:left="460" w:right="80" w:firstLine="428"/>
        <w:spacing w:after="0" w:line="268" w:lineRule="auto"/>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Title, interest rate and maturity date (if applicable), number of shares and principal amount of each Covered Security involved and the price of the Covered Security at which the transaction was effected;</w:t>
      </w:r>
    </w:p>
    <w:p>
      <w:pPr>
        <w:spacing w:after="0" w:line="50" w:lineRule="exact"/>
        <w:rPr>
          <w:rFonts w:ascii="Arial" w:cs="Arial" w:eastAsia="Arial" w:hAnsi="Arial"/>
          <w:sz w:val="18"/>
          <w:szCs w:val="18"/>
          <w:color w:val="auto"/>
        </w:rPr>
      </w:pPr>
    </w:p>
    <w:p>
      <w:pPr>
        <w:ind w:left="1140" w:hanging="252"/>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Name of the broker, dealer or bank with or through whom the transaction was effected; and</w:t>
      </w:r>
    </w:p>
    <w:p>
      <w:pPr>
        <w:spacing w:after="0" w:line="90" w:lineRule="exact"/>
        <w:rPr>
          <w:rFonts w:ascii="Arial" w:cs="Arial" w:eastAsia="Arial" w:hAnsi="Arial"/>
          <w:sz w:val="18"/>
          <w:szCs w:val="18"/>
          <w:color w:val="auto"/>
        </w:rPr>
      </w:pPr>
    </w:p>
    <w:p>
      <w:pPr>
        <w:ind w:left="1140" w:hanging="252"/>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date the report is submitted by the Access Person.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280" w:right="359" w:bottom="1440" w:gutter="0" w:footer="0" w:header="0"/>
        </w:sectPr>
      </w:pPr>
    </w:p>
    <w:bookmarkStart w:id="97" w:name="page98"/>
    <w:bookmarkEnd w:id="97"/>
    <w:p>
      <w:pPr>
        <w:ind w:left="900" w:hanging="447"/>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Independent Directors.</w:t>
      </w:r>
    </w:p>
    <w:p>
      <w:pPr>
        <w:spacing w:after="0" w:line="171" w:lineRule="exact"/>
        <w:rPr>
          <w:sz w:val="20"/>
          <w:szCs w:val="20"/>
          <w:color w:val="auto"/>
        </w:rPr>
      </w:pPr>
    </w:p>
    <w:p>
      <w:pPr>
        <w:ind w:firstLine="898"/>
        <w:spacing w:after="0" w:line="291" w:lineRule="auto"/>
        <w:rPr>
          <w:sz w:val="20"/>
          <w:szCs w:val="20"/>
          <w:color w:val="auto"/>
        </w:rPr>
      </w:pPr>
      <w:r>
        <w:rPr>
          <w:rFonts w:ascii="Arial" w:cs="Arial" w:eastAsia="Arial" w:hAnsi="Arial"/>
          <w:sz w:val="16"/>
          <w:szCs w:val="16"/>
          <w:color w:val="auto"/>
        </w:rPr>
        <w:t>Notwithstanding the reporting requirements set forth in this Section V, an Independent Director who would be required to make a report under this Section V solely by reason of being a director of the Corporation is not 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39" w:lineRule="exact"/>
        <w:rPr>
          <w:sz w:val="20"/>
          <w:szCs w:val="20"/>
          <w:color w:val="auto"/>
        </w:rPr>
      </w:pPr>
    </w:p>
    <w:p>
      <w:pPr>
        <w:ind w:left="900" w:hanging="447"/>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Access Persons of the Adviser.</w:t>
      </w:r>
    </w:p>
    <w:p>
      <w:pPr>
        <w:spacing w:after="0" w:line="171" w:lineRule="exact"/>
        <w:rPr>
          <w:sz w:val="20"/>
          <w:szCs w:val="20"/>
          <w:color w:val="auto"/>
        </w:rPr>
      </w:pPr>
    </w:p>
    <w:p>
      <w:pPr>
        <w:ind w:right="60" w:firstLine="898"/>
        <w:spacing w:after="0" w:line="331" w:lineRule="auto"/>
        <w:rPr>
          <w:sz w:val="20"/>
          <w:szCs w:val="20"/>
          <w:color w:val="auto"/>
        </w:rPr>
      </w:pPr>
      <w:r>
        <w:rPr>
          <w:rFonts w:ascii="Arial" w:cs="Arial" w:eastAsia="Arial" w:hAnsi="Arial"/>
          <w:sz w:val="16"/>
          <w:szCs w:val="16"/>
          <w:color w:val="auto"/>
        </w:rPr>
        <w:t>An Access Person of the Adviser need not make a Quarterly Transaction Report if all of the information in the report would duplicate information required to be recorded pursuant to Rules 204-2(a)(12) or (13) under the Investment Advisers Act of 1940, as amended.</w:t>
      </w:r>
    </w:p>
    <w:p>
      <w:pPr>
        <w:spacing w:after="0" w:line="6" w:lineRule="exact"/>
        <w:rPr>
          <w:sz w:val="20"/>
          <w:szCs w:val="20"/>
          <w:color w:val="auto"/>
        </w:rPr>
      </w:pPr>
    </w:p>
    <w:p>
      <w:pPr>
        <w:ind w:left="900" w:hanging="447"/>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Brokerage Accounts and Statements.</w:t>
      </w:r>
    </w:p>
    <w:p>
      <w:pPr>
        <w:spacing w:after="0" w:line="17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Access Persons, except Independent Directors, shall:</w:t>
      </w:r>
    </w:p>
    <w:p>
      <w:pPr>
        <w:spacing w:after="0" w:line="90" w:lineRule="exact"/>
        <w:rPr>
          <w:rFonts w:ascii="Arial" w:cs="Arial" w:eastAsia="Arial" w:hAnsi="Arial"/>
          <w:sz w:val="18"/>
          <w:szCs w:val="18"/>
          <w:color w:val="auto"/>
        </w:rPr>
      </w:pPr>
    </w:p>
    <w:p>
      <w:pPr>
        <w:ind w:left="460" w:right="60" w:firstLine="428"/>
        <w:spacing w:after="0" w:line="306" w:lineRule="auto"/>
        <w:tabs>
          <w:tab w:leader="none" w:pos="1140" w:val="left"/>
        </w:tabs>
        <w:numPr>
          <w:ilvl w:val="1"/>
          <w:numId w:val="59"/>
        </w:numPr>
        <w:rPr>
          <w:rFonts w:ascii="Arial" w:cs="Arial" w:eastAsia="Arial" w:hAnsi="Arial"/>
          <w:sz w:val="16"/>
          <w:szCs w:val="16"/>
          <w:color w:val="auto"/>
        </w:rPr>
      </w:pPr>
      <w:r>
        <w:rPr>
          <w:rFonts w:ascii="Arial" w:cs="Arial" w:eastAsia="Arial" w:hAnsi="Arial"/>
          <w:sz w:val="16"/>
          <w:szCs w:val="16"/>
          <w:color w:val="auto"/>
        </w:rPr>
        <w:t>within 10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25" w:lineRule="exact"/>
        <w:rPr>
          <w:rFonts w:ascii="Arial" w:cs="Arial" w:eastAsia="Arial" w:hAnsi="Arial"/>
          <w:sz w:val="16"/>
          <w:szCs w:val="16"/>
          <w:color w:val="auto"/>
        </w:rPr>
      </w:pPr>
    </w:p>
    <w:p>
      <w:pPr>
        <w:ind w:left="460" w:right="800" w:firstLine="428"/>
        <w:spacing w:after="0" w:line="268" w:lineRule="auto"/>
        <w:tabs>
          <w:tab w:leader="none" w:pos="11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instruct the brokers, dealers or banks with whom they maintain such an account to provide duplicate account statements to the Chief Compliance Officer.</w:t>
      </w:r>
    </w:p>
    <w:p>
      <w:pPr>
        <w:spacing w:after="0" w:line="50" w:lineRule="exact"/>
        <w:rPr>
          <w:rFonts w:ascii="Arial" w:cs="Arial" w:eastAsia="Arial" w:hAnsi="Arial"/>
          <w:sz w:val="18"/>
          <w:szCs w:val="18"/>
          <w:color w:val="auto"/>
        </w:rPr>
      </w:pPr>
    </w:p>
    <w:p>
      <w:pPr>
        <w:ind w:left="1140" w:hanging="252"/>
        <w:spacing w:after="0"/>
        <w:tabs>
          <w:tab w:leader="none" w:pos="11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on an annual basis, certify that they have complied with the requirements of (1) and (2) above.</w:t>
      </w:r>
    </w:p>
    <w:p>
      <w:pPr>
        <w:spacing w:after="0" w:line="90" w:lineRule="exact"/>
        <w:rPr>
          <w:rFonts w:ascii="Arial" w:cs="Arial" w:eastAsia="Arial" w:hAnsi="Arial"/>
          <w:sz w:val="18"/>
          <w:szCs w:val="18"/>
          <w:color w:val="auto"/>
        </w:rPr>
      </w:pPr>
    </w:p>
    <w:p>
      <w:pPr>
        <w:ind w:left="900" w:hanging="447"/>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Form of Reports.</w:t>
      </w:r>
    </w:p>
    <w:p>
      <w:pPr>
        <w:spacing w:after="0" w:line="171" w:lineRule="exact"/>
        <w:rPr>
          <w:sz w:val="20"/>
          <w:szCs w:val="20"/>
          <w:color w:val="auto"/>
        </w:rPr>
      </w:pPr>
    </w:p>
    <w:p>
      <w:pPr>
        <w:ind w:right="60" w:firstLine="898"/>
        <w:spacing w:after="0" w:line="356" w:lineRule="auto"/>
        <w:rPr>
          <w:sz w:val="20"/>
          <w:szCs w:val="20"/>
          <w:color w:val="auto"/>
        </w:rPr>
      </w:pPr>
      <w:r>
        <w:rPr>
          <w:rFonts w:ascii="Arial" w:cs="Arial" w:eastAsia="Arial" w:hAnsi="Arial"/>
          <w:sz w:val="15"/>
          <w:szCs w:val="15"/>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1" w:lineRule="exact"/>
        <w:rPr>
          <w:sz w:val="20"/>
          <w:szCs w:val="20"/>
          <w:color w:val="auto"/>
        </w:rPr>
      </w:pPr>
    </w:p>
    <w:p>
      <w:pPr>
        <w:ind w:left="900" w:hanging="447"/>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Responsibility to Report.</w:t>
      </w:r>
    </w:p>
    <w:p>
      <w:pPr>
        <w:spacing w:after="0" w:line="171" w:lineRule="exact"/>
        <w:rPr>
          <w:sz w:val="20"/>
          <w:szCs w:val="20"/>
          <w:color w:val="auto"/>
        </w:rPr>
      </w:pPr>
    </w:p>
    <w:p>
      <w:pPr>
        <w:ind w:right="100" w:firstLine="898"/>
        <w:spacing w:after="0" w:line="256" w:lineRule="auto"/>
        <w:rPr>
          <w:sz w:val="20"/>
          <w:szCs w:val="20"/>
          <w:color w:val="auto"/>
        </w:rPr>
      </w:pPr>
      <w:r>
        <w:rPr>
          <w:rFonts w:ascii="Arial" w:cs="Arial" w:eastAsia="Arial" w:hAnsi="Arial"/>
          <w:sz w:val="18"/>
          <w:szCs w:val="18"/>
          <w:color w:val="auto"/>
        </w:rPr>
        <w:t>It is the responsibility of each Access Person to take the initiative to comply with the requirements of this Section V.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62" w:lineRule="exact"/>
        <w:rPr>
          <w:sz w:val="20"/>
          <w:szCs w:val="20"/>
          <w:color w:val="auto"/>
        </w:rPr>
      </w:pPr>
    </w:p>
    <w:p>
      <w:pPr>
        <w:ind w:left="900" w:hanging="447"/>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Where to File Reports.</w:t>
      </w:r>
    </w:p>
    <w:p>
      <w:pPr>
        <w:spacing w:after="0" w:line="17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6"/>
          <w:szCs w:val="16"/>
          <w:color w:val="auto"/>
        </w:rPr>
        <w:t>All Quarterly Securities Transaction Reports and Personal Securities Holdings Reports must be filed with the Chief Compliance Officer.</w:t>
      </w:r>
    </w:p>
    <w:p>
      <w:pPr>
        <w:spacing w:after="0" w:line="113" w:lineRule="exact"/>
        <w:rPr>
          <w:rFonts w:ascii="Arial" w:cs="Arial" w:eastAsia="Arial" w:hAnsi="Arial"/>
          <w:sz w:val="18"/>
          <w:szCs w:val="18"/>
          <w:color w:val="auto"/>
        </w:rPr>
      </w:pPr>
    </w:p>
    <w:p>
      <w:pPr>
        <w:ind w:left="900" w:hanging="447"/>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Disclaimers.</w:t>
      </w:r>
    </w:p>
    <w:p>
      <w:pPr>
        <w:spacing w:after="0" w:line="171" w:lineRule="exact"/>
        <w:rPr>
          <w:sz w:val="20"/>
          <w:szCs w:val="20"/>
          <w:color w:val="auto"/>
        </w:rPr>
      </w:pPr>
    </w:p>
    <w:p>
      <w:pPr>
        <w:ind w:right="300" w:firstLine="898"/>
        <w:spacing w:after="0" w:line="268" w:lineRule="auto"/>
        <w:rPr>
          <w:sz w:val="20"/>
          <w:szCs w:val="20"/>
          <w:color w:val="auto"/>
        </w:rPr>
      </w:pPr>
      <w:r>
        <w:rPr>
          <w:rFonts w:ascii="Arial" w:cs="Arial" w:eastAsia="Arial" w:hAnsi="Arial"/>
          <w:sz w:val="18"/>
          <w:szCs w:val="18"/>
          <w:color w:val="auto"/>
        </w:rPr>
        <w:t>Any report required by this Section V may contain a statement that the report will not be construed as an admission that the person making the report has any direct or indirect Beneficial Ownership in the Covered, Security to which the report relates.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VI Additional Prohibitions</w:t>
      </w:r>
    </w:p>
    <w:p>
      <w:pPr>
        <w:spacing w:after="0" w:line="96" w:lineRule="exact"/>
        <w:rPr>
          <w:sz w:val="20"/>
          <w:szCs w:val="20"/>
          <w:color w:val="auto"/>
        </w:rPr>
      </w:pPr>
    </w:p>
    <w:p>
      <w:pPr>
        <w:ind w:left="900" w:hanging="447"/>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Confidentiality of the Corporation’s Transactions.</w:t>
      </w:r>
    </w:p>
    <w:p>
      <w:pPr>
        <w:spacing w:after="0" w:line="171" w:lineRule="exact"/>
        <w:rPr>
          <w:sz w:val="20"/>
          <w:szCs w:val="20"/>
          <w:color w:val="auto"/>
        </w:rPr>
      </w:pPr>
    </w:p>
    <w:p>
      <w:pPr>
        <w:ind w:right="120" w:firstLine="898"/>
        <w:spacing w:after="0" w:line="256" w:lineRule="auto"/>
        <w:rPr>
          <w:sz w:val="20"/>
          <w:szCs w:val="20"/>
          <w:color w:val="auto"/>
        </w:rPr>
      </w:pPr>
      <w:r>
        <w:rPr>
          <w:rFonts w:ascii="Arial" w:cs="Arial" w:eastAsia="Arial" w:hAnsi="Arial"/>
          <w:sz w:val="18"/>
          <w:szCs w:val="18"/>
          <w:color w:val="auto"/>
        </w:rPr>
        <w:t>Until disclosed in a public report to shareholders or to the Securities and Exchange Commission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280" w:right="359" w:bottom="1440" w:gutter="0" w:footer="0" w:header="0"/>
        </w:sectPr>
      </w:pPr>
    </w:p>
    <w:bookmarkStart w:id="98" w:name="page99"/>
    <w:bookmarkEnd w:id="98"/>
    <w:p>
      <w:pPr>
        <w:ind w:left="900" w:hanging="447"/>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Outside Business Activities and Directorships.</w:t>
      </w:r>
    </w:p>
    <w:p>
      <w:pPr>
        <w:spacing w:after="0" w:line="171" w:lineRule="exact"/>
        <w:rPr>
          <w:sz w:val="20"/>
          <w:szCs w:val="20"/>
          <w:color w:val="auto"/>
        </w:rPr>
      </w:pPr>
    </w:p>
    <w:p>
      <w:pPr>
        <w:jc w:val="both"/>
        <w:ind w:firstLine="898"/>
        <w:spacing w:after="0" w:line="259" w:lineRule="auto"/>
        <w:rPr>
          <w:sz w:val="20"/>
          <w:szCs w:val="20"/>
          <w:color w:val="auto"/>
        </w:rPr>
      </w:pPr>
      <w:r>
        <w:rPr>
          <w:rFonts w:ascii="Arial" w:cs="Arial" w:eastAsia="Arial" w:hAnsi="Arial"/>
          <w:sz w:val="18"/>
          <w:szCs w:val="18"/>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59" w:lineRule="exact"/>
        <w:rPr>
          <w:sz w:val="20"/>
          <w:szCs w:val="20"/>
          <w:color w:val="auto"/>
        </w:rPr>
      </w:pPr>
    </w:p>
    <w:p>
      <w:pPr>
        <w:ind w:left="900" w:hanging="447"/>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Gratuities.</w:t>
      </w:r>
    </w:p>
    <w:p>
      <w:pPr>
        <w:spacing w:after="0" w:line="171"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VII Prohibition Against Insider Trading</w:t>
      </w:r>
    </w:p>
    <w:p>
      <w:pPr>
        <w:spacing w:after="0" w:line="177" w:lineRule="exact"/>
        <w:rPr>
          <w:sz w:val="20"/>
          <w:szCs w:val="20"/>
          <w:color w:val="auto"/>
        </w:rPr>
      </w:pPr>
    </w:p>
    <w:p>
      <w:pPr>
        <w:ind w:firstLine="898"/>
        <w:spacing w:after="0" w:line="291" w:lineRule="auto"/>
        <w:rPr>
          <w:sz w:val="20"/>
          <w:szCs w:val="20"/>
          <w:color w:val="auto"/>
        </w:rPr>
      </w:pPr>
      <w:r>
        <w:rPr>
          <w:rFonts w:ascii="Arial" w:cs="Arial" w:eastAsia="Arial" w:hAnsi="Arial"/>
          <w:sz w:val="16"/>
          <w:szCs w:val="16"/>
          <w:color w:val="auto"/>
        </w:rPr>
        <w:t>This Section is intended to satisfy the requirements of Section 204A of the Advisers Act, which is applicable to the Adviser and requires that the Adviser establish and enforce procedures designed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spacing w:after="0" w:line="39" w:lineRule="exact"/>
        <w:rPr>
          <w:sz w:val="20"/>
          <w:szCs w:val="20"/>
          <w:color w:val="auto"/>
        </w:rPr>
      </w:pPr>
    </w:p>
    <w:p>
      <w:pPr>
        <w:ind w:left="900" w:hanging="447"/>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w:t>
      </w:r>
    </w:p>
    <w:p>
      <w:pPr>
        <w:spacing w:after="0" w:line="58" w:lineRule="exact"/>
        <w:rPr>
          <w:rFonts w:ascii="Arial" w:cs="Arial" w:eastAsia="Arial" w:hAnsi="Arial"/>
          <w:sz w:val="18"/>
          <w:szCs w:val="18"/>
          <w:color w:val="auto"/>
        </w:rPr>
      </w:pPr>
    </w:p>
    <w:p>
      <w:pPr>
        <w:ind w:left="900" w:right="100" w:hanging="447"/>
        <w:spacing w:after="0" w:line="310" w:lineRule="auto"/>
        <w:tabs>
          <w:tab w:leader="none" w:pos="9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 market for a company’s securities. Information about a significant order to purchase or sell Securities may, in some contexts, be material. Pre-publication information regarding reports in the financial press may also be material.</w:t>
      </w:r>
    </w:p>
    <w:p>
      <w:pPr>
        <w:spacing w:after="0" w:line="26" w:lineRule="exact"/>
        <w:rPr>
          <w:rFonts w:ascii="Arial" w:cs="Arial" w:eastAsia="Arial" w:hAnsi="Arial"/>
          <w:sz w:val="15"/>
          <w:szCs w:val="15"/>
          <w:color w:val="auto"/>
        </w:rPr>
      </w:pPr>
    </w:p>
    <w:p>
      <w:pPr>
        <w:ind w:left="900" w:right="100" w:hanging="447"/>
        <w:spacing w:after="0" w:line="256"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Information is “public” when it has been disseminated broadly to investors in the marketplace. For example, information is public after it has become available to the general public through a public filing with the SEC or some other government agency, the Dow Jones “tape” or </w:t>
      </w:r>
      <w:r>
        <w:rPr>
          <w:rFonts w:ascii="Arial" w:cs="Arial" w:eastAsia="Arial" w:hAnsi="Arial"/>
          <w:sz w:val="18"/>
          <w:szCs w:val="18"/>
          <w:i w:val="1"/>
          <w:iCs w:val="1"/>
          <w:color w:val="auto"/>
        </w:rPr>
        <w:t>The Wall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Street Journal </w:t>
      </w:r>
      <w:r>
        <w:rPr>
          <w:rFonts w:ascii="Arial" w:cs="Arial" w:eastAsia="Arial" w:hAnsi="Arial"/>
          <w:sz w:val="18"/>
          <w:szCs w:val="18"/>
          <w:color w:val="auto"/>
        </w:rPr>
        <w:t>or some other publication of general circulation, and after sufficient time has passed so that the information has been disseminated</w:t>
      </w:r>
      <w:r>
        <w:rPr>
          <w:rFonts w:ascii="Arial" w:cs="Arial" w:eastAsia="Arial" w:hAnsi="Arial"/>
          <w:sz w:val="18"/>
          <w:szCs w:val="18"/>
          <w:i w:val="1"/>
          <w:iCs w:val="1"/>
          <w:color w:val="auto"/>
        </w:rPr>
        <w:t xml:space="preserve"> </w:t>
      </w:r>
      <w:r>
        <w:rPr>
          <w:rFonts w:ascii="Arial" w:cs="Arial" w:eastAsia="Arial" w:hAnsi="Arial"/>
          <w:sz w:val="18"/>
          <w:szCs w:val="18"/>
          <w:color w:val="auto"/>
        </w:rPr>
        <w:t>widely.</w:t>
      </w:r>
    </w:p>
    <w:p>
      <w:pPr>
        <w:spacing w:after="0" w:line="61" w:lineRule="exact"/>
        <w:rPr>
          <w:rFonts w:ascii="Arial" w:cs="Arial" w:eastAsia="Arial" w:hAnsi="Arial"/>
          <w:sz w:val="18"/>
          <w:szCs w:val="18"/>
          <w:color w:val="auto"/>
        </w:rPr>
      </w:pPr>
    </w:p>
    <w:p>
      <w:pPr>
        <w:ind w:left="900" w:right="20" w:hanging="447"/>
        <w:spacing w:after="0" w:line="256"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Advisory Person, before executing any trade for himself or herself, or others, including the Corporation or other accounts managed by the Adviser or by a stockholder of the Adviser, or any affiliate of the stockholder (“Client Accounts”), must determine whether he or she has material, non-public information. Any Advisory Person who believes he or she is in possession of material, non-public information must take the following steps:</w:t>
      </w:r>
    </w:p>
    <w:p>
      <w:pPr>
        <w:spacing w:after="0" w:line="61" w:lineRule="exact"/>
        <w:rPr>
          <w:rFonts w:ascii="Arial" w:cs="Arial" w:eastAsia="Arial" w:hAnsi="Arial"/>
          <w:sz w:val="18"/>
          <w:szCs w:val="18"/>
          <w:color w:val="auto"/>
        </w:rPr>
      </w:pPr>
    </w:p>
    <w:p>
      <w:pPr>
        <w:ind w:left="1460" w:hanging="561"/>
        <w:spacing w:after="0"/>
        <w:tabs>
          <w:tab w:leader="none" w:pos="14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Report the information and proposed trade immediately to the Chief Compliance Officer.</w:t>
      </w:r>
    </w:p>
    <w:p>
      <w:pPr>
        <w:spacing w:after="0" w:line="90" w:lineRule="exact"/>
        <w:rPr>
          <w:rFonts w:ascii="Arial" w:cs="Arial" w:eastAsia="Arial" w:hAnsi="Arial"/>
          <w:sz w:val="18"/>
          <w:szCs w:val="18"/>
          <w:color w:val="auto"/>
        </w:rPr>
      </w:pPr>
    </w:p>
    <w:p>
      <w:pPr>
        <w:ind w:left="1460" w:hanging="561"/>
        <w:spacing w:after="0"/>
        <w:tabs>
          <w:tab w:leader="none" w:pos="14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Do not purchase or sell the securities on behalf of anyone, including Client Accounts.</w:t>
      </w:r>
    </w:p>
    <w:p>
      <w:pPr>
        <w:spacing w:after="0" w:line="90" w:lineRule="exact"/>
        <w:rPr>
          <w:rFonts w:ascii="Arial" w:cs="Arial" w:eastAsia="Arial" w:hAnsi="Arial"/>
          <w:sz w:val="18"/>
          <w:szCs w:val="18"/>
          <w:color w:val="auto"/>
        </w:rPr>
      </w:pPr>
    </w:p>
    <w:p>
      <w:pPr>
        <w:ind w:left="1460" w:hanging="561"/>
        <w:spacing w:after="0"/>
        <w:tabs>
          <w:tab w:leader="none" w:pos="14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Do not communicate the information to any person, other than to the Chief Compliance Officer.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280" w:right="379" w:bottom="1440" w:gutter="0" w:footer="0" w:header="0"/>
        </w:sectPr>
      </w:pPr>
    </w:p>
    <w:bookmarkStart w:id="99" w:name="page100"/>
    <w:bookmarkEnd w:id="99"/>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After the Chief Compliance Officer has reviewed the issue, the Chief Compliance Officer will determine whether the information is material and non-public and, if so, what action the Advisory Person should take. An Advisory Person must consult with the Chief Compliance Officer before taking any further action. This degree of caution will protect the Advisory Person and the Adviser.</w:t>
      </w:r>
    </w:p>
    <w:p>
      <w:pPr>
        <w:spacing w:after="0" w:line="59" w:lineRule="exact"/>
        <w:rPr>
          <w:sz w:val="20"/>
          <w:szCs w:val="20"/>
          <w:color w:val="auto"/>
        </w:rPr>
      </w:pPr>
    </w:p>
    <w:p>
      <w:pPr>
        <w:ind w:left="900" w:right="120" w:hanging="447"/>
        <w:spacing w:after="0" w:line="288"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To prevent and detect insider trading from occurring, the Chief Compliance Officer shall prepare and maintain a “Restricted List” in order to monitor and prevent the occurrence of 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 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 Corporation.</w:t>
      </w:r>
    </w:p>
    <w:p>
      <w:pPr>
        <w:spacing w:after="0" w:line="42" w:lineRule="exact"/>
        <w:rPr>
          <w:rFonts w:ascii="Arial" w:cs="Arial" w:eastAsia="Arial" w:hAnsi="Arial"/>
          <w:sz w:val="16"/>
          <w:szCs w:val="16"/>
          <w:color w:val="auto"/>
        </w:rPr>
      </w:pPr>
    </w:p>
    <w:p>
      <w:pPr>
        <w:ind w:left="900" w:hanging="447"/>
        <w:spacing w:after="0" w:line="290"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 make a judgment as to its further conduct. To protect yourself, clients and the Adviser, you should contact the Chief Compliance Officer immediately if you believe that you may have received material, non-public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VIII Annual Certification</w:t>
      </w:r>
    </w:p>
    <w:p>
      <w:pPr>
        <w:spacing w:after="0" w:line="96" w:lineRule="exact"/>
        <w:rPr>
          <w:sz w:val="20"/>
          <w:szCs w:val="20"/>
          <w:color w:val="auto"/>
        </w:rPr>
      </w:pPr>
    </w:p>
    <w:p>
      <w:pPr>
        <w:ind w:left="900" w:hanging="447"/>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Access Persons.</w:t>
      </w:r>
    </w:p>
    <w:p>
      <w:pPr>
        <w:spacing w:after="0" w:line="171"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59" w:lineRule="exact"/>
        <w:rPr>
          <w:sz w:val="20"/>
          <w:szCs w:val="20"/>
          <w:color w:val="auto"/>
        </w:rPr>
      </w:pPr>
    </w:p>
    <w:p>
      <w:pPr>
        <w:ind w:left="900" w:hanging="447"/>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Board Review.</w:t>
      </w:r>
    </w:p>
    <w:p>
      <w:pPr>
        <w:spacing w:after="0" w:line="171" w:lineRule="exact"/>
        <w:rPr>
          <w:sz w:val="20"/>
          <w:szCs w:val="20"/>
          <w:color w:val="auto"/>
        </w:rPr>
      </w:pPr>
    </w:p>
    <w:p>
      <w:pPr>
        <w:ind w:right="40" w:firstLine="898"/>
        <w:spacing w:after="0" w:line="298" w:lineRule="auto"/>
        <w:rPr>
          <w:sz w:val="20"/>
          <w:szCs w:val="20"/>
          <w:color w:val="auto"/>
        </w:rPr>
      </w:pPr>
      <w:r>
        <w:rPr>
          <w:rFonts w:ascii="Arial" w:cs="Arial" w:eastAsia="Arial" w:hAnsi="Arial"/>
          <w:sz w:val="16"/>
          <w:szCs w:val="16"/>
          <w:color w:val="auto"/>
        </w:rPr>
        <w:t>No less frequently than annually, the Corporation and the Adviser must furnish to the Corporation’s board of directors, and the board must consider, a written report that: (A) describes any issues arising under this Code or procedures since the last report to the board, including, but not limited to, information about material violations of the Code or procedures and sanctions imposed in response to material violations; and (B) certifies that the Corporation or the Adviser, as applicable, has adopted procedures reasonably necessary to prevent Access Persons from violating the Code.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IX Sanctions</w:t>
      </w:r>
    </w:p>
    <w:p>
      <w:pPr>
        <w:spacing w:after="0" w:line="177" w:lineRule="exact"/>
        <w:rPr>
          <w:sz w:val="20"/>
          <w:szCs w:val="20"/>
          <w:color w:val="auto"/>
        </w:rPr>
      </w:pPr>
    </w:p>
    <w:p>
      <w:pPr>
        <w:ind w:right="120" w:firstLine="898"/>
        <w:spacing w:after="0" w:line="291" w:lineRule="auto"/>
        <w:rPr>
          <w:sz w:val="20"/>
          <w:szCs w:val="20"/>
          <w:color w:val="auto"/>
        </w:rPr>
      </w:pPr>
      <w:r>
        <w:rPr>
          <w:rFonts w:ascii="Arial" w:cs="Arial" w:eastAsia="Arial" w:hAnsi="Arial"/>
          <w:sz w:val="16"/>
          <w:szCs w:val="16"/>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X Administration and Construction</w:t>
      </w:r>
    </w:p>
    <w:p>
      <w:pPr>
        <w:spacing w:after="0" w:line="96" w:lineRule="exact"/>
        <w:rPr>
          <w:sz w:val="20"/>
          <w:szCs w:val="20"/>
          <w:color w:val="auto"/>
        </w:rPr>
      </w:pPr>
    </w:p>
    <w:p>
      <w:pPr>
        <w:ind w:left="5580" w:right="3920" w:hanging="5127"/>
        <w:spacing w:after="0" w:line="440" w:lineRule="auto"/>
        <w:tabs>
          <w:tab w:leader="none" w:pos="899"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administration of this Code shall be the responsibility of the Chief Compliance Officer. 6</w:t>
      </w:r>
    </w:p>
    <w:p>
      <w:pPr>
        <w:sectPr>
          <w:pgSz w:w="11900" w:h="16838" w:orient="portrait"/>
          <w:cols w:equalWidth="0" w:num="1">
            <w:col w:w="11240"/>
          </w:cols>
          <w:pgMar w:left="320" w:top="280" w:right="339" w:bottom="1440" w:gutter="0" w:footer="0" w:header="0"/>
        </w:sectPr>
      </w:pPr>
    </w:p>
    <w:bookmarkStart w:id="100" w:name="page101"/>
    <w:bookmarkEnd w:id="100"/>
    <w:p>
      <w:pPr>
        <w:ind w:left="900" w:hanging="447"/>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duties of the Chief Compliance Officer are as follows:</w:t>
      </w:r>
    </w:p>
    <w:p>
      <w:pPr>
        <w:spacing w:after="0" w:line="90" w:lineRule="exact"/>
        <w:rPr>
          <w:rFonts w:ascii="Arial" w:cs="Arial" w:eastAsia="Arial" w:hAnsi="Arial"/>
          <w:sz w:val="18"/>
          <w:szCs w:val="18"/>
          <w:color w:val="auto"/>
        </w:rPr>
      </w:pPr>
    </w:p>
    <w:p>
      <w:pPr>
        <w:jc w:val="both"/>
        <w:ind w:left="460" w:right="500" w:firstLine="428"/>
        <w:spacing w:after="0" w:line="259" w:lineRule="auto"/>
        <w:tabs>
          <w:tab w:leader="none" w:pos="11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Continuous maintenance of a current list of the names of all Access Persons with an appropriate description of their title or employment, including a notation of any directorships held by Access Persons who are officers or employees of the Adviser or of any company that controls the Adviser, and informing all Access Persons of their reporting obligations hereunder;</w:t>
      </w:r>
    </w:p>
    <w:p>
      <w:pPr>
        <w:spacing w:after="0" w:line="58" w:lineRule="exact"/>
        <w:rPr>
          <w:rFonts w:ascii="Arial" w:cs="Arial" w:eastAsia="Arial" w:hAnsi="Arial"/>
          <w:sz w:val="18"/>
          <w:szCs w:val="18"/>
          <w:color w:val="auto"/>
        </w:rPr>
      </w:pPr>
    </w:p>
    <w:p>
      <w:pPr>
        <w:ind w:left="460" w:right="120" w:firstLine="428"/>
        <w:spacing w:after="0" w:line="268" w:lineRule="auto"/>
        <w:tabs>
          <w:tab w:leader="none" w:pos="11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On an annual basis, providing all Covered Personnel a copy of this Code and informing such persons of their duties and obligations hereunder including any supplemental training that may be required from time to time;</w:t>
      </w:r>
    </w:p>
    <w:p>
      <w:pPr>
        <w:spacing w:after="0" w:line="50" w:lineRule="exact"/>
        <w:rPr>
          <w:rFonts w:ascii="Arial" w:cs="Arial" w:eastAsia="Arial" w:hAnsi="Arial"/>
          <w:sz w:val="18"/>
          <w:szCs w:val="18"/>
          <w:color w:val="auto"/>
        </w:rPr>
      </w:pPr>
    </w:p>
    <w:p>
      <w:pPr>
        <w:ind w:left="1140" w:hanging="252"/>
        <w:spacing w:after="0"/>
        <w:tabs>
          <w:tab w:leader="none" w:pos="11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Maintaining or supervising the maintenance of all records and reports required by this Code;</w:t>
      </w:r>
    </w:p>
    <w:p>
      <w:pPr>
        <w:spacing w:after="0" w:line="90" w:lineRule="exact"/>
        <w:rPr>
          <w:rFonts w:ascii="Arial" w:cs="Arial" w:eastAsia="Arial" w:hAnsi="Arial"/>
          <w:sz w:val="18"/>
          <w:szCs w:val="18"/>
          <w:color w:val="auto"/>
        </w:rPr>
      </w:pPr>
    </w:p>
    <w:p>
      <w:pPr>
        <w:ind w:left="460" w:right="380" w:firstLine="428"/>
        <w:spacing w:after="0" w:line="268" w:lineRule="auto"/>
        <w:tabs>
          <w:tab w:leader="none" w:pos="11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50" w:lineRule="exact"/>
        <w:rPr>
          <w:rFonts w:ascii="Arial" w:cs="Arial" w:eastAsia="Arial" w:hAnsi="Arial"/>
          <w:sz w:val="18"/>
          <w:szCs w:val="18"/>
          <w:color w:val="auto"/>
        </w:rPr>
      </w:pPr>
    </w:p>
    <w:p>
      <w:pPr>
        <w:ind w:left="460" w:right="40" w:firstLine="428"/>
        <w:spacing w:after="0" w:line="268" w:lineRule="auto"/>
        <w:tabs>
          <w:tab w:leader="none" w:pos="11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Issuance either personally or with the assistance of counsel as may be appropriate, of any interpretation of this Code that may appear consistent with the objectives of Rule 17j-1 and this Code;</w:t>
      </w:r>
    </w:p>
    <w:p>
      <w:pPr>
        <w:spacing w:after="0" w:line="50" w:lineRule="exact"/>
        <w:rPr>
          <w:rFonts w:ascii="Arial" w:cs="Arial" w:eastAsia="Arial" w:hAnsi="Arial"/>
          <w:sz w:val="18"/>
          <w:szCs w:val="18"/>
          <w:color w:val="auto"/>
        </w:rPr>
      </w:pPr>
    </w:p>
    <w:p>
      <w:pPr>
        <w:ind w:left="460" w:right="80" w:firstLine="428"/>
        <w:spacing w:after="0" w:line="268" w:lineRule="auto"/>
        <w:tabs>
          <w:tab w:leader="none" w:pos="11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Conduct such inspections or investigations as shall reasonably be required to detect and report, with recommendations, any apparent violations of this Code to the board of directors of the Corporation;</w:t>
      </w:r>
    </w:p>
    <w:p>
      <w:pPr>
        <w:spacing w:after="0" w:line="50" w:lineRule="exact"/>
        <w:rPr>
          <w:rFonts w:ascii="Arial" w:cs="Arial" w:eastAsia="Arial" w:hAnsi="Arial"/>
          <w:sz w:val="18"/>
          <w:szCs w:val="18"/>
          <w:color w:val="auto"/>
        </w:rPr>
      </w:pPr>
    </w:p>
    <w:p>
      <w:pPr>
        <w:ind w:left="460" w:right="180" w:firstLine="428"/>
        <w:spacing w:after="0" w:line="331" w:lineRule="auto"/>
        <w:tabs>
          <w:tab w:leader="none" w:pos="11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VII (B); and</w:t>
      </w:r>
    </w:p>
    <w:p>
      <w:pPr>
        <w:spacing w:after="0" w:line="5" w:lineRule="exact"/>
        <w:rPr>
          <w:rFonts w:ascii="Arial" w:cs="Arial" w:eastAsia="Arial" w:hAnsi="Arial"/>
          <w:sz w:val="16"/>
          <w:szCs w:val="16"/>
          <w:color w:val="auto"/>
        </w:rPr>
      </w:pPr>
    </w:p>
    <w:p>
      <w:pPr>
        <w:ind w:left="900" w:right="200" w:hanging="447"/>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Chief Financial Officer shall maintain and cause to be maintained in an easily accessible place at the principal place of business of the 17j-1 Organization, the following records:</w:t>
      </w:r>
    </w:p>
    <w:p>
      <w:pPr>
        <w:spacing w:after="0" w:line="50" w:lineRule="exact"/>
        <w:rPr>
          <w:rFonts w:ascii="Arial" w:cs="Arial" w:eastAsia="Arial" w:hAnsi="Arial"/>
          <w:sz w:val="18"/>
          <w:szCs w:val="18"/>
          <w:color w:val="auto"/>
        </w:rPr>
      </w:pPr>
    </w:p>
    <w:p>
      <w:pPr>
        <w:ind w:left="460" w:right="180" w:firstLine="428"/>
        <w:spacing w:after="0" w:line="268" w:lineRule="auto"/>
        <w:tabs>
          <w:tab w:leader="none" w:pos="11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 copy of all codes of ethics adopted by the Corporation or the Adviser and its affiliates, as the case may be, pursuant to Rule 17j-1 that have been in effect at any time during the past five (5) years;</w:t>
      </w:r>
    </w:p>
    <w:p>
      <w:pPr>
        <w:spacing w:after="0" w:line="50" w:lineRule="exact"/>
        <w:rPr>
          <w:rFonts w:ascii="Arial" w:cs="Arial" w:eastAsia="Arial" w:hAnsi="Arial"/>
          <w:sz w:val="18"/>
          <w:szCs w:val="18"/>
          <w:color w:val="auto"/>
        </w:rPr>
      </w:pPr>
    </w:p>
    <w:p>
      <w:pPr>
        <w:ind w:left="460" w:right="100" w:firstLine="428"/>
        <w:spacing w:after="0" w:line="268" w:lineRule="auto"/>
        <w:tabs>
          <w:tab w:leader="none" w:pos="11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 record of each violation of such codes of ethics and of any action taken as a result of such violation for at least five (5) years after the end of the fiscal year in which the violation occurs;</w:t>
      </w:r>
    </w:p>
    <w:p>
      <w:pPr>
        <w:spacing w:after="0" w:line="50" w:lineRule="exact"/>
        <w:rPr>
          <w:rFonts w:ascii="Arial" w:cs="Arial" w:eastAsia="Arial" w:hAnsi="Arial"/>
          <w:sz w:val="18"/>
          <w:szCs w:val="18"/>
          <w:color w:val="auto"/>
        </w:rPr>
      </w:pPr>
    </w:p>
    <w:p>
      <w:pPr>
        <w:ind w:left="460" w:firstLine="428"/>
        <w:spacing w:after="0" w:line="268" w:lineRule="auto"/>
        <w:tabs>
          <w:tab w:leader="none" w:pos="11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 copy of each report made by an Access Person for at least two (2) years after the end of the fiscal year in which the report is made, and for an additional three (3) years in a place that need not be easily accessible;</w:t>
      </w:r>
    </w:p>
    <w:p>
      <w:pPr>
        <w:spacing w:after="0" w:line="50" w:lineRule="exact"/>
        <w:rPr>
          <w:rFonts w:ascii="Arial" w:cs="Arial" w:eastAsia="Arial" w:hAnsi="Arial"/>
          <w:sz w:val="18"/>
          <w:szCs w:val="18"/>
          <w:color w:val="auto"/>
        </w:rPr>
      </w:pPr>
    </w:p>
    <w:p>
      <w:pPr>
        <w:ind w:left="460" w:right="240" w:firstLine="428"/>
        <w:spacing w:after="0" w:line="331" w:lineRule="auto"/>
        <w:tabs>
          <w:tab w:leader="none" w:pos="11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5" w:lineRule="exact"/>
        <w:rPr>
          <w:rFonts w:ascii="Arial" w:cs="Arial" w:eastAsia="Arial" w:hAnsi="Arial"/>
          <w:sz w:val="16"/>
          <w:szCs w:val="16"/>
          <w:color w:val="auto"/>
        </w:rPr>
      </w:pPr>
    </w:p>
    <w:p>
      <w:pPr>
        <w:ind w:left="460" w:right="80" w:firstLine="428"/>
        <w:spacing w:after="0" w:line="268" w:lineRule="auto"/>
        <w:tabs>
          <w:tab w:leader="none" w:pos="11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 list of all persons who are, or within the past five (5) years have been, required to make reports pursuant to the Rule and this Code of Ethics, or who are or were responsible for reviewing such reports;</w:t>
      </w:r>
    </w:p>
    <w:p>
      <w:pPr>
        <w:spacing w:after="0" w:line="50" w:lineRule="exact"/>
        <w:rPr>
          <w:rFonts w:ascii="Arial" w:cs="Arial" w:eastAsia="Arial" w:hAnsi="Arial"/>
          <w:sz w:val="18"/>
          <w:szCs w:val="18"/>
          <w:color w:val="auto"/>
        </w:rPr>
      </w:pPr>
    </w:p>
    <w:p>
      <w:pPr>
        <w:ind w:left="460" w:right="520" w:firstLine="428"/>
        <w:spacing w:after="0" w:line="268" w:lineRule="auto"/>
        <w:tabs>
          <w:tab w:leader="none" w:pos="11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 copy of each report required by Section VII (B) for at least two (2) years after the end of the fiscal year in which it is made, and for an additional three (3) years in a place that need not be easily accessible; and</w:t>
      </w:r>
    </w:p>
    <w:p>
      <w:pPr>
        <w:spacing w:after="0" w:line="50" w:lineRule="exact"/>
        <w:rPr>
          <w:rFonts w:ascii="Arial" w:cs="Arial" w:eastAsia="Arial" w:hAnsi="Arial"/>
          <w:sz w:val="18"/>
          <w:szCs w:val="18"/>
          <w:color w:val="auto"/>
        </w:rPr>
      </w:pPr>
    </w:p>
    <w:p>
      <w:pPr>
        <w:ind w:left="460" w:right="220" w:firstLine="428"/>
        <w:spacing w:after="0" w:line="331" w:lineRule="auto"/>
        <w:tabs>
          <w:tab w:leader="none" w:pos="11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 record of any decision, and the reasons supporting the decision, to approve the acquisition by an Advisory Person of securities in an Initial Public Offering or Limited Offering for at least five (5) years after the end of the fiscal year in which the approval is granted.</w:t>
      </w:r>
    </w:p>
    <w:p>
      <w:pPr>
        <w:spacing w:after="0" w:line="5" w:lineRule="exact"/>
        <w:rPr>
          <w:rFonts w:ascii="Arial" w:cs="Arial" w:eastAsia="Arial" w:hAnsi="Arial"/>
          <w:sz w:val="16"/>
          <w:szCs w:val="16"/>
          <w:color w:val="auto"/>
        </w:rPr>
      </w:pPr>
    </w:p>
    <w:p>
      <w:pPr>
        <w:ind w:left="900" w:hanging="447"/>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This Code may not be amended or modified except in a written form that is specifically approved by majority vote of the Independent Directors.</w:t>
      </w:r>
    </w:p>
    <w:p>
      <w:pPr>
        <w:spacing w:after="0" w:line="194" w:lineRule="exact"/>
        <w:rPr>
          <w:sz w:val="20"/>
          <w:szCs w:val="20"/>
          <w:color w:val="auto"/>
        </w:rPr>
      </w:pPr>
    </w:p>
    <w:p>
      <w:pPr>
        <w:ind w:firstLine="898"/>
        <w:spacing w:after="0" w:line="268" w:lineRule="auto"/>
        <w:rPr>
          <w:sz w:val="20"/>
          <w:szCs w:val="20"/>
          <w:color w:val="auto"/>
        </w:rPr>
      </w:pPr>
      <w:r>
        <w:rPr>
          <w:rFonts w:ascii="Arial" w:cs="Arial" w:eastAsia="Arial" w:hAnsi="Arial"/>
          <w:sz w:val="18"/>
          <w:szCs w:val="18"/>
          <w:color w:val="auto"/>
        </w:rPr>
        <w:t>This Joint Code of Ethics, originally adopted December 12, 2007, is annually reviewed and approved by the Board of Directors of the Corporation, including a majority of the Independent Directors.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280"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Arthur H. Penn, Chairman of the Board and Chief Executive Officer of PennantPark Investment Corporation, certify that:</w:t>
      </w:r>
    </w:p>
    <w:p>
      <w:pPr>
        <w:spacing w:after="0" w:line="90" w:lineRule="exact"/>
        <w:rPr>
          <w:sz w:val="20"/>
          <w:szCs w:val="20"/>
          <w:color w:val="auto"/>
        </w:rPr>
      </w:pPr>
    </w:p>
    <w:p>
      <w:pPr>
        <w:ind w:left="640" w:hanging="183"/>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PennantPark Investment Corporation;</w:t>
      </w:r>
    </w:p>
    <w:p>
      <w:pPr>
        <w:spacing w:after="0" w:line="171" w:lineRule="exact"/>
        <w:rPr>
          <w:rFonts w:ascii="Arial" w:cs="Arial" w:eastAsia="Arial" w:hAnsi="Arial"/>
          <w:sz w:val="18"/>
          <w:szCs w:val="18"/>
          <w:color w:val="auto"/>
        </w:rPr>
      </w:pPr>
    </w:p>
    <w:p>
      <w:pPr>
        <w:ind w:right="400" w:firstLine="457"/>
        <w:spacing w:after="0" w:line="369" w:lineRule="auto"/>
        <w:tabs>
          <w:tab w:leader="none" w:pos="625" w:val="left"/>
        </w:tabs>
        <w:numPr>
          <w:ilvl w:val="0"/>
          <w:numId w:val="7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15"/>
          <w:szCs w:val="15"/>
          <w:color w:val="auto"/>
        </w:rPr>
      </w:pPr>
    </w:p>
    <w:p>
      <w:pPr>
        <w:ind w:right="360" w:firstLine="457"/>
        <w:spacing w:after="0" w:line="331" w:lineRule="auto"/>
        <w:tabs>
          <w:tab w:leader="none" w:pos="625"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6"/>
          <w:szCs w:val="16"/>
          <w:color w:val="auto"/>
        </w:rPr>
      </w:pPr>
    </w:p>
    <w:p>
      <w:pPr>
        <w:ind w:right="100" w:firstLine="457"/>
        <w:spacing w:after="0" w:line="259" w:lineRule="auto"/>
        <w:tabs>
          <w:tab w:leader="none" w:pos="62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140" w:firstLine="457"/>
        <w:spacing w:after="0" w:line="259" w:lineRule="auto"/>
        <w:tabs>
          <w:tab w:leader="none" w:pos="629"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120" w:firstLine="457"/>
        <w:spacing w:after="0" w:line="259" w:lineRule="auto"/>
        <w:tabs>
          <w:tab w:leader="none" w:pos="639"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180" w:firstLine="457"/>
        <w:spacing w:after="0" w:line="331" w:lineRule="auto"/>
        <w:tabs>
          <w:tab w:leader="none" w:pos="629" w:val="left"/>
        </w:tabs>
        <w:numPr>
          <w:ilvl w:val="0"/>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6"/>
          <w:szCs w:val="16"/>
          <w:color w:val="auto"/>
        </w:rPr>
      </w:pPr>
    </w:p>
    <w:p>
      <w:pPr>
        <w:ind w:right="200" w:firstLine="457"/>
        <w:spacing w:after="0" w:line="259" w:lineRule="auto"/>
        <w:tabs>
          <w:tab w:leader="none" w:pos="639"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57"/>
        <w:spacing w:after="0" w:line="331" w:lineRule="auto"/>
        <w:tabs>
          <w:tab w:leader="none" w:pos="625"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sz w:val="20"/>
          <w:szCs w:val="20"/>
          <w:color w:val="auto"/>
        </w:rPr>
      </w:pPr>
    </w:p>
    <w:p>
      <w:pPr>
        <w:ind w:right="100" w:firstLine="457"/>
        <w:spacing w:after="0" w:line="268" w:lineRule="auto"/>
        <w:tabs>
          <w:tab w:leader="none" w:pos="629"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140" w:firstLine="457"/>
        <w:spacing w:after="0" w:line="268" w:lineRule="auto"/>
        <w:tabs>
          <w:tab w:leader="none" w:pos="639"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18, 2009</w:t>
      </w:r>
    </w:p>
    <w:p>
      <w:pPr>
        <w:spacing w:after="0" w:line="212" w:lineRule="exact"/>
        <w:rPr>
          <w:sz w:val="20"/>
          <w:szCs w:val="20"/>
          <w:color w:val="auto"/>
        </w:rPr>
      </w:pPr>
    </w:p>
    <w:p>
      <w:pPr>
        <w:spacing w:after="0"/>
        <w:tabs>
          <w:tab w:leader="none" w:pos="1500" w:val="left"/>
          <w:tab w:leader="none" w:pos="1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RTHUR</w:t>
      </w:r>
      <w:r>
        <w:rPr>
          <w:rFonts w:ascii="Arial" w:cs="Arial" w:eastAsia="Arial" w:hAnsi="Arial"/>
          <w:sz w:val="16"/>
          <w:szCs w:val="16"/>
          <w:color w:val="auto"/>
        </w:rPr>
        <w:t xml:space="preserve"> H. P</w:t>
      </w:r>
      <w:r>
        <w:rPr>
          <w:rFonts w:ascii="Arial" w:cs="Arial" w:eastAsia="Arial" w:hAnsi="Arial"/>
          <w:sz w:val="13"/>
          <w:szCs w:val="13"/>
          <w:color w:val="auto"/>
        </w:rPr>
        <w:t>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10795</wp:posOffset>
            </wp:positionV>
            <wp:extent cx="24942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2" w:lineRule="exact"/>
        <w:rPr>
          <w:sz w:val="20"/>
          <w:szCs w:val="20"/>
          <w:color w:val="auto"/>
        </w:rPr>
      </w:pPr>
    </w:p>
    <w:p>
      <w:pPr>
        <w:jc w:val="center"/>
        <w:ind w:right="6600"/>
        <w:spacing w:after="0"/>
        <w:rPr>
          <w:sz w:val="20"/>
          <w:szCs w:val="20"/>
          <w:color w:val="auto"/>
        </w:rPr>
      </w:pPr>
      <w:r>
        <w:rPr>
          <w:rFonts w:ascii="Arial" w:cs="Arial" w:eastAsia="Arial" w:hAnsi="Arial"/>
          <w:sz w:val="13"/>
          <w:szCs w:val="13"/>
          <w:b w:val="1"/>
          <w:bCs w:val="1"/>
          <w:color w:val="auto"/>
        </w:rPr>
        <w:t>Arthur H. Penn</w:t>
      </w:r>
    </w:p>
    <w:p>
      <w:pPr>
        <w:spacing w:after="0" w:line="12" w:lineRule="exact"/>
        <w:rPr>
          <w:sz w:val="20"/>
          <w:szCs w:val="20"/>
          <w:color w:val="auto"/>
        </w:rPr>
      </w:pPr>
    </w:p>
    <w:p>
      <w:pPr>
        <w:jc w:val="center"/>
        <w:ind w:right="6600"/>
        <w:spacing w:after="0"/>
        <w:rPr>
          <w:sz w:val="20"/>
          <w:szCs w:val="20"/>
          <w:color w:val="auto"/>
        </w:rPr>
      </w:pPr>
      <w:r>
        <w:rPr>
          <w:rFonts w:ascii="Arial" w:cs="Arial" w:eastAsia="Arial" w:hAnsi="Arial"/>
          <w:sz w:val="13"/>
          <w:szCs w:val="13"/>
          <w:b w:val="1"/>
          <w:bCs w:val="1"/>
          <w:color w:val="auto"/>
        </w:rPr>
        <w:t>Chairman of the Board and</w:t>
      </w:r>
    </w:p>
    <w:p>
      <w:pPr>
        <w:jc w:val="center"/>
        <w:ind w:right="6600"/>
        <w:spacing w:after="0"/>
        <w:rPr>
          <w:sz w:val="20"/>
          <w:szCs w:val="20"/>
          <w:color w:val="auto"/>
        </w:rPr>
      </w:pPr>
      <w:r>
        <w:rPr>
          <w:rFonts w:ascii="Arial" w:cs="Arial" w:eastAsia="Arial" w:hAnsi="Arial"/>
          <w:sz w:val="13"/>
          <w:szCs w:val="13"/>
          <w:b w:val="1"/>
          <w:bCs w:val="1"/>
          <w:color w:val="auto"/>
        </w:rPr>
        <w:t>Chief Executive Officer</w:t>
      </w:r>
    </w:p>
    <w:p>
      <w:pPr>
        <w:sectPr>
          <w:pgSz w:w="11900" w:h="16838" w:orient="portrait"/>
          <w:cols w:equalWidth="0" w:num="1">
            <w:col w:w="11240"/>
          </w:cols>
          <w:pgMar w:left="320" w:top="125"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Aviv Efrat, Chairman of the Board and Chief Financial Officer of PennantPark Investment Corporation, certify that:</w:t>
      </w:r>
    </w:p>
    <w:p>
      <w:pPr>
        <w:spacing w:after="0" w:line="90" w:lineRule="exact"/>
        <w:rPr>
          <w:sz w:val="20"/>
          <w:szCs w:val="20"/>
          <w:color w:val="auto"/>
        </w:rPr>
      </w:pPr>
    </w:p>
    <w:p>
      <w:pPr>
        <w:ind w:left="640" w:hanging="183"/>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PennantPark Investment Corporation;</w:t>
      </w:r>
    </w:p>
    <w:p>
      <w:pPr>
        <w:spacing w:after="0" w:line="171" w:lineRule="exact"/>
        <w:rPr>
          <w:rFonts w:ascii="Arial" w:cs="Arial" w:eastAsia="Arial" w:hAnsi="Arial"/>
          <w:sz w:val="18"/>
          <w:szCs w:val="18"/>
          <w:color w:val="auto"/>
        </w:rPr>
      </w:pPr>
    </w:p>
    <w:p>
      <w:pPr>
        <w:ind w:right="400" w:firstLine="457"/>
        <w:spacing w:after="0" w:line="369" w:lineRule="auto"/>
        <w:tabs>
          <w:tab w:leader="none" w:pos="625" w:val="left"/>
        </w:tabs>
        <w:numPr>
          <w:ilvl w:val="0"/>
          <w:numId w:val="7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15"/>
          <w:szCs w:val="15"/>
          <w:color w:val="auto"/>
        </w:rPr>
      </w:pPr>
    </w:p>
    <w:p>
      <w:pPr>
        <w:ind w:right="360" w:firstLine="457"/>
        <w:spacing w:after="0" w:line="331" w:lineRule="auto"/>
        <w:tabs>
          <w:tab w:leader="none" w:pos="625"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6"/>
          <w:szCs w:val="16"/>
          <w:color w:val="auto"/>
        </w:rPr>
      </w:pPr>
    </w:p>
    <w:p>
      <w:pPr>
        <w:ind w:right="100" w:firstLine="457"/>
        <w:spacing w:after="0" w:line="259" w:lineRule="auto"/>
        <w:tabs>
          <w:tab w:leader="none" w:pos="62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140" w:firstLine="457"/>
        <w:spacing w:after="0" w:line="259" w:lineRule="auto"/>
        <w:tabs>
          <w:tab w:leader="none" w:pos="629"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120" w:firstLine="457"/>
        <w:spacing w:after="0" w:line="259" w:lineRule="auto"/>
        <w:tabs>
          <w:tab w:leader="none" w:pos="639"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180" w:firstLine="457"/>
        <w:spacing w:after="0" w:line="331" w:lineRule="auto"/>
        <w:tabs>
          <w:tab w:leader="none" w:pos="629" w:val="left"/>
        </w:tabs>
        <w:numPr>
          <w:ilvl w:val="0"/>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6"/>
          <w:szCs w:val="16"/>
          <w:color w:val="auto"/>
        </w:rPr>
      </w:pPr>
    </w:p>
    <w:p>
      <w:pPr>
        <w:ind w:right="200" w:firstLine="457"/>
        <w:spacing w:after="0" w:line="259" w:lineRule="auto"/>
        <w:tabs>
          <w:tab w:leader="none" w:pos="639"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57"/>
        <w:spacing w:after="0" w:line="331" w:lineRule="auto"/>
        <w:tabs>
          <w:tab w:leader="none" w:pos="625"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sz w:val="20"/>
          <w:szCs w:val="20"/>
          <w:color w:val="auto"/>
        </w:rPr>
      </w:pPr>
    </w:p>
    <w:p>
      <w:pPr>
        <w:ind w:right="100" w:firstLine="457"/>
        <w:spacing w:after="0" w:line="268" w:lineRule="auto"/>
        <w:tabs>
          <w:tab w:leader="none" w:pos="629"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140" w:firstLine="457"/>
        <w:spacing w:after="0" w:line="268" w:lineRule="auto"/>
        <w:tabs>
          <w:tab w:leader="none" w:pos="639"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18, 2009</w:t>
      </w:r>
    </w:p>
    <w:p>
      <w:pPr>
        <w:spacing w:after="0" w:line="212" w:lineRule="exact"/>
        <w:rPr>
          <w:sz w:val="20"/>
          <w:szCs w:val="20"/>
          <w:color w:val="auto"/>
        </w:rPr>
      </w:pPr>
    </w:p>
    <w:p>
      <w:pPr>
        <w:spacing w:after="0"/>
        <w:tabs>
          <w:tab w:leader="none" w:pos="1540" w:val="left"/>
          <w:tab w:leader="none" w:pos="1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A</w:t>
      </w:r>
      <w:r>
        <w:rPr>
          <w:rFonts w:ascii="Arial" w:cs="Arial" w:eastAsia="Arial" w:hAnsi="Arial"/>
          <w:sz w:val="14"/>
          <w:szCs w:val="14"/>
          <w:color w:val="auto"/>
        </w:rPr>
        <w:t>VIV</w:t>
      </w:r>
      <w:r>
        <w:rPr>
          <w:rFonts w:ascii="Arial" w:cs="Arial" w:eastAsia="Arial" w:hAnsi="Arial"/>
          <w:sz w:val="18"/>
          <w:szCs w:val="18"/>
          <w:color w:val="auto"/>
        </w:rPr>
        <w:t xml:space="preserve"> E</w:t>
      </w:r>
      <w:r>
        <w:rPr>
          <w:rFonts w:ascii="Arial" w:cs="Arial" w:eastAsia="Arial" w:hAnsi="Arial"/>
          <w:sz w:val="14"/>
          <w:szCs w:val="14"/>
          <w:color w:val="auto"/>
        </w:rPr>
        <w:t>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10795</wp:posOffset>
            </wp:positionV>
            <wp:extent cx="24942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2" w:lineRule="exact"/>
        <w:rPr>
          <w:sz w:val="20"/>
          <w:szCs w:val="20"/>
          <w:color w:val="auto"/>
        </w:rPr>
      </w:pPr>
    </w:p>
    <w:p>
      <w:pPr>
        <w:jc w:val="center"/>
        <w:ind w:right="6600"/>
        <w:spacing w:after="0"/>
        <w:rPr>
          <w:sz w:val="20"/>
          <w:szCs w:val="20"/>
          <w:color w:val="auto"/>
        </w:rPr>
      </w:pPr>
      <w:r>
        <w:rPr>
          <w:rFonts w:ascii="Arial" w:cs="Arial" w:eastAsia="Arial" w:hAnsi="Arial"/>
          <w:sz w:val="13"/>
          <w:szCs w:val="13"/>
          <w:b w:val="1"/>
          <w:bCs w:val="1"/>
          <w:color w:val="auto"/>
        </w:rPr>
        <w:t>Aviv Efrat</w:t>
      </w:r>
    </w:p>
    <w:p>
      <w:pPr>
        <w:spacing w:after="0" w:line="13" w:lineRule="exact"/>
        <w:rPr>
          <w:sz w:val="20"/>
          <w:szCs w:val="20"/>
          <w:color w:val="auto"/>
        </w:rPr>
      </w:pPr>
    </w:p>
    <w:p>
      <w:pPr>
        <w:jc w:val="center"/>
        <w:ind w:right="6600"/>
        <w:spacing w:after="0"/>
        <w:rPr>
          <w:sz w:val="20"/>
          <w:szCs w:val="20"/>
          <w:color w:val="auto"/>
        </w:rPr>
      </w:pPr>
      <w:r>
        <w:rPr>
          <w:rFonts w:ascii="Arial" w:cs="Arial" w:eastAsia="Arial" w:hAnsi="Arial"/>
          <w:sz w:val="13"/>
          <w:szCs w:val="13"/>
          <w:b w:val="1"/>
          <w:bCs w:val="1"/>
          <w:color w:val="auto"/>
        </w:rPr>
        <w:t>Chief Financial Officer</w:t>
      </w:r>
    </w:p>
    <w:p>
      <w:pPr>
        <w:sectPr>
          <w:pgSz w:w="11900" w:h="16838" w:orient="portrait"/>
          <w:cols w:equalWidth="0" w:num="1">
            <w:col w:w="11240"/>
          </w:cols>
          <w:pgMar w:left="320" w:top="125"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Section 1350)</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Annual Report on Form 10-K of PennantPark Investment Corporation (the “Company”) for the annual period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2009 as filed with the Securities and Exchange Commission on the date hereof (the “Report”), I, Arthur H. Penn, as Chief Executive Officer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hereby certify, to the best of my knowledge that:</w:t>
      </w:r>
    </w:p>
    <w:p>
      <w:pPr>
        <w:spacing w:after="0" w:line="84" w:lineRule="exact"/>
        <w:rPr>
          <w:sz w:val="20"/>
          <w:szCs w:val="20"/>
          <w:color w:val="auto"/>
        </w:rPr>
      </w:pPr>
    </w:p>
    <w:p>
      <w:pPr>
        <w:ind w:left="900" w:hanging="447"/>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7"/>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 w:type="dxa"/>
            <w:vAlign w:val="bottom"/>
          </w:tcPr>
          <w:p>
            <w:pPr>
              <w:spacing w:after="0"/>
              <w:rPr>
                <w:sz w:val="19"/>
                <w:szCs w:val="19"/>
                <w:color w:val="auto"/>
              </w:rPr>
            </w:pP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w:t>
            </w:r>
          </w:p>
        </w:tc>
        <w:tc>
          <w:tcPr>
            <w:tcW w:w="2680" w:type="dxa"/>
            <w:vAlign w:val="bottom"/>
            <w:tcBorders>
              <w:bottom w:val="single" w:sz="8" w:color="auto"/>
            </w:tcBorders>
          </w:tcPr>
          <w:p>
            <w:pPr>
              <w:jc w:val="center"/>
              <w:ind w:right="1126"/>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RTHUR</w:t>
            </w:r>
            <w:r>
              <w:rPr>
                <w:rFonts w:ascii="Arial" w:cs="Arial" w:eastAsia="Arial" w:hAnsi="Arial"/>
                <w:sz w:val="18"/>
                <w:szCs w:val="18"/>
                <w:color w:val="auto"/>
                <w:w w:val="97"/>
              </w:rPr>
              <w:t xml:space="preserve"> H. P</w:t>
            </w:r>
            <w:r>
              <w:rPr>
                <w:rFonts w:ascii="Arial" w:cs="Arial" w:eastAsia="Arial" w:hAnsi="Arial"/>
                <w:sz w:val="14"/>
                <w:szCs w:val="14"/>
                <w:color w:val="auto"/>
                <w:w w:val="97"/>
              </w:rPr>
              <w:t>ENN</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Name:</w:t>
            </w:r>
          </w:p>
        </w:tc>
        <w:tc>
          <w:tcPr>
            <w:tcW w:w="2680" w:type="dxa"/>
            <w:vAlign w:val="bottom"/>
          </w:tcPr>
          <w:p>
            <w:pPr>
              <w:jc w:val="center"/>
              <w:ind w:right="1166"/>
              <w:spacing w:after="0"/>
              <w:rPr>
                <w:sz w:val="20"/>
                <w:szCs w:val="20"/>
                <w:color w:val="auto"/>
              </w:rPr>
            </w:pPr>
            <w:r>
              <w:rPr>
                <w:rFonts w:ascii="Arial" w:cs="Arial" w:eastAsia="Arial" w:hAnsi="Arial"/>
                <w:sz w:val="13"/>
                <w:szCs w:val="13"/>
                <w:b w:val="1"/>
                <w:bCs w:val="1"/>
                <w:color w:val="auto"/>
              </w:rPr>
              <w:t>Arthur H. Penn</w:t>
            </w:r>
          </w:p>
        </w:tc>
      </w:tr>
      <w:tr>
        <w:trPr>
          <w:trHeight w:val="237"/>
        </w:trPr>
        <w:tc>
          <w:tcPr>
            <w:tcW w:w="1940" w:type="dxa"/>
            <w:vAlign w:val="bottom"/>
            <w:gridSpan w:val="2"/>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jc w:val="center"/>
              <w:ind w:right="1166"/>
              <w:spacing w:after="0"/>
              <w:rPr>
                <w:sz w:val="20"/>
                <w:szCs w:val="20"/>
                <w:color w:val="auto"/>
              </w:rPr>
            </w:pPr>
            <w:r>
              <w:rPr>
                <w:rFonts w:ascii="Arial" w:cs="Arial" w:eastAsia="Arial" w:hAnsi="Arial"/>
                <w:sz w:val="13"/>
                <w:szCs w:val="13"/>
                <w:b w:val="1"/>
                <w:bCs w:val="1"/>
                <w:color w:val="auto"/>
                <w:w w:val="95"/>
              </w:rPr>
              <w:t>Chief Executive Officer</w:t>
            </w:r>
          </w:p>
        </w:tc>
      </w:tr>
      <w:tr>
        <w:trPr>
          <w:trHeight w:val="309"/>
        </w:trPr>
        <w:tc>
          <w:tcPr>
            <w:tcW w:w="1940" w:type="dxa"/>
            <w:vAlign w:val="bottom"/>
            <w:gridSpan w:val="2"/>
          </w:tcPr>
          <w:p>
            <w:pPr>
              <w:spacing w:after="0"/>
              <w:rPr>
                <w:sz w:val="20"/>
                <w:szCs w:val="20"/>
                <w:color w:val="auto"/>
              </w:rPr>
            </w:pPr>
            <w:r>
              <w:rPr>
                <w:rFonts w:ascii="Arial" w:cs="Arial" w:eastAsia="Arial" w:hAnsi="Arial"/>
                <w:sz w:val="18"/>
                <w:szCs w:val="18"/>
                <w:color w:val="auto"/>
                <w:w w:val="93"/>
              </w:rPr>
              <w:t>Date: November 18, 2009</w:t>
            </w:r>
          </w:p>
        </w:tc>
        <w:tc>
          <w:tcPr>
            <w:tcW w:w="268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Section 1350)</w:t>
      </w:r>
    </w:p>
    <w:p>
      <w:pPr>
        <w:spacing w:after="0" w:line="165"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In connection with the Annual Report on Form 10-K of PennantPark Investment Corporation (the “Company”) for the annual period ended September 30, 2009 as filed with the Securities and Exchange Commission on the date hereof (the “Report”), I, Aviv Efrat, as Chief Financial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7"/>
        <w:spacing w:after="0"/>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ind w:left="1900"/>
        <w:spacing w:after="0"/>
        <w:tabs>
          <w:tab w:leader="none" w:pos="22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VIV</w:t>
      </w:r>
      <w:r>
        <w:rPr>
          <w:rFonts w:ascii="Arial" w:cs="Arial" w:eastAsia="Arial" w:hAnsi="Arial"/>
          <w:sz w:val="16"/>
          <w:szCs w:val="16"/>
          <w:color w:val="auto"/>
        </w:rPr>
        <w:t xml:space="preserve"> E</w:t>
      </w:r>
      <w:r>
        <w:rPr>
          <w:rFonts w:ascii="Arial" w:cs="Arial" w:eastAsia="Arial" w:hAnsi="Arial"/>
          <w:sz w:val="13"/>
          <w:szCs w:val="13"/>
          <w:color w:val="auto"/>
        </w:rPr>
        <w:t>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10795</wp:posOffset>
            </wp:positionV>
            <wp:extent cx="24942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Date: November 18, 2009</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jc w:val="center"/>
        <w:ind w:right="7920"/>
        <w:spacing w:after="0"/>
        <w:rPr>
          <w:sz w:val="20"/>
          <w:szCs w:val="20"/>
          <w:color w:val="auto"/>
        </w:rPr>
      </w:pPr>
      <w:r>
        <w:rPr>
          <w:rFonts w:ascii="Arial" w:cs="Arial" w:eastAsia="Arial" w:hAnsi="Arial"/>
          <w:sz w:val="13"/>
          <w:szCs w:val="13"/>
          <w:b w:val="1"/>
          <w:bCs w:val="1"/>
          <w:color w:val="auto"/>
        </w:rPr>
        <w:t>Aviv Efrat</w:t>
      </w:r>
    </w:p>
    <w:p>
      <w:pPr>
        <w:spacing w:after="0" w:line="67" w:lineRule="exact"/>
        <w:rPr>
          <w:sz w:val="20"/>
          <w:szCs w:val="20"/>
          <w:color w:val="auto"/>
        </w:rPr>
      </w:pPr>
    </w:p>
    <w:p>
      <w:pPr>
        <w:jc w:val="center"/>
        <w:ind w:right="7920"/>
        <w:spacing w:after="0"/>
        <w:rPr>
          <w:sz w:val="20"/>
          <w:szCs w:val="20"/>
          <w:color w:val="auto"/>
        </w:rPr>
      </w:pPr>
      <w:r>
        <w:rPr>
          <w:rFonts w:ascii="Arial" w:cs="Arial" w:eastAsia="Arial" w:hAnsi="Arial"/>
          <w:sz w:val="12"/>
          <w:szCs w:val="12"/>
          <w:b w:val="1"/>
          <w:bCs w:val="1"/>
          <w:color w:val="auto"/>
        </w:rPr>
        <w:t>Chief Financial Officer</w:t>
      </w:r>
    </w:p>
    <w:sectPr>
      <w:pgSz w:w="11900" w:h="16838" w:orient="portrait"/>
      <w:cols w:equalWidth="0" w:num="2">
        <w:col w:w="1840" w:space="160"/>
        <w:col w:w="9240"/>
      </w:cols>
      <w:pgMar w:left="320" w:top="12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1)"/>
      <w:numFmt w:val="decimal"/>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lvl w:ilvl="1">
      <w:lvlJc w:val="left"/>
      <w:lvlText w:val="="/>
      <w:numFmt w:val="bullet"/>
      <w:start w:val="1"/>
    </w:lvl>
  </w:abstractNum>
  <w:abstractNum w:abstractNumId="13">
    <w:nsid w:val="6DE91B18"/>
    <w:multiLevelType w:val="hybridMultilevel"/>
    <w:lvl w:ilvl="0">
      <w:lvlJc w:val="left"/>
      <w:lvlText w:val="(%1)"/>
      <w:numFmt w:val="decimal"/>
      <w:start w:val="1"/>
    </w:lvl>
  </w:abstractNum>
  <w:abstractNum w:abstractNumId="14">
    <w:nsid w:val="38437FDB"/>
    <w:multiLevelType w:val="hybridMultilevel"/>
    <w:lvl w:ilvl="0">
      <w:lvlJc w:val="left"/>
      <w:lvlText w:val="(%1)"/>
      <w:numFmt w:val="decimal"/>
      <w:start w:val="1"/>
    </w:lvl>
    <w:lvl w:ilvl="1">
      <w:lvlJc w:val="left"/>
      <w:lvlText w:val="(%2)"/>
      <w:numFmt w:val="lowerLetter"/>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1)"/>
      <w:numFmt w:val="decimal"/>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1)"/>
      <w:numFmt w:val="decimal"/>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1)"/>
      <w:numFmt w:val="decimal"/>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1."/>
      <w:numFmt w:val="decimal"/>
      <w:start w:val="1"/>
    </w:lvl>
  </w:abstractNum>
  <w:abstractNum w:abstractNumId="32">
    <w:nsid w:val="39386575"/>
    <w:multiLevelType w:val="hybridMultilevel"/>
    <w:lvl w:ilvl="0">
      <w:lvlJc w:val="left"/>
      <w:lvlText w:val="(%1)"/>
      <w:numFmt w:val="lowerLetter"/>
      <w:start w:val="35"/>
    </w:lvl>
  </w:abstractNum>
  <w:abstractNum w:abstractNumId="33">
    <w:nsid w:val="1CF10FD8"/>
    <w:multiLevelType w:val="hybridMultilevel"/>
    <w:lvl w:ilvl="0">
      <w:lvlJc w:val="left"/>
      <w:lvlText w:val="(%1)"/>
      <w:numFmt w:val="lowerLetter"/>
      <w:start w:val="6"/>
    </w:lvl>
  </w:abstractNum>
  <w:abstractNum w:abstractNumId="34">
    <w:nsid w:val="180115BE"/>
    <w:multiLevelType w:val="hybridMultilevel"/>
    <w:lvl w:ilvl="0">
      <w:lvlJc w:val="left"/>
      <w:lvlText w:val="(%1)"/>
      <w:numFmt w:val="decimal"/>
      <w:start w:val="1"/>
    </w:lvl>
  </w:abstractNum>
  <w:abstractNum w:abstractNumId="35">
    <w:nsid w:val="235BA861"/>
    <w:multiLevelType w:val="hybridMultilevel"/>
    <w:lvl w:ilvl="0">
      <w:lvlJc w:val="left"/>
      <w:lvlText w:val="(%1)"/>
      <w:numFmt w:val="decimal"/>
      <w:start w:val="2"/>
    </w:lvl>
  </w:abstractNum>
  <w:abstractNum w:abstractNumId="36">
    <w:nsid w:val="47398C89"/>
    <w:multiLevelType w:val="hybridMultilevel"/>
    <w:lvl w:ilvl="0">
      <w:lvlJc w:val="left"/>
      <w:lvlText w:val="(%1)"/>
      <w:numFmt w:val="decimal"/>
      <w:start w:val="1"/>
    </w:lvl>
  </w:abstractNum>
  <w:abstractNum w:abstractNumId="37">
    <w:nsid w:val="354FE9F9"/>
    <w:multiLevelType w:val="hybridMultilevel"/>
    <w:lvl w:ilvl="0">
      <w:lvlJc w:val="left"/>
      <w:lvlText w:val="(%1)"/>
      <w:numFmt w:val="decimal"/>
      <w:start w:val="1"/>
    </w:lvl>
  </w:abstractNum>
  <w:abstractNum w:abstractNumId="38">
    <w:nsid w:val="15B5AF5C"/>
    <w:multiLevelType w:val="hybridMultilevel"/>
    <w:lvl w:ilvl="0">
      <w:lvlJc w:val="left"/>
      <w:lvlText w:val="(%1)"/>
      <w:numFmt w:val="lowerRoman"/>
      <w:start w:val="1"/>
    </w:lvl>
  </w:abstractNum>
  <w:abstractNum w:abstractNumId="39">
    <w:nsid w:val="741226BB"/>
    <w:multiLevelType w:val="hybridMultilevel"/>
    <w:lvl w:ilvl="0">
      <w:lvlJc w:val="left"/>
      <w:lvlText w:val="(%1)"/>
      <w:numFmt w:val="lowerRoman"/>
      <w:start w:val="3"/>
    </w:lvl>
  </w:abstractNum>
  <w:abstractNum w:abstractNumId="40">
    <w:nsid w:val="D34B6A8"/>
    <w:multiLevelType w:val="hybridMultilevel"/>
    <w:lvl w:ilvl="0">
      <w:lvlJc w:val="left"/>
      <w:lvlText w:val="(%1)"/>
      <w:numFmt w:val="decimal"/>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1)"/>
      <w:numFmt w:val="decimal"/>
      <w:start w:val="1"/>
    </w:lvl>
  </w:abstractNum>
  <w:abstractNum w:abstractNumId="46">
    <w:nsid w:val="579BE4F1"/>
    <w:multiLevelType w:val="hybridMultilevel"/>
    <w:lvl w:ilvl="0">
      <w:lvlJc w:val="left"/>
      <w:lvlText w:val="(%1)"/>
      <w:numFmt w:val="decimal"/>
      <w:start w:val="1"/>
    </w:lvl>
  </w:abstractNum>
  <w:abstractNum w:abstractNumId="47">
    <w:nsid w:val="310C50B3"/>
    <w:multiLevelType w:val="hybridMultilevel"/>
    <w:lvl w:ilvl="0">
      <w:lvlJc w:val="left"/>
      <w:lvlText w:val="%1"/>
      <w:numFmt w:val="decimal"/>
      <w:start w:val="11"/>
    </w:lvl>
  </w:abstractNum>
  <w:abstractNum w:abstractNumId="48">
    <w:nsid w:val="5FF87E05"/>
    <w:multiLevelType w:val="hybridMultilevel"/>
    <w:lvl w:ilvl="0">
      <w:lvlJc w:val="left"/>
      <w:lvlText w:val="(%1)"/>
      <w:numFmt w:val="upperLetter"/>
      <w:start w:val="1"/>
    </w:lvl>
  </w:abstractNum>
  <w:abstractNum w:abstractNumId="49">
    <w:nsid w:val="2F305DEF"/>
    <w:multiLevelType w:val="hybridMultilevel"/>
    <w:lvl w:ilvl="0">
      <w:lvlJc w:val="left"/>
      <w:lvlText w:val="(%1)"/>
      <w:numFmt w:val="upperLetter"/>
      <w:start w:val="6"/>
    </w:lvl>
  </w:abstractNum>
  <w:abstractNum w:abstractNumId="50">
    <w:nsid w:val="25A70BF7"/>
    <w:multiLevelType w:val="hybridMultilevel"/>
    <w:lvl w:ilvl="0">
      <w:lvlJc w:val="left"/>
      <w:lvlText w:val="(%1)"/>
      <w:numFmt w:val="lowerRoman"/>
      <w:start w:val="1"/>
    </w:lvl>
  </w:abstractNum>
  <w:abstractNum w:abstractNumId="51">
    <w:nsid w:val="1DBABF00"/>
    <w:multiLevelType w:val="hybridMultilevel"/>
    <w:lvl w:ilvl="0">
      <w:lvlJc w:val="left"/>
      <w:lvlText w:val="(%1)"/>
      <w:numFmt w:val="lowerRoman"/>
      <w:start w:val="4"/>
    </w:lvl>
  </w:abstractNum>
  <w:abstractNum w:abstractNumId="52">
    <w:nsid w:val="4AD084E9"/>
    <w:multiLevelType w:val="hybridMultilevel"/>
    <w:lvl w:ilvl="0">
      <w:lvlJc w:val="left"/>
      <w:lvlText w:val="(%1)"/>
      <w:numFmt w:val="upperLetter"/>
      <w:start w:val="1"/>
    </w:lvl>
  </w:abstractNum>
  <w:abstractNum w:abstractNumId="53">
    <w:nsid w:val="1F48EAA1"/>
    <w:multiLevelType w:val="hybridMultilevel"/>
    <w:lvl w:ilvl="0">
      <w:lvlJc w:val="left"/>
      <w:lvlText w:val="(%1)"/>
      <w:numFmt w:val="upperLetter"/>
      <w:start w:val="1"/>
    </w:lvl>
  </w:abstractNum>
  <w:abstractNum w:abstractNumId="54">
    <w:nsid w:val="1381823A"/>
    <w:multiLevelType w:val="hybridMultilevel"/>
    <w:lvl w:ilvl="0">
      <w:lvlJc w:val="left"/>
      <w:lvlText w:val="(%1)"/>
      <w:numFmt w:val="upperLetter"/>
      <w:start w:val="2"/>
    </w:lvl>
  </w:abstractNum>
  <w:abstractNum w:abstractNumId="55">
    <w:nsid w:val="5DB70AE5"/>
    <w:multiLevelType w:val="hybridMultilevel"/>
    <w:lvl w:ilvl="0">
      <w:lvlJc w:val="left"/>
      <w:lvlText w:val="(%1)"/>
      <w:numFmt w:val="decimal"/>
      <w:start w:val="1"/>
    </w:lvl>
  </w:abstractNum>
  <w:abstractNum w:abstractNumId="56">
    <w:nsid w:val="100F8FCA"/>
    <w:multiLevelType w:val="hybridMultilevel"/>
    <w:lvl w:ilvl="0">
      <w:lvlJc w:val="left"/>
      <w:lvlText w:val="(%1)"/>
      <w:numFmt w:val="upperLetter"/>
      <w:start w:val="3"/>
    </w:lvl>
  </w:abstractNum>
  <w:abstractNum w:abstractNumId="57">
    <w:nsid w:val="6590700B"/>
    <w:multiLevelType w:val="hybridMultilevel"/>
    <w:lvl w:ilvl="0">
      <w:lvlJc w:val="left"/>
      <w:lvlText w:val="(%1)"/>
      <w:numFmt w:val="upperLetter"/>
      <w:start w:val="4"/>
    </w:lvl>
  </w:abstractNum>
  <w:abstractNum w:abstractNumId="58">
    <w:nsid w:val="15014ACB"/>
    <w:multiLevelType w:val="hybridMultilevel"/>
    <w:lvl w:ilvl="0">
      <w:lvlJc w:val="left"/>
      <w:lvlText w:val="(%1)"/>
      <w:numFmt w:val="upperLetter"/>
      <w:start w:val="5"/>
    </w:lvl>
    <w:lvl w:ilvl="1">
      <w:lvlJc w:val="left"/>
      <w:lvlText w:val="(%2)"/>
      <w:numFmt w:val="decimal"/>
      <w:start w:val="1"/>
    </w:lvl>
  </w:abstractNum>
  <w:abstractNum w:abstractNumId="59">
    <w:nsid w:val="5F5E7FD0"/>
    <w:multiLevelType w:val="hybridMultilevel"/>
    <w:lvl w:ilvl="0">
      <w:lvlJc w:val="left"/>
      <w:lvlText w:val="(%1)"/>
      <w:numFmt w:val="upperLetter"/>
      <w:start w:val="7"/>
    </w:lvl>
  </w:abstractNum>
  <w:abstractNum w:abstractNumId="60">
    <w:nsid w:val="98A3148"/>
    <w:multiLevelType w:val="hybridMultilevel"/>
    <w:lvl w:ilvl="0">
      <w:lvlJc w:val="left"/>
      <w:lvlText w:val="(%1)"/>
      <w:numFmt w:val="upperLetter"/>
      <w:start w:val="8"/>
    </w:lvl>
  </w:abstractNum>
  <w:abstractNum w:abstractNumId="61">
    <w:nsid w:val="799D0247"/>
    <w:multiLevelType w:val="hybridMultilevel"/>
    <w:lvl w:ilvl="0">
      <w:lvlJc w:val="left"/>
      <w:lvlText w:val="(%1)"/>
      <w:numFmt w:val="upperLetter"/>
      <w:start w:val="1"/>
    </w:lvl>
  </w:abstractNum>
  <w:abstractNum w:abstractNumId="62">
    <w:nsid w:val="6B94764"/>
    <w:multiLevelType w:val="hybridMultilevel"/>
    <w:lvl w:ilvl="0">
      <w:lvlJc w:val="left"/>
      <w:lvlText w:val="(%1)"/>
      <w:numFmt w:val="upperLetter"/>
      <w:start w:val="2"/>
    </w:lvl>
  </w:abstractNum>
  <w:abstractNum w:abstractNumId="63">
    <w:nsid w:val="42C296BD"/>
    <w:multiLevelType w:val="hybridMultilevel"/>
    <w:lvl w:ilvl="0">
      <w:lvlJc w:val="left"/>
      <w:lvlText w:val="(%1)"/>
      <w:numFmt w:val="upperLetter"/>
      <w:start w:val="3"/>
    </w:lvl>
  </w:abstractNum>
  <w:abstractNum w:abstractNumId="64">
    <w:nsid w:val="168E121F"/>
    <w:multiLevelType w:val="hybridMultilevel"/>
    <w:lvl w:ilvl="0">
      <w:lvlJc w:val="left"/>
      <w:lvlText w:val="(%1)"/>
      <w:numFmt w:val="upperLetter"/>
      <w:start w:val="1"/>
    </w:lvl>
    <w:lvl w:ilvl="1">
      <w:lvlJc w:val="left"/>
      <w:lvlText w:val="(%2)"/>
      <w:numFmt w:val="decimal"/>
      <w:start w:val="1"/>
    </w:lvl>
  </w:abstractNum>
  <w:abstractNum w:abstractNumId="65">
    <w:nsid w:val="1EBA5D23"/>
    <w:multiLevelType w:val="hybridMultilevel"/>
    <w:lvl w:ilvl="0">
      <w:lvlJc w:val="left"/>
      <w:lvlText w:val="(%1)"/>
      <w:numFmt w:val="upperLetter"/>
      <w:start w:val="5"/>
    </w:lvl>
  </w:abstractNum>
  <w:abstractNum w:abstractNumId="66">
    <w:nsid w:val="661E3F1E"/>
    <w:multiLevelType w:val="hybridMultilevel"/>
    <w:lvl w:ilvl="0">
      <w:lvlJc w:val="left"/>
      <w:lvlText w:val="(%1)"/>
      <w:numFmt w:val="upperLetter"/>
      <w:start w:val="1"/>
    </w:lvl>
  </w:abstractNum>
  <w:abstractNum w:abstractNumId="67">
    <w:nsid w:val="5DC79EA8"/>
    <w:multiLevelType w:val="hybridMultilevel"/>
    <w:lvl w:ilvl="0">
      <w:lvlJc w:val="left"/>
      <w:lvlText w:val="(%1)"/>
      <w:numFmt w:val="upperLetter"/>
      <w:start w:val="2"/>
    </w:lvl>
  </w:abstractNum>
  <w:abstractNum w:abstractNumId="68">
    <w:nsid w:val="540A471C"/>
    <w:multiLevelType w:val="hybridMultilevel"/>
    <w:lvl w:ilvl="0">
      <w:lvlJc w:val="left"/>
      <w:lvlText w:val="(%1)"/>
      <w:numFmt w:val="upperLetter"/>
      <w:start w:val="1"/>
    </w:lvl>
  </w:abstractNum>
  <w:abstractNum w:abstractNumId="69">
    <w:nsid w:val="7BD3EE7B"/>
    <w:multiLevelType w:val="hybridMultilevel"/>
    <w:lvl w:ilvl="0">
      <w:lvlJc w:val="left"/>
      <w:lvlText w:val="(%1)"/>
      <w:numFmt w:val="upperLetter"/>
      <w:start w:val="2"/>
    </w:lvl>
    <w:lvl w:ilvl="1">
      <w:lvlJc w:val="left"/>
      <w:lvlText w:val="(%2)"/>
      <w:numFmt w:val="decimal"/>
      <w:start w:val="1"/>
    </w:lvl>
  </w:abstractNum>
  <w:abstractNum w:abstractNumId="70">
    <w:nsid w:val="51D9C564"/>
    <w:multiLevelType w:val="hybridMultilevel"/>
    <w:lvl w:ilvl="0">
      <w:lvlJc w:val="left"/>
      <w:lvlText w:val="%1."/>
      <w:numFmt w:val="decimal"/>
      <w:start w:val="1"/>
    </w:lvl>
  </w:abstractNum>
  <w:abstractNum w:abstractNumId="71">
    <w:nsid w:val="613EFDC5"/>
    <w:multiLevelType w:val="hybridMultilevel"/>
    <w:lvl w:ilvl="0">
      <w:lvlJc w:val="left"/>
      <w:lvlText w:val="%1)"/>
      <w:numFmt w:val="lowerLetter"/>
      <w:start w:val="1"/>
    </w:lvl>
  </w:abstractNum>
  <w:abstractNum w:abstractNumId="72">
    <w:nsid w:val="BF72B14"/>
    <w:multiLevelType w:val="hybridMultilevel"/>
    <w:lvl w:ilvl="0">
      <w:lvlJc w:val="left"/>
      <w:lvlText w:val="%1."/>
      <w:numFmt w:val="decimal"/>
      <w:start w:val="5"/>
    </w:lvl>
  </w:abstractNum>
  <w:abstractNum w:abstractNumId="73">
    <w:nsid w:val="11447B73"/>
    <w:multiLevelType w:val="hybridMultilevel"/>
    <w:lvl w:ilvl="0">
      <w:lvlJc w:val="left"/>
      <w:lvlText w:val="%1)"/>
      <w:numFmt w:val="lowerLetter"/>
      <w:start w:val="1"/>
    </w:lvl>
  </w:abstractNum>
  <w:abstractNum w:abstractNumId="74">
    <w:nsid w:val="42963E5A"/>
    <w:multiLevelType w:val="hybridMultilevel"/>
    <w:lvl w:ilvl="0">
      <w:lvlJc w:val="left"/>
      <w:lvlText w:val="%1."/>
      <w:numFmt w:val="decimal"/>
      <w:start w:val="1"/>
    </w:lvl>
  </w:abstractNum>
  <w:abstractNum w:abstractNumId="75">
    <w:nsid w:val="A0382C5"/>
    <w:multiLevelType w:val="hybridMultilevel"/>
    <w:lvl w:ilvl="0">
      <w:lvlJc w:val="left"/>
      <w:lvlText w:val="%1)"/>
      <w:numFmt w:val="lowerLetter"/>
      <w:start w:val="1"/>
    </w:lvl>
  </w:abstractNum>
  <w:abstractNum w:abstractNumId="76">
    <w:nsid w:val="8F2B15E"/>
    <w:multiLevelType w:val="hybridMultilevel"/>
    <w:lvl w:ilvl="0">
      <w:lvlJc w:val="left"/>
      <w:lvlText w:val="%1."/>
      <w:numFmt w:val="decimal"/>
      <w:start w:val="5"/>
    </w:lvl>
  </w:abstractNum>
  <w:abstractNum w:abstractNumId="77">
    <w:nsid w:val="1A32234B"/>
    <w:multiLevelType w:val="hybridMultilevel"/>
    <w:lvl w:ilvl="0">
      <w:lvlJc w:val="left"/>
      <w:lvlText w:val="%1)"/>
      <w:numFmt w:val="lowerLetter"/>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2020-05-05T15:08:19Z</dcterms:created>
  <dcterms:modified xsi:type="dcterms:W3CDTF">2020-05-05T15:08:19Z</dcterms:modified>
</cp:coreProperties>
</file>