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Date of Report: November 16,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6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382"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Maryland</w:t>
            </w: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814-00736</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19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1"/>
              </w:rPr>
              <w:t>Number)</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4"/>
              </w:rPr>
              <w:t>Identification Number)</w:t>
            </w:r>
          </w:p>
        </w:tc>
      </w:tr>
      <w:tr>
        <w:trPr>
          <w:trHeight w:val="805"/>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590 Madison Avenue, 15th Floor, New</w:t>
            </w: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York, NY</w:t>
            </w:r>
          </w:p>
        </w:tc>
        <w:tc>
          <w:tcPr>
            <w:tcW w:w="198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r>
        <w:trPr>
          <w:trHeight w:val="621"/>
        </w:trPr>
        <w:tc>
          <w:tcPr>
            <w:tcW w:w="3060" w:type="dxa"/>
            <w:vAlign w:val="bottom"/>
          </w:tcPr>
          <w:p>
            <w:pPr>
              <w:spacing w:after="0"/>
              <w:rPr>
                <w:sz w:val="24"/>
                <w:szCs w:val="24"/>
                <w:color w:val="auto"/>
              </w:rPr>
            </w:pP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212-905-1000</w:t>
            </w:r>
          </w:p>
        </w:tc>
        <w:tc>
          <w:tcPr>
            <w:tcW w:w="2180" w:type="dxa"/>
            <w:vAlign w:val="bottom"/>
          </w:tcPr>
          <w:p>
            <w:pPr>
              <w:spacing w:after="0"/>
              <w:rPr>
                <w:sz w:val="24"/>
                <w:szCs w:val="24"/>
                <w:color w:val="auto"/>
              </w:rPr>
            </w:pPr>
          </w:p>
        </w:tc>
      </w:tr>
    </w:tbl>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98"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560"/>
          </w:cols>
          <w:pgMar w:left="320" w:top="1066" w:right="1019" w:bottom="1440" w:gutter="0" w:footer="0" w:header="0"/>
        </w:sectPr>
      </w:pPr>
    </w:p>
    <w:bookmarkStart w:id="1" w:name="page2"/>
    <w:bookmarkEnd w:id="1"/>
    <w:p>
      <w:pPr>
        <w:ind w:left="5"/>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5" w:right="80"/>
        <w:spacing w:after="0" w:line="342" w:lineRule="auto"/>
        <w:rPr>
          <w:sz w:val="20"/>
          <w:szCs w:val="20"/>
          <w:color w:val="auto"/>
        </w:rPr>
      </w:pPr>
      <w:r>
        <w:rPr>
          <w:rFonts w:ascii="Arial" w:cs="Arial" w:eastAsia="Arial" w:hAnsi="Arial"/>
          <w:sz w:val="16"/>
          <w:szCs w:val="16"/>
          <w:color w:val="auto"/>
        </w:rPr>
        <w:t>On November 16, 2011, PennantPark Investment Corporation issued a press release announcing its financial results for the quarter and fiscal year ended September 30, 2011. A copy of the press release is furnished as exhibit 99.1 to this report pursuant to Item 2.02 on Form 8-K and Regulation FD.</w:t>
      </w:r>
    </w:p>
    <w:p>
      <w:pPr>
        <w:spacing w:after="0" w:line="124" w:lineRule="exact"/>
        <w:rPr>
          <w:sz w:val="20"/>
          <w:szCs w:val="20"/>
          <w:color w:val="auto"/>
        </w:rPr>
      </w:pPr>
    </w:p>
    <w:p>
      <w:pPr>
        <w:ind w:left="5"/>
        <w:spacing w:after="0" w:line="259"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filing under the Securities Act of 1933, as amended, or the Exchange Act, except as shall be expressly set forth by specific reference in such filing.</w:t>
      </w:r>
    </w:p>
    <w:p>
      <w:pPr>
        <w:spacing w:after="0" w:line="39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585" w:right="9140" w:hanging="585"/>
        <w:spacing w:after="0" w:line="29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85" w:right="8240" w:hanging="585"/>
        <w:spacing w:after="0" w:line="250" w:lineRule="auto"/>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5" w:right="8640" w:hanging="585"/>
        <w:spacing w:after="0" w:line="250" w:lineRule="auto"/>
        <w:tabs>
          <w:tab w:leader="none" w:pos="24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65" w:hanging="265"/>
        <w:spacing w:after="0"/>
        <w:tabs>
          <w:tab w:leader="none" w:pos="26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5"/>
        <w:spacing w:after="0"/>
        <w:tabs>
          <w:tab w:leader="none" w:pos="1145"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Investment Corporation dated November 16,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4"/>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5" w:right="7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1125"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4940" w:type="dxa"/>
            <w:vAlign w:val="bottom"/>
            <w:gridSpan w:val="3"/>
          </w:tcPr>
          <w:p>
            <w:pPr>
              <w:ind w:left="9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391"/>
        </w:trPr>
        <w:tc>
          <w:tcPr>
            <w:tcW w:w="2860" w:type="dxa"/>
            <w:vAlign w:val="bottom"/>
          </w:tcPr>
          <w:p>
            <w:pPr>
              <w:spacing w:after="0"/>
              <w:rPr>
                <w:sz w:val="20"/>
                <w:szCs w:val="20"/>
                <w:color w:val="auto"/>
              </w:rPr>
            </w:pPr>
            <w:r>
              <w:rPr>
                <w:rFonts w:ascii="Arial" w:cs="Arial" w:eastAsia="Arial" w:hAnsi="Arial"/>
                <w:sz w:val="18"/>
                <w:szCs w:val="18"/>
                <w:color w:val="auto"/>
              </w:rPr>
              <w:t>Dated: November 16, 2011</w:t>
            </w:r>
          </w:p>
        </w:tc>
        <w:tc>
          <w:tcPr>
            <w:tcW w:w="4940" w:type="dxa"/>
            <w:vAlign w:val="bottom"/>
            <w:gridSpan w:val="3"/>
          </w:tcPr>
          <w:p>
            <w:pPr>
              <w:ind w:left="920"/>
              <w:spacing w:after="0"/>
              <w:rPr>
                <w:sz w:val="20"/>
                <w:szCs w:val="20"/>
                <w:color w:val="auto"/>
              </w:rPr>
            </w:pPr>
            <w:r>
              <w:rPr>
                <w:rFonts w:ascii="Arial" w:cs="Arial" w:eastAsia="Arial" w:hAnsi="Arial"/>
                <w:sz w:val="18"/>
                <w:szCs w:val="18"/>
                <w:color w:val="auto"/>
              </w:rPr>
              <w:t>By: /s/ Aviv Efrat</w:t>
            </w:r>
          </w:p>
        </w:tc>
      </w:tr>
      <w:tr>
        <w:trPr>
          <w:trHeight w:val="20"/>
        </w:trPr>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860" w:type="dxa"/>
            <w:vAlign w:val="bottom"/>
          </w:tcPr>
          <w:p>
            <w:pPr>
              <w:spacing w:after="0"/>
              <w:rPr>
                <w:sz w:val="19"/>
                <w:szCs w:val="19"/>
                <w:color w:val="auto"/>
              </w:rPr>
            </w:pPr>
          </w:p>
        </w:tc>
        <w:tc>
          <w:tcPr>
            <w:tcW w:w="4940" w:type="dxa"/>
            <w:vAlign w:val="bottom"/>
            <w:gridSpan w:val="3"/>
          </w:tcPr>
          <w:p>
            <w:pPr>
              <w:ind w:left="1180"/>
              <w:spacing w:after="0"/>
              <w:rPr>
                <w:sz w:val="20"/>
                <w:szCs w:val="20"/>
                <w:color w:val="auto"/>
              </w:rPr>
            </w:pPr>
            <w:r>
              <w:rPr>
                <w:rFonts w:ascii="Arial" w:cs="Arial" w:eastAsia="Arial" w:hAnsi="Arial"/>
                <w:sz w:val="18"/>
                <w:szCs w:val="18"/>
                <w:color w:val="auto"/>
              </w:rPr>
              <w:t>Aviv Efrat</w:t>
            </w:r>
          </w:p>
        </w:tc>
      </w:tr>
      <w:tr>
        <w:trPr>
          <w:trHeight w:val="230"/>
        </w:trPr>
        <w:tc>
          <w:tcPr>
            <w:tcW w:w="2860" w:type="dxa"/>
            <w:vAlign w:val="bottom"/>
          </w:tcPr>
          <w:p>
            <w:pPr>
              <w:spacing w:after="0"/>
              <w:rPr>
                <w:sz w:val="20"/>
                <w:szCs w:val="20"/>
                <w:color w:val="auto"/>
              </w:rPr>
            </w:pPr>
          </w:p>
        </w:tc>
        <w:tc>
          <w:tcPr>
            <w:tcW w:w="4940" w:type="dxa"/>
            <w:vAlign w:val="bottom"/>
            <w:gridSpan w:val="3"/>
          </w:tcPr>
          <w:p>
            <w:pPr>
              <w:ind w:left="118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387" w:lineRule="exact"/>
        <w:rPr>
          <w:sz w:val="20"/>
          <w:szCs w:val="20"/>
          <w:color w:val="auto"/>
        </w:rPr>
      </w:pPr>
    </w:p>
    <w:tbl>
      <w:tblPr>
        <w:tblLayout w:type="fixed"/>
        <w:tblInd w:w="2345"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34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29"/>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99.1</w:t>
            </w:r>
          </w:p>
        </w:tc>
        <w:tc>
          <w:tcPr>
            <w:tcW w:w="7340" w:type="dxa"/>
            <w:vAlign w:val="bottom"/>
            <w:gridSpan w:val="3"/>
          </w:tcPr>
          <w:p>
            <w:pPr>
              <w:jc w:val="center"/>
              <w:ind w:left="2910"/>
              <w:spacing w:after="0"/>
              <w:rPr>
                <w:sz w:val="20"/>
                <w:szCs w:val="20"/>
                <w:color w:val="auto"/>
              </w:rPr>
            </w:pPr>
            <w:r>
              <w:rPr>
                <w:rFonts w:ascii="Arial" w:cs="Arial" w:eastAsia="Arial" w:hAnsi="Arial"/>
                <w:sz w:val="18"/>
                <w:szCs w:val="18"/>
                <w:color w:val="auto"/>
                <w:w w:val="88"/>
              </w:rPr>
              <w:t>Press Release of PennantPark Investment Corporation dated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7340" w:type="dxa"/>
            <w:vAlign w:val="bottom"/>
            <w:gridSpan w:val="3"/>
            <w:vMerge w:val="restart"/>
          </w:tcPr>
          <w:p>
            <w:pPr>
              <w:jc w:val="center"/>
              <w:ind w:left="2910"/>
              <w:spacing w:after="0"/>
              <w:rPr>
                <w:sz w:val="20"/>
                <w:szCs w:val="20"/>
                <w:color w:val="auto"/>
              </w:rPr>
            </w:pPr>
            <w:r>
              <w:rPr>
                <w:rFonts w:ascii="Arial" w:cs="Arial" w:eastAsia="Arial" w:hAnsi="Arial"/>
                <w:sz w:val="18"/>
                <w:szCs w:val="18"/>
                <w:color w:val="auto"/>
                <w:w w:val="89"/>
              </w:rPr>
              <w:t>November 16, 2011</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3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45"/>
          </w:cols>
          <w:pgMar w:left="355" w:top="742" w:right="499" w:bottom="1440" w:gutter="0" w:footer="0" w:header="0"/>
        </w:sectPr>
      </w:pPr>
    </w:p>
    <w:bookmarkStart w:id="2" w:name="page3"/>
    <w:bookmarkEnd w:id="2"/>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61988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PennantPark Investment Corporation Announces Financial Results for the Quarter and Year Ended September 30, 2011</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NY - (Marketwire - November 16, 2011) - PennantPark Investment Corporation (NASDAQ: PNNT), “we,” “our,” “us” or “Company” today announces financial results for its fourth quarter and fiscal year ended September 30,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September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00" w:type="dxa"/>
            <w:vAlign w:val="bottom"/>
            <w:shd w:val="clear" w:color="auto" w:fill="CCECFF"/>
          </w:tcPr>
          <w:p>
            <w:pPr>
              <w:ind w:left="40"/>
              <w:spacing w:after="0"/>
              <w:rPr>
                <w:sz w:val="20"/>
                <w:szCs w:val="20"/>
                <w:color w:val="auto"/>
              </w:rPr>
            </w:pPr>
            <w:r>
              <w:rPr>
                <w:rFonts w:ascii="Arial" w:cs="Arial" w:eastAsia="Arial" w:hAnsi="Arial"/>
                <w:sz w:val="18"/>
                <w:szCs w:val="18"/>
                <w:color w:val="auto"/>
              </w:rPr>
              <w:t>Assets and Liabilities:</w:t>
            </w:r>
          </w:p>
        </w:tc>
        <w:tc>
          <w:tcPr>
            <w:tcW w:w="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Investment portfolio</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827.5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0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Net assets</w:t>
            </w:r>
          </w:p>
        </w:tc>
        <w:tc>
          <w:tcPr>
            <w:tcW w:w="36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8"/>
              </w:rPr>
              <w:t>462.7</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asset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10.13</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62"/>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50"/>
        </w:trPr>
        <w:tc>
          <w:tcPr>
            <w:tcW w:w="30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Credit facility (cost $240.9)</w:t>
            </w:r>
          </w:p>
        </w:tc>
        <w:tc>
          <w:tcPr>
            <w:tcW w:w="360" w:type="dxa"/>
            <w:vAlign w:val="bottom"/>
            <w:tcBorders>
              <w:bottom w:val="single" w:sz="8" w:color="CCECFF"/>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8"/>
                <w:szCs w:val="18"/>
                <w:color w:val="auto"/>
                <w:w w:val="97"/>
              </w:rPr>
              <w:t>238.8</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SBA debentures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150.0</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62"/>
        </w:trPr>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50"/>
        </w:trPr>
        <w:tc>
          <w:tcPr>
            <w:tcW w:w="30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w w:val="97"/>
              </w:rPr>
              <w:t>Yield on debt investments at year-end</w:t>
            </w:r>
          </w:p>
        </w:tc>
        <w:tc>
          <w:tcPr>
            <w:tcW w:w="36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900" w:type="dxa"/>
            <w:vAlign w:val="bottom"/>
            <w:tcBorders>
              <w:bottom w:val="single" w:sz="8" w:color="CCECFF"/>
              <w:right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13.3 %</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648"/>
        </w:trPr>
        <w:tc>
          <w:tcPr>
            <w:tcW w:w="3000" w:type="dxa"/>
            <w:vAlign w:val="bottom"/>
          </w:tcPr>
          <w:p>
            <w:pPr>
              <w:ind w:left="40"/>
              <w:spacing w:after="0"/>
              <w:rPr>
                <w:sz w:val="20"/>
                <w:szCs w:val="20"/>
                <w:color w:val="auto"/>
              </w:rPr>
            </w:pPr>
            <w:r>
              <w:rPr>
                <w:rFonts w:ascii="Arial" w:cs="Arial" w:eastAsia="Arial" w:hAnsi="Arial"/>
                <w:sz w:val="18"/>
                <w:szCs w:val="18"/>
                <w:color w:val="auto"/>
              </w:rPr>
              <w:t>Operating Results:</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gridSpan w:val="2"/>
          </w:tcPr>
          <w:p>
            <w:pPr>
              <w:ind w:left="200"/>
              <w:spacing w:after="0"/>
              <w:rPr>
                <w:sz w:val="20"/>
                <w:szCs w:val="20"/>
                <w:color w:val="auto"/>
              </w:rPr>
            </w:pPr>
            <w:r>
              <w:rPr>
                <w:rFonts w:ascii="Arial" w:cs="Arial" w:eastAsia="Arial" w:hAnsi="Arial"/>
                <w:sz w:val="18"/>
                <w:szCs w:val="18"/>
                <w:color w:val="auto"/>
              </w:rPr>
              <w:t>Year Ended</w:t>
            </w:r>
          </w:p>
        </w:tc>
        <w:tc>
          <w:tcPr>
            <w:tcW w:w="26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color w:val="auto"/>
                <w:w w:val="98"/>
              </w:rPr>
              <w:t>Quarter Ended</w:t>
            </w:r>
          </w:p>
        </w:tc>
      </w:tr>
      <w:tr>
        <w:trPr>
          <w:trHeight w:val="27"/>
        </w:trPr>
        <w:tc>
          <w:tcPr>
            <w:tcW w:w="30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investment income per share</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7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declared per share</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Portfolio Activity:</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Purchases of long-term investments</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479.7</w:t>
            </w:r>
          </w:p>
        </w:tc>
        <w:tc>
          <w:tcPr>
            <w:tcW w:w="7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137.7</w:t>
            </w:r>
          </w:p>
        </w:tc>
      </w:tr>
      <w:tr>
        <w:trPr>
          <w:trHeight w:val="27"/>
        </w:trPr>
        <w:tc>
          <w:tcPr>
            <w:tcW w:w="386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9"/>
              </w:rPr>
              <w:t>Sales and repayments of long-term investments</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70"/>
        </w:trPr>
        <w:tc>
          <w:tcPr>
            <w:tcW w:w="3360" w:type="dxa"/>
            <w:vAlign w:val="bottom"/>
            <w:gridSpan w:val="2"/>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Number of new portfolio companies invested</w:t>
            </w: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60" w:type="dxa"/>
            <w:vAlign w:val="bottom"/>
            <w:gridSpan w:val="4"/>
          </w:tcPr>
          <w:p>
            <w:pPr>
              <w:ind w:left="40"/>
              <w:spacing w:after="0"/>
              <w:rPr>
                <w:sz w:val="20"/>
                <w:szCs w:val="20"/>
                <w:color w:val="auto"/>
              </w:rPr>
            </w:pPr>
            <w:r>
              <w:rPr>
                <w:rFonts w:ascii="Arial" w:cs="Arial" w:eastAsia="Arial" w:hAnsi="Arial"/>
                <w:sz w:val="18"/>
                <w:szCs w:val="18"/>
                <w:color w:val="auto"/>
                <w:w w:val="99"/>
              </w:rPr>
              <w:t>Number of existing portfolio companies invested</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3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Number of portfolio companies at end of year</w:t>
            </w: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AT 10:00 A.M. ET ON NOVEMBER 17, 2011</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will host a conference call at 10:00 a.m. (Eastern Time) on Thursday, November 17, 2011 to discuss its fourth quarter and full year 2011 financial results. All interested parties are welcome to participate. You can access the conference call by dialing (877) 545-1402 approximately 5-10 minutes prior to the call. International callers should dial (719) 325-4891. All callers should reference PennantPark Investment Corporation. An archived replay of the call will be available through December 1, 2011 by calling (888) 203-1112. International callers please dial (719) 457-0820. For all phone replays, please reference conference ID #4660723.</w:t>
      </w:r>
    </w:p>
    <w:p>
      <w:pPr>
        <w:sectPr>
          <w:pgSz w:w="11900" w:h="16838" w:orient="portrait"/>
          <w:cols w:equalWidth="0" w:num="1">
            <w:col w:w="11200"/>
          </w:cols>
          <w:pgMar w:left="320" w:top="144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As of September 30, 2011, our portfolio totaled $827.5 million and consisted of $296.5 million of senior secured loans, $165.3 million of second lien secured debt, $309.3 million of subordinated debt and $56.4 million of preferred and common equity investments. This compares to our portfolio as of September 30, 2010, which totaled $664.7 million and consisted of $234.6 million of senior secured loans, $156.7 million of second lien secured debt, $223.9 million of subordinated debt and $49.5 million of preferred and common equity investments.</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As of September 30, 2011,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 This compares to our portfolio as of September 30, 2010, which consisted of 43 companies with an average investment size of $15.5 million, and a weighted average yield on debt investments of 12.7%, and was invested 35% in senior secured loans, 24% in second lien secured debt, 34% in subordinated debt and 7% in preferred and common equity investments.</w:t>
      </w:r>
    </w:p>
    <w:p>
      <w:pPr>
        <w:spacing w:after="0" w:line="13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three months ended September 30, 2011, we purchased $137.7 million in four new and four existing portfolio companies with a weighted average yield on debt investments of 12.9%. Sales and repayments of long-term investments for the same period totaled $47.6 million. This compares to the three months ended September 30, 2010, in which we invested $96.7 million in five new and two existing portfolio companies with a weighted average yield on debt investments of 17.1%. Sales and repayments of long term investments for the same period totaled $62.5 million.</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fiscal year ended September 30, 2011, we purchased $479.7 million in 17 new and 11 existing portfolio companies with a weighted average yield on debt investments of 13.7%. Sales and repayments of long-term investments for the same period totaled $304.0 million. This compares to the fiscal year ended September 30, 2010, in which we invested $309.5 million in 17 new and 12 existing portfolio companies with a weighted average yield on debt investments of 14.9%. Sales and repayments of long term investments for the same period totaled $145.2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months and fiscal years ended September 30, 2011 and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Investment income for the three months ended September 30, 2011 and 2010 was $26.1 million and $16.7 million, respectively, and was primarily attributable to $9.6 million and $5.5 million from senior secured loans, $5.2 million and $3.5 million from second lien secured debt investments, and $11.2 million and $6.9 million from subordinated debt investments, respectively.</w:t>
      </w:r>
    </w:p>
    <w:p>
      <w:pPr>
        <w:spacing w:after="0" w:line="2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Investment income for the fiscal years ended September 30, 2011 and 2010 was $91.7 million and $60.1 million, respectively, and was primarily attributable to $37.1 million and $19.5 million from senior secured loans, $15.2 million and $14.1 million from second lien secured debt investments, and $38.8 million and $26.5 million from subordinated debt investments, respectively. The increase in investment income over the prior year was due to growth of our portfolio which was also driven by investment of the proceeds from our equity offering and rotation out of lower yielding assets.</w:t>
      </w:r>
    </w:p>
    <w:p>
      <w:pPr>
        <w:sectPr>
          <w:pgSz w:w="11900" w:h="16838" w:orient="portrait"/>
          <w:cols w:equalWidth="0" w:num="1">
            <w:col w:w="11220"/>
          </w:cols>
          <w:pgMar w:left="320" w:top="79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Expenses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Expenses for the three months ended September 30, 2011 and 2010, totaled $11.0 million and $7.7 million, respectively. Of these totals, base management fees for the same respective periods totaled $4.0 million and $3.3 million, performance-based incentive fees totaled $3.8 million and $2.2 million, credit facility and Small Business Administration (“SBA”) debentures expenses totaled $1.8 million and $1.1 million, and general and administrative expenses totaled $1.4 million and $1.1 million, respectively, for the same periods.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for the fiscal years ended September 30, 2011 and 2010, totaled $39.1 million and $28.0 million, respectively. Of these totals, base management fees for the same respective periods totaled $14.9 million and $11.6 million, performance-based incentive fees totaled $13.2 million and $8.0 million, credit facility and SBA debentures expenses totaled $5.3 million and $3.7 million, and general and administrative expenses totaled $5.5 million and $4.6 million, respectively, for the same periods. Additionally, during the fiscal years ended September 30, 2011 and 2010, we recorded an excise tax of $0.2 million and $0.1 million, respectively. The increase in expenses over the prior year was primarily due to the growth of our portfolio and net investment income as well as increased borrowing costs.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investment income totaled $15.1 million and $9.0 million, or $0.33 and $0.27 per share, for the three months ended September 30, 2011 and 2010, respectively.</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investment income totaled $52.6 million and $32.1 million, or $1.25 and $1.09 per share, for the fiscal years ended September 30, 2011 and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Sales and repayments of long-term investments for the three months ended September 30, 2011 and 2010 totaled $47.6 million and $62.5 million, and net realized gains totaled $7.6 million and $1.2 million, respectively, for the same periods.</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and repayments of long-term investments for the fiscal years ended September 30, 2011 and 2010 totaled $304.0 million and $145.2 million, and net realized gains (losses) totaled $16.3 million and $(15.4) million, respectively, for the same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8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the three months ended September 30, 2011 and 2010, our investments had a net change in unrealized (depreciation) appreciation of $(53.8) million and $3.2 million, respectively. Net change in unrealized appreciation (depreciation) on credit facility totaled $0.1 million and $(6.8) million, respectively, for the same periods.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fiscal years ended September 30, 2011 and 2010, our investments had a net change in unrealized (depreciation) appreciation of $(46.8) million and $35.5 million, respectively. Net change in unrealized appreciation on credit facility totaled $11.9 million and $35.7 million, respectively, for the same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(decrease) increase in net assets resulting from operations totaled $(31.2) million and $6.6 million, or $(0.68) per share and $0.20 per share, for the three months ended September 30, 2011 and 2010, respectively.</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increase in net assets resulting from operations totaled $10.3 million and $16.5 million, or $0.24 per share and $0.56 per share, for the fiscal years ended September 30, 2011 and 2010, respectively.</w:t>
      </w:r>
    </w:p>
    <w:p>
      <w:pPr>
        <w:sectPr>
          <w:pgSz w:w="11900" w:h="16838" w:orient="portrait"/>
          <w:cols w:equalWidth="0" w:num="1">
            <w:col w:w="11220"/>
          </w:cols>
          <w:pgMar w:left="320" w:top="79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within our portfolio and from public and private offerings of securities to finance our investment objectives.</w:t>
      </w:r>
    </w:p>
    <w:p>
      <w:pPr>
        <w:spacing w:after="0" w:line="18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As of September 30, 2011, we had $240.9 million in outstanding borrowings on our credit facility, with a fair market value of $238.8 million and a weighted average interest rate at that time of 1.27%, exclusive of the fee on the undrawn commitment of 0.20%. Our senior secured revolving credit facility, which matures in June 2012, had $74.1 million of remaining unused borrowing capacity as of September 30, 2011.</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September 30, 2011, we had $150.0 million in debt outstanding on our 10-year fixed SBA debentures with a weighted average interest rate of 3.70%, exclusive of the 3.43% in upfront fees. There is no remaining unused balance under the SBA debentures. We had $52 million of cash in the SBIC, net of unsettled investments as of September 30, 2011.</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ratio requirement to exclude the SBA debentures from our asset coverage calculation. Accordingly, our ratio of total assets on a consolidated basis to outstanding indebtedness may be less than 200%, which while providing increased investment flexibility, also increase our exposure to risks associated with leverage. Additionally, SBA regulation does not use mark-to-market accounting.</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2011, we had approximately $49 million of assets bearing a coupon of 9% or lower. We intend to seek to rotate these into new, higher yielding investments over time.</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fiscal year ended September 30, 2011, we generated operating cash flows primarily from interest earned on debt investments and sales and repayments of investments. Our primary use of funds from operations during the same period consisted of investments in portfolio companies, payments of fees, and other operating expenses we incurred. Our operating activities used cash of $137.8 million for the fiscal year ended September 30, 2011, and our financing activities provided cash of $207.6 million for the same period, primarily from net repayments under our credit facility, SBA debentures issued, and our common stock offering.</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fiscal year ended September 30, 2010, we generated operating cash flows primarily from interest earned on debt investments and sales and repayments of investments. Our primary use of funds from operations during the same period consisted of investments in portfolio companies, payments of fees, and other operating expenses we incurred. Our operating activities used cash of $127.1 million for the fiscal year ended September 30, 2010, and our financing activities provided cash of $95.6 million for the same period, primarily from proceeds of common stock offerings and draws on our credit facility and SBA debentures.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fiscal years ended September 30, 2011 and 2010, we declared distributions of $1.07 and $1.03 per share, respectively, for total distributions of $46.3 million and $32.3 million, respectively. For the three months ended September 30, 2011 and 2010, we declared distributions of $0.27 and $0.26 per share, respectively, for total distributions of $12.3 million and $9.4 million, respectively.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Securities and Exchange Commission.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Company makes available on its website its report on Form 10-K filed with the Securities and Exchange Commission and stockholders may find the report on our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ectPr>
          <w:pgSz w:w="11900" w:h="16838" w:orient="portrait"/>
          <w:cols w:equalWidth="0" w:num="1">
            <w:col w:w="11240"/>
          </w:cols>
          <w:pgMar w:left="320" w:top="864" w:right="339" w:bottom="1440" w:gutter="0" w:footer="0" w:header="0"/>
        </w:sectPr>
      </w:pPr>
    </w:p>
    <w:bookmarkStart w:id="6" w:name="page7"/>
    <w:bookmarkEnd w:id="6"/>
    <w:p>
      <w:pPr>
        <w:jc w:val="center"/>
        <w:ind w:right="-5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(Audited)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2011</w:t>
            </w:r>
          </w:p>
        </w:tc>
        <w:tc>
          <w:tcPr>
            <w:tcW w:w="20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September 30, 2010</w:t>
            </w:r>
          </w:p>
        </w:tc>
        <w:tc>
          <w:tcPr>
            <w:tcW w:w="0" w:type="dxa"/>
            <w:vAlign w:val="bottom"/>
          </w:tcPr>
          <w:p>
            <w:pPr>
              <w:spacing w:after="0"/>
              <w:rPr>
                <w:sz w:val="1"/>
                <w:szCs w:val="1"/>
                <w:color w:val="auto"/>
              </w:rPr>
            </w:pP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40"/>
              <w:spacing w:after="0"/>
              <w:rPr>
                <w:sz w:val="20"/>
                <w:szCs w:val="20"/>
                <w:color w:val="auto"/>
              </w:rPr>
            </w:pPr>
            <w:r>
              <w:rPr>
                <w:rFonts w:ascii="Arial" w:cs="Arial" w:eastAsia="Arial" w:hAnsi="Arial"/>
                <w:sz w:val="14"/>
                <w:szCs w:val="14"/>
                <w:color w:val="auto"/>
              </w:rPr>
              <w:t>Investments at fair value</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Non-controlled, non-affiliated investments, at fair value</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(cost-$816,078,311 and $631,280,755, respectively)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773,375,381</w:t>
            </w: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641,290,626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240" w:type="dxa"/>
            <w:vAlign w:val="bottom"/>
          </w:tcPr>
          <w:p>
            <w:pPr>
              <w:ind w:left="280"/>
              <w:spacing w:after="0" w:line="157" w:lineRule="exact"/>
              <w:rPr>
                <w:sz w:val="20"/>
                <w:szCs w:val="20"/>
                <w:color w:val="auto"/>
              </w:rPr>
            </w:pPr>
            <w:r>
              <w:rPr>
                <w:rFonts w:ascii="Arial" w:cs="Arial" w:eastAsia="Arial" w:hAnsi="Arial"/>
                <w:sz w:val="14"/>
                <w:szCs w:val="14"/>
                <w:color w:val="auto"/>
              </w:rPr>
              <w:t>Non-controlled, affiliated investments, at fair value</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60"/>
              <w:spacing w:after="0"/>
              <w:rPr>
                <w:sz w:val="20"/>
                <w:szCs w:val="20"/>
                <w:color w:val="auto"/>
              </w:rPr>
            </w:pPr>
            <w:r>
              <w:rPr>
                <w:rFonts w:ascii="Arial" w:cs="Arial" w:eastAsia="Arial" w:hAnsi="Arial"/>
                <w:sz w:val="14"/>
                <w:szCs w:val="14"/>
                <w:color w:val="auto"/>
              </w:rPr>
              <w:t>(cost-$36,744,425 and $17,427,648, respectively)</w:t>
            </w:r>
          </w:p>
        </w:tc>
        <w:tc>
          <w:tcPr>
            <w:tcW w:w="1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40,673,133</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15,433,680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240" w:type="dxa"/>
            <w:vAlign w:val="bottom"/>
            <w:shd w:val="clear" w:color="auto" w:fill="CCECFF"/>
          </w:tcPr>
          <w:p>
            <w:pPr>
              <w:ind w:left="100"/>
              <w:spacing w:after="0"/>
              <w:rPr>
                <w:sz w:val="20"/>
                <w:szCs w:val="20"/>
                <w:color w:val="auto"/>
              </w:rPr>
            </w:pPr>
            <w:r>
              <w:rPr>
                <w:rFonts w:ascii="Arial" w:cs="Arial" w:eastAsia="Arial" w:hAnsi="Arial"/>
                <w:sz w:val="14"/>
                <w:szCs w:val="14"/>
                <w:color w:val="auto"/>
              </w:rPr>
              <w:t>Controlled, affiliated investments, at fair value</w:t>
            </w:r>
          </w:p>
        </w:tc>
        <w:tc>
          <w:tcPr>
            <w:tcW w:w="180" w:type="dxa"/>
            <w:vAlign w:val="bottom"/>
            <w:shd w:val="clear" w:color="auto" w:fill="CCECFF"/>
          </w:tcPr>
          <w:p>
            <w:pPr>
              <w:spacing w:after="0"/>
              <w:rPr>
                <w:sz w:val="14"/>
                <w:szCs w:val="14"/>
                <w:color w:val="auto"/>
              </w:rPr>
            </w:pPr>
          </w:p>
        </w:tc>
        <w:tc>
          <w:tcPr>
            <w:tcW w:w="1220" w:type="dxa"/>
            <w:vAlign w:val="bottom"/>
            <w:vMerge w:val="restart"/>
            <w:shd w:val="clear" w:color="auto" w:fill="CCECFF"/>
          </w:tcPr>
          <w:p>
            <w:pPr>
              <w:jc w:val="right"/>
              <w:ind w:right="49"/>
              <w:spacing w:after="0"/>
              <w:rPr>
                <w:sz w:val="20"/>
                <w:szCs w:val="20"/>
                <w:color w:val="auto"/>
              </w:rPr>
            </w:pPr>
            <w:r>
              <w:rPr>
                <w:rFonts w:ascii="Arial" w:cs="Arial" w:eastAsia="Arial" w:hAnsi="Arial"/>
                <w:sz w:val="14"/>
                <w:szCs w:val="14"/>
                <w:color w:val="auto"/>
              </w:rPr>
              <w:t>13,500,001</w:t>
            </w:r>
          </w:p>
        </w:tc>
        <w:tc>
          <w:tcPr>
            <w:tcW w:w="4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60" w:type="dxa"/>
            <w:vAlign w:val="bottom"/>
            <w:vMerge w:val="restart"/>
            <w:shd w:val="clear" w:color="auto" w:fill="CCECFF"/>
          </w:tcPr>
          <w:p>
            <w:pPr>
              <w:jc w:val="right"/>
              <w:ind w:right="9"/>
              <w:spacing w:after="0"/>
              <w:rPr>
                <w:sz w:val="20"/>
                <w:szCs w:val="20"/>
                <w:color w:val="auto"/>
              </w:rPr>
            </w:pPr>
            <w:r>
              <w:rPr>
                <w:rFonts w:ascii="Arial" w:cs="Arial" w:eastAsia="Arial" w:hAnsi="Arial"/>
                <w:sz w:val="14"/>
                <w:szCs w:val="14"/>
                <w:color w:val="auto"/>
              </w:rPr>
              <w:t>8,000,100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7240" w:type="dxa"/>
            <w:vAlign w:val="bottom"/>
            <w:vMerge w:val="restart"/>
            <w:shd w:val="clear" w:color="auto" w:fill="CCECFF"/>
          </w:tcPr>
          <w:p>
            <w:pPr>
              <w:ind w:left="180"/>
              <w:spacing w:after="0"/>
              <w:rPr>
                <w:sz w:val="20"/>
                <w:szCs w:val="20"/>
                <w:color w:val="auto"/>
              </w:rPr>
            </w:pPr>
            <w:r>
              <w:rPr>
                <w:rFonts w:ascii="Arial" w:cs="Arial" w:eastAsia="Arial" w:hAnsi="Arial"/>
                <w:sz w:val="14"/>
                <w:szCs w:val="14"/>
                <w:color w:val="auto"/>
              </w:rPr>
              <w:t>(cost-$13,500,100 and $8,000,100, respectively)</w:t>
            </w:r>
          </w:p>
        </w:tc>
        <w:tc>
          <w:tcPr>
            <w:tcW w:w="180" w:type="dxa"/>
            <w:vAlign w:val="bottom"/>
            <w:shd w:val="clear" w:color="auto" w:fill="CCECFF"/>
          </w:tcPr>
          <w:p>
            <w:pPr>
              <w:spacing w:after="0"/>
              <w:rPr>
                <w:sz w:val="8"/>
                <w:szCs w:val="8"/>
                <w:color w:val="auto"/>
              </w:rPr>
            </w:pPr>
          </w:p>
        </w:tc>
        <w:tc>
          <w:tcPr>
            <w:tcW w:w="1220" w:type="dxa"/>
            <w:vAlign w:val="bottom"/>
            <w:vMerge w:val="continue"/>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1260" w:type="dxa"/>
            <w:vAlign w:val="bottom"/>
            <w:vMerge w:val="continue"/>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7240" w:type="dxa"/>
            <w:vAlign w:val="bottom"/>
            <w:vMerge w:val="continue"/>
            <w:shd w:val="clear" w:color="auto" w:fill="CCECFF"/>
          </w:tcPr>
          <w:p>
            <w:pPr>
              <w:spacing w:after="0"/>
              <w:rPr>
                <w:sz w:val="8"/>
                <w:szCs w:val="8"/>
                <w:color w:val="auto"/>
              </w:rPr>
            </w:pPr>
          </w:p>
        </w:tc>
        <w:tc>
          <w:tcPr>
            <w:tcW w:w="180" w:type="dxa"/>
            <w:vAlign w:val="bottom"/>
            <w:tcBorders>
              <w:bottom w:val="single" w:sz="8" w:color="auto"/>
            </w:tcBorders>
            <w:shd w:val="clear" w:color="auto" w:fill="CCECFF"/>
          </w:tcPr>
          <w:p>
            <w:pPr>
              <w:spacing w:after="0"/>
              <w:rPr>
                <w:sz w:val="8"/>
                <w:szCs w:val="8"/>
                <w:color w:val="auto"/>
              </w:rPr>
            </w:pPr>
          </w:p>
        </w:tc>
        <w:tc>
          <w:tcPr>
            <w:tcW w:w="1220" w:type="dxa"/>
            <w:vAlign w:val="bottom"/>
            <w:tcBorders>
              <w:bottom w:val="single" w:sz="8" w:color="auto"/>
            </w:tcBorders>
            <w:shd w:val="clear" w:color="auto" w:fill="CCECFF"/>
          </w:tcPr>
          <w:p>
            <w:pPr>
              <w:spacing w:after="0"/>
              <w:rPr>
                <w:sz w:val="8"/>
                <w:szCs w:val="8"/>
                <w:color w:val="auto"/>
              </w:rPr>
            </w:pPr>
          </w:p>
        </w:tc>
        <w:tc>
          <w:tcPr>
            <w:tcW w:w="420" w:type="dxa"/>
            <w:vAlign w:val="bottom"/>
            <w:shd w:val="clear" w:color="auto" w:fill="CCECFF"/>
          </w:tcPr>
          <w:p>
            <w:pPr>
              <w:spacing w:after="0"/>
              <w:rPr>
                <w:sz w:val="8"/>
                <w:szCs w:val="8"/>
                <w:color w:val="auto"/>
              </w:rPr>
            </w:pPr>
          </w:p>
        </w:tc>
        <w:tc>
          <w:tcPr>
            <w:tcW w:w="200" w:type="dxa"/>
            <w:vAlign w:val="bottom"/>
            <w:tcBorders>
              <w:bottom w:val="single" w:sz="8" w:color="auto"/>
            </w:tcBorders>
            <w:shd w:val="clear" w:color="auto" w:fill="CCECFF"/>
          </w:tcPr>
          <w:p>
            <w:pPr>
              <w:spacing w:after="0"/>
              <w:rPr>
                <w:sz w:val="8"/>
                <w:szCs w:val="8"/>
                <w:color w:val="auto"/>
              </w:rPr>
            </w:pPr>
          </w:p>
        </w:tc>
        <w:tc>
          <w:tcPr>
            <w:tcW w:w="1260" w:type="dxa"/>
            <w:vAlign w:val="bottom"/>
            <w:tcBorders>
              <w:bottom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240" w:type="dxa"/>
            <w:vAlign w:val="bottom"/>
          </w:tcPr>
          <w:p>
            <w:pPr>
              <w:ind w:left="280"/>
              <w:spacing w:after="0" w:line="137" w:lineRule="exact"/>
              <w:rPr>
                <w:sz w:val="20"/>
                <w:szCs w:val="20"/>
                <w:color w:val="auto"/>
              </w:rPr>
            </w:pPr>
            <w:r>
              <w:rPr>
                <w:rFonts w:ascii="Arial" w:cs="Arial" w:eastAsia="Arial" w:hAnsi="Arial"/>
                <w:sz w:val="14"/>
                <w:szCs w:val="14"/>
                <w:color w:val="auto"/>
              </w:rPr>
              <w:t>Total of Investments, at fair value</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60"/>
              <w:spacing w:after="0"/>
              <w:rPr>
                <w:sz w:val="20"/>
                <w:szCs w:val="20"/>
                <w:color w:val="auto"/>
              </w:rPr>
            </w:pPr>
            <w:r>
              <w:rPr>
                <w:rFonts w:ascii="Arial" w:cs="Arial" w:eastAsia="Arial" w:hAnsi="Arial"/>
                <w:sz w:val="14"/>
                <w:szCs w:val="14"/>
                <w:color w:val="auto"/>
              </w:rPr>
              <w:t>(cost-$866,322,836 and $656,708,503, respectively)</w:t>
            </w:r>
          </w:p>
        </w:tc>
        <w:tc>
          <w:tcPr>
            <w:tcW w:w="1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827,548,515</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664,724,406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71,604,519</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1,814,451</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40"/>
              <w:spacing w:after="0"/>
              <w:rPr>
                <w:sz w:val="20"/>
                <w:szCs w:val="20"/>
                <w:color w:val="auto"/>
              </w:rPr>
            </w:pPr>
            <w:r>
              <w:rPr>
                <w:rFonts w:ascii="Arial" w:cs="Arial" w:eastAsia="Arial" w:hAnsi="Arial"/>
                <w:sz w:val="14"/>
                <w:szCs w:val="14"/>
                <w:color w:val="auto"/>
              </w:rPr>
              <w:t>Interest receivable</w:t>
            </w:r>
          </w:p>
        </w:tc>
        <w:tc>
          <w:tcPr>
            <w:tcW w:w="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10,878,236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Receivable for investments sold</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13,118,967</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30,254,774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24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5,587,977</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1,886,119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24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40" w:type="dxa"/>
            <w:vAlign w:val="bottom"/>
            <w:tcBorders>
              <w:bottom w:val="single" w:sz="8" w:color="CCECFF"/>
            </w:tcBorders>
            <w:shd w:val="clear" w:color="auto" w:fill="CCECFF"/>
          </w:tcPr>
          <w:p>
            <w:pPr>
              <w:ind w:left="40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CFF"/>
          </w:tcPr>
          <w:p>
            <w:pPr>
              <w:spacing w:after="0"/>
              <w:rPr>
                <w:sz w:val="18"/>
                <w:szCs w:val="18"/>
                <w:color w:val="auto"/>
              </w:rPr>
            </w:pP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928,738,214</w:t>
            </w:r>
          </w:p>
        </w:tc>
        <w:tc>
          <w:tcPr>
            <w:tcW w:w="4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26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711,493,846</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Distributions payable</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12,336,241</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9,401,281</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40"/>
              <w:spacing w:after="0"/>
              <w:rPr>
                <w:sz w:val="20"/>
                <w:szCs w:val="20"/>
                <w:color w:val="auto"/>
              </w:rPr>
            </w:pPr>
            <w:r>
              <w:rPr>
                <w:rFonts w:ascii="Arial" w:cs="Arial" w:eastAsia="Arial" w:hAnsi="Arial"/>
                <w:sz w:val="14"/>
                <w:szCs w:val="14"/>
                <w:color w:val="auto"/>
              </w:rPr>
              <w:t>Payable for investments purchased</w:t>
            </w:r>
          </w:p>
        </w:tc>
        <w:tc>
          <w:tcPr>
            <w:tcW w:w="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18,572,499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Unfunded investments</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37,132,151</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22,203,434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40"/>
              <w:spacing w:after="0"/>
              <w:rPr>
                <w:sz w:val="20"/>
                <w:szCs w:val="20"/>
                <w:color w:val="auto"/>
              </w:rPr>
            </w:pPr>
            <w:r>
              <w:rPr>
                <w:rFonts w:ascii="Arial" w:cs="Arial" w:eastAsia="Arial" w:hAnsi="Arial"/>
                <w:sz w:val="14"/>
                <w:szCs w:val="14"/>
                <w:color w:val="auto"/>
              </w:rPr>
              <w:t>Credit facility payable (cost-$240,900,000 and $233,100,000, respectively)</w:t>
            </w:r>
          </w:p>
        </w:tc>
        <w:tc>
          <w:tcPr>
            <w:tcW w:w="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238,792,125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SBA debentures payable (cost-$150,000,000 and $14,500,000, respectively)</w:t>
            </w:r>
          </w:p>
        </w:tc>
        <w:tc>
          <w:tcPr>
            <w:tcW w:w="180" w:type="dxa"/>
            <w:vAlign w:val="bottom"/>
            <w:shd w:val="clear" w:color="auto" w:fill="CCECFF"/>
          </w:tcPr>
          <w:p>
            <w:pPr>
              <w:spacing w:after="0"/>
              <w:rPr>
                <w:sz w:val="24"/>
                <w:szCs w:val="24"/>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150,000,000</w:t>
            </w:r>
          </w:p>
        </w:tc>
        <w:tc>
          <w:tcPr>
            <w:tcW w:w="420" w:type="dxa"/>
            <w:vAlign w:val="bottom"/>
            <w:shd w:val="clear" w:color="auto" w:fill="CCECFF"/>
          </w:tcPr>
          <w:p>
            <w:pPr>
              <w:spacing w:after="0"/>
              <w:rPr>
                <w:sz w:val="24"/>
                <w:szCs w:val="24"/>
                <w:color w:val="auto"/>
              </w:rPr>
            </w:pPr>
          </w:p>
        </w:tc>
        <w:tc>
          <w:tcPr>
            <w:tcW w:w="200" w:type="dxa"/>
            <w:vAlign w:val="bottom"/>
            <w:shd w:val="clear" w:color="auto" w:fill="CCECFF"/>
          </w:tcPr>
          <w:p>
            <w:pPr>
              <w:spacing w:after="0"/>
              <w:rPr>
                <w:sz w:val="24"/>
                <w:szCs w:val="24"/>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14,500,000</w:t>
            </w:r>
          </w:p>
        </w:tc>
        <w:tc>
          <w:tcPr>
            <w:tcW w:w="12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40"/>
              <w:spacing w:after="0"/>
              <w:rPr>
                <w:sz w:val="20"/>
                <w:szCs w:val="20"/>
                <w:color w:val="auto"/>
              </w:rPr>
            </w:pPr>
            <w:r>
              <w:rPr>
                <w:rFonts w:ascii="Arial" w:cs="Arial" w:eastAsia="Arial" w:hAnsi="Arial"/>
                <w:sz w:val="14"/>
                <w:szCs w:val="14"/>
                <w:color w:val="auto"/>
              </w:rPr>
              <w:t>Interest payable on credit facility and SBA debentures</w:t>
            </w:r>
          </w:p>
        </w:tc>
        <w:tc>
          <w:tcPr>
            <w:tcW w:w="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687,362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Management fee payable</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4,008,054</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3,286,816</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40"/>
              <w:spacing w:after="0"/>
              <w:rPr>
                <w:sz w:val="20"/>
                <w:szCs w:val="20"/>
                <w:color w:val="auto"/>
              </w:rPr>
            </w:pPr>
            <w:r>
              <w:rPr>
                <w:rFonts w:ascii="Arial" w:cs="Arial" w:eastAsia="Arial" w:hAnsi="Arial"/>
                <w:sz w:val="14"/>
                <w:szCs w:val="14"/>
                <w:color w:val="auto"/>
              </w:rPr>
              <w:t>Performance-based incentive fee payable</w:t>
            </w:r>
          </w:p>
        </w:tc>
        <w:tc>
          <w:tcPr>
            <w:tcW w:w="180" w:type="dxa"/>
            <w:vAlign w:val="bottom"/>
          </w:tcPr>
          <w:p>
            <w:pPr>
              <w:spacing w:after="0"/>
              <w:rPr>
                <w:sz w:val="18"/>
                <w:szCs w:val="18"/>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3,773,829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4"/>
                <w:szCs w:val="14"/>
                <w:color w:val="auto"/>
              </w:rPr>
              <w:t>Accrued other expenses</w:t>
            </w:r>
          </w:p>
        </w:tc>
        <w:tc>
          <w:tcPr>
            <w:tcW w:w="180" w:type="dxa"/>
            <w:vAlign w:val="bottom"/>
            <w:tcBorders>
              <w:bottom w:val="single" w:sz="8" w:color="CCECFF"/>
            </w:tcBorders>
            <w:shd w:val="clear" w:color="auto" w:fill="CCECFF"/>
          </w:tcPr>
          <w:p>
            <w:pPr>
              <w:spacing w:after="0"/>
              <w:rPr>
                <w:sz w:val="19"/>
                <w:szCs w:val="19"/>
                <w:color w:val="auto"/>
              </w:rPr>
            </w:pPr>
          </w:p>
        </w:tc>
        <w:tc>
          <w:tcPr>
            <w:tcW w:w="1220" w:type="dxa"/>
            <w:vAlign w:val="bottom"/>
            <w:tcBorders>
              <w:bottom w:val="single" w:sz="8" w:color="CCECFF"/>
            </w:tcBorders>
            <w:shd w:val="clear" w:color="auto" w:fill="CCECFF"/>
          </w:tcPr>
          <w:p>
            <w:pPr>
              <w:jc w:val="right"/>
              <w:ind w:right="49"/>
              <w:spacing w:after="0"/>
              <w:rPr>
                <w:sz w:val="20"/>
                <w:szCs w:val="20"/>
                <w:color w:val="auto"/>
              </w:rPr>
            </w:pPr>
            <w:r>
              <w:rPr>
                <w:rFonts w:ascii="Arial" w:cs="Arial" w:eastAsia="Arial" w:hAnsi="Arial"/>
                <w:sz w:val="14"/>
                <w:szCs w:val="14"/>
                <w:color w:val="auto"/>
              </w:rPr>
              <w:t>778,757</w:t>
            </w:r>
          </w:p>
        </w:tc>
        <w:tc>
          <w:tcPr>
            <w:tcW w:w="4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spacing w:after="0"/>
              <w:rPr>
                <w:sz w:val="19"/>
                <w:szCs w:val="19"/>
                <w:color w:val="auto"/>
              </w:rPr>
            </w:pPr>
          </w:p>
        </w:tc>
        <w:tc>
          <w:tcPr>
            <w:tcW w:w="1260" w:type="dxa"/>
            <w:vAlign w:val="bottom"/>
            <w:tcBorders>
              <w:bottom w:val="single" w:sz="8" w:color="CCECFF"/>
            </w:tcBorders>
            <w:shd w:val="clear" w:color="auto" w:fill="CCECFF"/>
          </w:tcPr>
          <w:p>
            <w:pPr>
              <w:jc w:val="right"/>
              <w:ind w:right="9"/>
              <w:spacing w:after="0"/>
              <w:rPr>
                <w:sz w:val="20"/>
                <w:szCs w:val="20"/>
                <w:color w:val="auto"/>
              </w:rPr>
            </w:pPr>
            <w:r>
              <w:rPr>
                <w:rFonts w:ascii="Arial" w:cs="Arial" w:eastAsia="Arial" w:hAnsi="Arial"/>
                <w:sz w:val="14"/>
                <w:szCs w:val="14"/>
                <w:color w:val="auto"/>
              </w:rPr>
              <w:t>1,146,821</w:t>
            </w:r>
          </w:p>
        </w:tc>
        <w:tc>
          <w:tcPr>
            <w:tcW w:w="12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CFF"/>
            </w:tcBorders>
          </w:tcPr>
          <w:p>
            <w:pPr>
              <w:ind w:left="40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466,081,018</w:t>
            </w:r>
          </w:p>
        </w:tc>
        <w:tc>
          <w:tcPr>
            <w:tcW w:w="420" w:type="dxa"/>
            <w:vAlign w:val="bottom"/>
            <w:tcBorders>
              <w:bottom w:val="single" w:sz="8" w:color="CCEC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324,918,623</w:t>
            </w:r>
          </w:p>
        </w:tc>
        <w:tc>
          <w:tcPr>
            <w:tcW w:w="120" w:type="dxa"/>
            <w:vAlign w:val="bottom"/>
            <w:tcBorders>
              <w:bottom w:val="single" w:sz="8" w:color="CCEC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b w:val="1"/>
                <w:bCs w:val="1"/>
                <w:color w:val="auto"/>
              </w:rPr>
              <w:t>Net Assets</w:t>
            </w:r>
          </w:p>
        </w:tc>
        <w:tc>
          <w:tcPr>
            <w:tcW w:w="18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240" w:type="dxa"/>
            <w:vAlign w:val="bottom"/>
          </w:tcPr>
          <w:p>
            <w:pPr>
              <w:ind w:left="180"/>
              <w:spacing w:after="0" w:line="157" w:lineRule="exact"/>
              <w:rPr>
                <w:sz w:val="20"/>
                <w:szCs w:val="20"/>
                <w:color w:val="auto"/>
              </w:rPr>
            </w:pPr>
            <w:r>
              <w:rPr>
                <w:rFonts w:ascii="Arial" w:cs="Arial" w:eastAsia="Arial" w:hAnsi="Arial"/>
                <w:sz w:val="14"/>
                <w:szCs w:val="14"/>
                <w:color w:val="auto"/>
              </w:rPr>
              <w:t>Common stock, 45,689,781 and 36,158,772 shares are issued and outstanding, respectively.</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240"/>
              <w:spacing w:after="0"/>
              <w:rPr>
                <w:sz w:val="20"/>
                <w:szCs w:val="20"/>
                <w:color w:val="auto"/>
              </w:rPr>
            </w:pPr>
            <w:r>
              <w:rPr>
                <w:rFonts w:ascii="Arial" w:cs="Arial" w:eastAsia="Arial" w:hAnsi="Arial"/>
                <w:sz w:val="14"/>
                <w:szCs w:val="14"/>
                <w:color w:val="auto"/>
              </w:rPr>
              <w:t>Par value is $0.001 per share and 100,000,000 shares are authorized.</w:t>
            </w:r>
          </w:p>
        </w:tc>
        <w:tc>
          <w:tcPr>
            <w:tcW w:w="18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45,690</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36,159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Paid-in capital in excess of par value</w:t>
            </w:r>
          </w:p>
        </w:tc>
        <w:tc>
          <w:tcPr>
            <w:tcW w:w="180" w:type="dxa"/>
            <w:vAlign w:val="bottom"/>
            <w:shd w:val="clear" w:color="auto" w:fill="CCECFF"/>
          </w:tcPr>
          <w:p>
            <w:pPr>
              <w:spacing w:after="0"/>
              <w:rPr>
                <w:sz w:val="19"/>
                <w:szCs w:val="19"/>
                <w:color w:val="auto"/>
              </w:rPr>
            </w:pPr>
          </w:p>
        </w:tc>
        <w:tc>
          <w:tcPr>
            <w:tcW w:w="122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540,603,020</w:t>
            </w:r>
          </w:p>
        </w:tc>
        <w:tc>
          <w:tcPr>
            <w:tcW w:w="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428,675,184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Undistributed net investment income</w:t>
            </w:r>
          </w:p>
        </w:tc>
        <w:tc>
          <w:tcPr>
            <w:tcW w:w="180" w:type="dxa"/>
            <w:vAlign w:val="bottom"/>
          </w:tcPr>
          <w:p>
            <w:pPr>
              <w:spacing w:after="0"/>
              <w:rPr>
                <w:sz w:val="22"/>
                <w:szCs w:val="22"/>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color w:val="auto"/>
              </w:rPr>
              <w:t>8,326,854</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1,800,646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Accumulated net realized loss on investments</w:t>
            </w:r>
          </w:p>
        </w:tc>
        <w:tc>
          <w:tcPr>
            <w:tcW w:w="180" w:type="dxa"/>
            <w:vAlign w:val="bottom"/>
            <w:shd w:val="clear" w:color="auto" w:fill="CCECFF"/>
          </w:tcPr>
          <w:p>
            <w:pPr>
              <w:spacing w:after="0"/>
              <w:rPr>
                <w:sz w:val="24"/>
                <w:szCs w:val="2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(49,651,922)</w:t>
            </w:r>
          </w:p>
        </w:tc>
        <w:tc>
          <w:tcPr>
            <w:tcW w:w="420" w:type="dxa"/>
            <w:vAlign w:val="bottom"/>
            <w:shd w:val="clear" w:color="auto" w:fill="CCECFF"/>
          </w:tcPr>
          <w:p>
            <w:pPr>
              <w:spacing w:after="0"/>
              <w:rPr>
                <w:sz w:val="24"/>
                <w:szCs w:val="24"/>
                <w:color w:val="auto"/>
              </w:rPr>
            </w:pPr>
          </w:p>
        </w:tc>
        <w:tc>
          <w:tcPr>
            <w:tcW w:w="200" w:type="dxa"/>
            <w:vAlign w:val="bottom"/>
            <w:shd w:val="clear" w:color="auto" w:fill="CCECFF"/>
          </w:tcPr>
          <w:p>
            <w:pPr>
              <w:spacing w:after="0"/>
              <w:rPr>
                <w:sz w:val="24"/>
                <w:szCs w:val="24"/>
                <w:color w:val="auto"/>
              </w:rPr>
            </w:pP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(65,911,544</w:t>
            </w:r>
            <w:r>
              <w:rPr>
                <w:rFonts w:ascii="Arial" w:cs="Arial" w:eastAsia="Arial" w:hAnsi="Arial"/>
                <w:sz w:val="17"/>
                <w:szCs w:val="17"/>
                <w:color w:val="auto"/>
              </w:rPr>
              <w:t>)</w:t>
            </w:r>
          </w:p>
        </w:tc>
        <w:tc>
          <w:tcPr>
            <w:tcW w:w="12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Net unrealized appreciation (depreciation) on investments</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(38,774,321)</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8,015,903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CFF"/>
          </w:tcPr>
          <w:p>
            <w:pPr>
              <w:ind w:left="40"/>
              <w:spacing w:after="0"/>
              <w:rPr>
                <w:sz w:val="20"/>
                <w:szCs w:val="20"/>
                <w:color w:val="auto"/>
              </w:rPr>
            </w:pPr>
            <w:r>
              <w:rPr>
                <w:rFonts w:ascii="Arial" w:cs="Arial" w:eastAsia="Arial" w:hAnsi="Arial"/>
                <w:sz w:val="14"/>
                <w:szCs w:val="14"/>
                <w:color w:val="auto"/>
              </w:rPr>
              <w:t>Net unrealized depreciation on credit facility</w:t>
            </w:r>
          </w:p>
        </w:tc>
        <w:tc>
          <w:tcPr>
            <w:tcW w:w="180" w:type="dxa"/>
            <w:vAlign w:val="bottom"/>
            <w:tcBorders>
              <w:bottom w:val="single" w:sz="8" w:color="auto"/>
            </w:tcBorders>
            <w:shd w:val="clear" w:color="auto" w:fill="CCECFF"/>
          </w:tcPr>
          <w:p>
            <w:pPr>
              <w:spacing w:after="0"/>
              <w:rPr>
                <w:sz w:val="23"/>
                <w:szCs w:val="23"/>
                <w:color w:val="auto"/>
              </w:rPr>
            </w:pP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2,107,875</w:t>
            </w:r>
          </w:p>
        </w:tc>
        <w:tc>
          <w:tcPr>
            <w:tcW w:w="420" w:type="dxa"/>
            <w:vAlign w:val="bottom"/>
            <w:shd w:val="clear" w:color="auto" w:fill="CCECFF"/>
          </w:tcPr>
          <w:p>
            <w:pPr>
              <w:spacing w:after="0"/>
              <w:rPr>
                <w:sz w:val="23"/>
                <w:szCs w:val="23"/>
                <w:color w:val="auto"/>
              </w:rPr>
            </w:pPr>
          </w:p>
        </w:tc>
        <w:tc>
          <w:tcPr>
            <w:tcW w:w="200" w:type="dxa"/>
            <w:vAlign w:val="bottom"/>
            <w:tcBorders>
              <w:bottom w:val="single" w:sz="8" w:color="auto"/>
            </w:tcBorders>
            <w:shd w:val="clear" w:color="auto" w:fill="CCECFF"/>
          </w:tcPr>
          <w:p>
            <w:pPr>
              <w:spacing w:after="0"/>
              <w:rPr>
                <w:sz w:val="23"/>
                <w:szCs w:val="23"/>
                <w:color w:val="auto"/>
              </w:rPr>
            </w:pPr>
          </w:p>
        </w:tc>
        <w:tc>
          <w:tcPr>
            <w:tcW w:w="126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13,958,875</w:t>
            </w:r>
          </w:p>
        </w:tc>
        <w:tc>
          <w:tcPr>
            <w:tcW w:w="120" w:type="dxa"/>
            <w:vAlign w:val="bottom"/>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240" w:type="dxa"/>
            <w:vAlign w:val="bottom"/>
            <w:tcBorders>
              <w:bottom w:val="single" w:sz="8" w:color="CCECFF"/>
            </w:tcBorders>
          </w:tcPr>
          <w:p>
            <w:pPr>
              <w:ind w:left="400"/>
              <w:spacing w:after="0"/>
              <w:rPr>
                <w:sz w:val="20"/>
                <w:szCs w:val="20"/>
                <w:color w:val="auto"/>
              </w:rPr>
            </w:pPr>
            <w:r>
              <w:rPr>
                <w:rFonts w:ascii="Arial" w:cs="Arial" w:eastAsia="Arial" w:hAnsi="Arial"/>
                <w:sz w:val="14"/>
                <w:szCs w:val="14"/>
                <w:b w:val="1"/>
                <w:bCs w:val="1"/>
                <w:color w:val="auto"/>
              </w:rPr>
              <w:t>Total net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462,657,196</w:t>
            </w:r>
          </w:p>
        </w:tc>
        <w:tc>
          <w:tcPr>
            <w:tcW w:w="420" w:type="dxa"/>
            <w:vAlign w:val="bottom"/>
            <w:tcBorders>
              <w:bottom w:val="single" w:sz="8" w:color="CCEC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386,575,223</w:t>
            </w:r>
          </w:p>
        </w:tc>
        <w:tc>
          <w:tcPr>
            <w:tcW w:w="120" w:type="dxa"/>
            <w:vAlign w:val="bottom"/>
            <w:tcBorders>
              <w:bottom w:val="single" w:sz="8" w:color="CCEC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240" w:type="dxa"/>
            <w:vAlign w:val="bottom"/>
            <w:tcBorders>
              <w:bottom w:val="single" w:sz="8" w:color="CCECFF"/>
            </w:tcBorders>
            <w:shd w:val="clear" w:color="auto" w:fill="CCECFF"/>
          </w:tcPr>
          <w:p>
            <w:pPr>
              <w:ind w:left="400"/>
              <w:spacing w:after="0"/>
              <w:rPr>
                <w:sz w:val="20"/>
                <w:szCs w:val="20"/>
                <w:color w:val="auto"/>
              </w:rPr>
            </w:pPr>
            <w:r>
              <w:rPr>
                <w:rFonts w:ascii="Arial" w:cs="Arial" w:eastAsia="Arial" w:hAnsi="Arial"/>
                <w:sz w:val="14"/>
                <w:szCs w:val="14"/>
                <w:b w:val="1"/>
                <w:bCs w:val="1"/>
                <w:color w:val="auto"/>
              </w:rPr>
              <w:t>Total liabilities and net assets</w:t>
            </w:r>
          </w:p>
        </w:tc>
        <w:tc>
          <w:tcPr>
            <w:tcW w:w="180" w:type="dxa"/>
            <w:vAlign w:val="bottom"/>
            <w:tcBorders>
              <w:bottom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928,738,214</w:t>
            </w:r>
          </w:p>
        </w:tc>
        <w:tc>
          <w:tcPr>
            <w:tcW w:w="42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711,493,846</w:t>
            </w:r>
          </w:p>
        </w:tc>
        <w:tc>
          <w:tcPr>
            <w:tcW w:w="12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Pr>
          <w:p>
            <w:pPr>
              <w:ind w:left="40"/>
              <w:spacing w:after="0"/>
              <w:rPr>
                <w:sz w:val="20"/>
                <w:szCs w:val="20"/>
                <w:color w:val="auto"/>
              </w:rPr>
            </w:pPr>
            <w:r>
              <w:rPr>
                <w:rFonts w:ascii="Arial" w:cs="Arial" w:eastAsia="Arial" w:hAnsi="Arial"/>
                <w:sz w:val="14"/>
                <w:szCs w:val="14"/>
                <w:b w:val="1"/>
                <w:bCs w:val="1"/>
                <w:color w:val="auto"/>
              </w:rPr>
              <w:t>Net asset value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10.13</w:t>
            </w:r>
          </w:p>
        </w:tc>
        <w:tc>
          <w:tcPr>
            <w:tcW w:w="4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40"/>
          </w:cols>
          <w:pgMar w:left="320" w:top="1089" w:right="9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1"/>
                <w:szCs w:val="11"/>
                <w:b w:val="1"/>
                <w:bCs w:val="1"/>
                <w:color w:val="auto"/>
              </w:rPr>
              <w:t>Year Ended September 30,</w:t>
            </w:r>
          </w:p>
        </w:tc>
        <w:tc>
          <w:tcPr>
            <w:tcW w:w="9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r>
      <w:tr>
        <w:trPr>
          <w:trHeight w:val="241"/>
        </w:trPr>
        <w:tc>
          <w:tcPr>
            <w:tcW w:w="77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49"/>
              <w:spacing w:after="0"/>
              <w:rPr>
                <w:sz w:val="20"/>
                <w:szCs w:val="20"/>
                <w:color w:val="auto"/>
              </w:rPr>
            </w:pPr>
            <w:r>
              <w:rPr>
                <w:rFonts w:ascii="Arial" w:cs="Arial" w:eastAsia="Arial" w:hAnsi="Arial"/>
                <w:sz w:val="11"/>
                <w:szCs w:val="11"/>
                <w:b w:val="1"/>
                <w:bCs w:val="1"/>
                <w:color w:val="auto"/>
              </w:rPr>
              <w:t>2011</w:t>
            </w:r>
          </w:p>
        </w:tc>
        <w:tc>
          <w:tcPr>
            <w:tcW w:w="3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9"/>
              <w:spacing w:after="0"/>
              <w:rPr>
                <w:sz w:val="20"/>
                <w:szCs w:val="20"/>
                <w:color w:val="auto"/>
              </w:rPr>
            </w:pPr>
            <w:r>
              <w:rPr>
                <w:rFonts w:ascii="Arial" w:cs="Arial" w:eastAsia="Arial" w:hAnsi="Arial"/>
                <w:sz w:val="11"/>
                <w:szCs w:val="11"/>
                <w:b w:val="1"/>
                <w:bCs w:val="1"/>
                <w:color w:val="auto"/>
              </w:rPr>
              <w:t>2010</w:t>
            </w:r>
          </w:p>
        </w:tc>
        <w:tc>
          <w:tcPr>
            <w:tcW w:w="220" w:type="dxa"/>
            <w:vAlign w:val="bottom"/>
          </w:tcPr>
          <w:p>
            <w:pPr>
              <w:spacing w:after="0"/>
              <w:rPr>
                <w:sz w:val="21"/>
                <w:szCs w:val="21"/>
                <w:color w:val="auto"/>
              </w:rPr>
            </w:pPr>
          </w:p>
        </w:tc>
      </w:tr>
      <w:tr>
        <w:trPr>
          <w:trHeight w:val="22"/>
        </w:trPr>
        <w:tc>
          <w:tcPr>
            <w:tcW w:w="7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63"/>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income:</w:t>
            </w: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From non-controlled, non-affiliated investments:</w:t>
            </w: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83,632,455</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57,467,862</w:t>
            </w: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Pr>
          <w:p>
            <w:pPr>
              <w:ind w:left="220"/>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22"/>
                <w:szCs w:val="22"/>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4,726,387</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1,069,514</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From non-controlled, affiliated investments:</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Pr>
          <w:p>
            <w:pPr>
              <w:ind w:left="220"/>
              <w:spacing w:after="0"/>
              <w:rPr>
                <w:sz w:val="20"/>
                <w:szCs w:val="20"/>
                <w:color w:val="auto"/>
              </w:rPr>
            </w:pPr>
            <w:r>
              <w:rPr>
                <w:rFonts w:ascii="Arial" w:cs="Arial" w:eastAsia="Arial" w:hAnsi="Arial"/>
                <w:sz w:val="14"/>
                <w:szCs w:val="14"/>
                <w:color w:val="auto"/>
              </w:rPr>
              <w:t>Interest</w:t>
            </w:r>
          </w:p>
        </w:tc>
        <w:tc>
          <w:tcPr>
            <w:tcW w:w="420" w:type="dxa"/>
            <w:vAlign w:val="bottom"/>
          </w:tcPr>
          <w:p>
            <w:pPr>
              <w:spacing w:after="0"/>
              <w:rPr>
                <w:sz w:val="22"/>
                <w:szCs w:val="22"/>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2,217,320</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1,392,381</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From controlled, affiliated investments:</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1,162,333</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210,000</w:t>
            </w:r>
          </w:p>
        </w:tc>
        <w:tc>
          <w:tcPr>
            <w:tcW w:w="220" w:type="dxa"/>
            <w:vAlign w:val="bottom"/>
            <w:tcBorders>
              <w:bottom w:val="single" w:sz="8" w:color="CCEEFF"/>
            </w:tcBorders>
          </w:tcPr>
          <w:p>
            <w:pPr>
              <w:spacing w:after="0"/>
              <w:rPr>
                <w:sz w:val="22"/>
                <w:szCs w:val="22"/>
                <w:color w:val="auto"/>
              </w:rPr>
            </w:pPr>
          </w:p>
        </w:tc>
      </w:tr>
      <w:tr>
        <w:trPr>
          <w:trHeight w:val="263"/>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investment income</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91,738,495</w:t>
            </w:r>
          </w:p>
        </w:tc>
        <w:tc>
          <w:tcPr>
            <w:tcW w:w="3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60,139,757</w:t>
            </w:r>
          </w:p>
        </w:tc>
        <w:tc>
          <w:tcPr>
            <w:tcW w:w="220" w:type="dxa"/>
            <w:vAlign w:val="bottom"/>
            <w:shd w:val="clear" w:color="auto" w:fill="CCEEFF"/>
          </w:tcPr>
          <w:p>
            <w:pPr>
              <w:spacing w:after="0"/>
              <w:rPr>
                <w:sz w:val="22"/>
                <w:szCs w:val="22"/>
                <w:color w:val="auto"/>
              </w:rPr>
            </w:pPr>
          </w:p>
        </w:tc>
      </w:tr>
      <w:tr>
        <w:trPr>
          <w:trHeight w:val="270"/>
        </w:trPr>
        <w:tc>
          <w:tcPr>
            <w:tcW w:w="7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4"/>
        </w:trPr>
        <w:tc>
          <w:tcPr>
            <w:tcW w:w="7780" w:type="dxa"/>
            <w:vAlign w:val="bottom"/>
          </w:tcPr>
          <w:p>
            <w:pPr>
              <w:ind w:left="220"/>
              <w:spacing w:after="0"/>
              <w:rPr>
                <w:sz w:val="20"/>
                <w:szCs w:val="20"/>
                <w:color w:val="auto"/>
              </w:rPr>
            </w:pPr>
            <w:r>
              <w:rPr>
                <w:rFonts w:ascii="Arial" w:cs="Arial" w:eastAsia="Arial" w:hAnsi="Arial"/>
                <w:sz w:val="14"/>
                <w:szCs w:val="14"/>
                <w:color w:val="auto"/>
              </w:rPr>
              <w:t>Base management fee</w:t>
            </w:r>
          </w:p>
        </w:tc>
        <w:tc>
          <w:tcPr>
            <w:tcW w:w="420" w:type="dxa"/>
            <w:vAlign w:val="bottom"/>
          </w:tcPr>
          <w:p>
            <w:pPr>
              <w:spacing w:after="0"/>
              <w:rPr>
                <w:sz w:val="22"/>
                <w:szCs w:val="22"/>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14,899,983</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11,618,773</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Performance-based incentive fee</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13,161,597</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8,018,309</w:t>
            </w: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Pr>
          <w:p>
            <w:pPr>
              <w:ind w:left="220"/>
              <w:spacing w:after="0"/>
              <w:rPr>
                <w:sz w:val="20"/>
                <w:szCs w:val="20"/>
                <w:color w:val="auto"/>
              </w:rPr>
            </w:pPr>
            <w:r>
              <w:rPr>
                <w:rFonts w:ascii="Arial" w:cs="Arial" w:eastAsia="Arial" w:hAnsi="Arial"/>
                <w:sz w:val="14"/>
                <w:szCs w:val="14"/>
                <w:color w:val="auto"/>
              </w:rPr>
              <w:t>Interest and expenses on the credit facility and SBA debentures</w:t>
            </w:r>
          </w:p>
        </w:tc>
        <w:tc>
          <w:tcPr>
            <w:tcW w:w="420" w:type="dxa"/>
            <w:vAlign w:val="bottom"/>
          </w:tcPr>
          <w:p>
            <w:pPr>
              <w:spacing w:after="0"/>
              <w:rPr>
                <w:sz w:val="22"/>
                <w:szCs w:val="22"/>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5,322,231</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3,672,444</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Administrative services expenses</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2,596,756</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2,328,210</w:t>
            </w: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general and administrative expenses</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2,884,029</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2,329,110</w:t>
            </w:r>
          </w:p>
        </w:tc>
        <w:tc>
          <w:tcPr>
            <w:tcW w:w="220" w:type="dxa"/>
            <w:vAlign w:val="bottom"/>
            <w:tcBorders>
              <w:bottom w:val="single" w:sz="8" w:color="CCEEFF"/>
            </w:tcBorders>
          </w:tcPr>
          <w:p>
            <w:pPr>
              <w:spacing w:after="0"/>
              <w:rPr>
                <w:sz w:val="22"/>
                <w:szCs w:val="22"/>
                <w:color w:val="auto"/>
              </w:rPr>
            </w:pPr>
          </w:p>
        </w:tc>
      </w:tr>
      <w:tr>
        <w:trPr>
          <w:trHeight w:val="269"/>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Expenses before income tax</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38,864,596</w:t>
            </w: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27,966,846</w:t>
            </w:r>
          </w:p>
        </w:tc>
        <w:tc>
          <w:tcPr>
            <w:tcW w:w="220" w:type="dxa"/>
            <w:vAlign w:val="bottom"/>
            <w:shd w:val="clear" w:color="auto" w:fill="CCEEFF"/>
          </w:tcPr>
          <w:p>
            <w:pPr>
              <w:spacing w:after="0"/>
              <w:rPr>
                <w:sz w:val="23"/>
                <w:szCs w:val="23"/>
                <w:color w:val="auto"/>
              </w:rPr>
            </w:pPr>
          </w:p>
        </w:tc>
      </w:tr>
      <w:tr>
        <w:trPr>
          <w:trHeight w:val="264"/>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228,824</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98,294</w:t>
            </w:r>
          </w:p>
        </w:tc>
        <w:tc>
          <w:tcPr>
            <w:tcW w:w="220" w:type="dxa"/>
            <w:vAlign w:val="bottom"/>
            <w:tcBorders>
              <w:bottom w:val="single" w:sz="8" w:color="CCEEFF"/>
            </w:tcBorders>
          </w:tcPr>
          <w:p>
            <w:pPr>
              <w:spacing w:after="0"/>
              <w:rPr>
                <w:sz w:val="22"/>
                <w:szCs w:val="22"/>
                <w:color w:val="auto"/>
              </w:rPr>
            </w:pPr>
          </w:p>
        </w:tc>
      </w:tr>
      <w:tr>
        <w:trPr>
          <w:trHeight w:val="270"/>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39,093,420</w:t>
            </w:r>
          </w:p>
        </w:tc>
        <w:tc>
          <w:tcPr>
            <w:tcW w:w="3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28,065,140</w:t>
            </w:r>
          </w:p>
        </w:tc>
        <w:tc>
          <w:tcPr>
            <w:tcW w:w="220" w:type="dxa"/>
            <w:vAlign w:val="bottom"/>
            <w:shd w:val="clear" w:color="auto" w:fill="CCEEFF"/>
          </w:tcPr>
          <w:p>
            <w:pPr>
              <w:spacing w:after="0"/>
              <w:rPr>
                <w:sz w:val="23"/>
                <w:szCs w:val="23"/>
                <w:color w:val="auto"/>
              </w:rPr>
            </w:pPr>
          </w:p>
        </w:tc>
      </w:tr>
      <w:tr>
        <w:trPr>
          <w:trHeight w:val="257"/>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Net investment income</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52,645,075</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32,074,617</w:t>
            </w:r>
          </w:p>
        </w:tc>
        <w:tc>
          <w:tcPr>
            <w:tcW w:w="220" w:type="dxa"/>
            <w:vAlign w:val="bottom"/>
            <w:tcBorders>
              <w:bottom w:val="single" w:sz="8" w:color="CCEEFF"/>
            </w:tcBorders>
          </w:tcPr>
          <w:p>
            <w:pPr>
              <w:spacing w:after="0"/>
              <w:rPr>
                <w:sz w:val="22"/>
                <w:szCs w:val="22"/>
                <w:color w:val="auto"/>
              </w:rPr>
            </w:pPr>
          </w:p>
        </w:tc>
      </w:tr>
      <w:tr>
        <w:trPr>
          <w:trHeight w:val="270"/>
        </w:trPr>
        <w:tc>
          <w:tcPr>
            <w:tcW w:w="77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realized gain (loss) on non-controlled, non-affiliated investments</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16,259,622</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(15,417,097)</w:t>
            </w: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change in unrealized appreciation (depreciation) on:</w:t>
            </w: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Non-controlled, non-affiliated investments</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(45,350,345)</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36,275,341</w:t>
            </w:r>
          </w:p>
        </w:tc>
        <w:tc>
          <w:tcPr>
            <w:tcW w:w="220" w:type="dxa"/>
            <w:vAlign w:val="bottom"/>
            <w:shd w:val="clear" w:color="auto" w:fill="CCEEFF"/>
          </w:tcPr>
          <w:p>
            <w:pPr>
              <w:spacing w:after="0"/>
              <w:rPr>
                <w:sz w:val="24"/>
                <w:szCs w:val="24"/>
                <w:color w:val="auto"/>
              </w:rPr>
            </w:pPr>
          </w:p>
        </w:tc>
      </w:tr>
      <w:tr>
        <w:trPr>
          <w:trHeight w:val="264"/>
        </w:trPr>
        <w:tc>
          <w:tcPr>
            <w:tcW w:w="7780" w:type="dxa"/>
            <w:vAlign w:val="bottom"/>
          </w:tcPr>
          <w:p>
            <w:pPr>
              <w:ind w:left="220"/>
              <w:spacing w:after="0"/>
              <w:rPr>
                <w:sz w:val="20"/>
                <w:szCs w:val="20"/>
                <w:color w:val="auto"/>
              </w:rPr>
            </w:pPr>
            <w:r>
              <w:rPr>
                <w:rFonts w:ascii="Arial" w:cs="Arial" w:eastAsia="Arial" w:hAnsi="Arial"/>
                <w:sz w:val="14"/>
                <w:szCs w:val="14"/>
                <w:color w:val="auto"/>
              </w:rPr>
              <w:t>Non-controlled and controlled, affiliated investments</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(1,439,878)</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(731,625)</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Credit facility (appreciation) depreciation</w:t>
            </w:r>
          </w:p>
        </w:tc>
        <w:tc>
          <w:tcPr>
            <w:tcW w:w="4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(11,851,000)</w:t>
            </w:r>
          </w:p>
        </w:tc>
        <w:tc>
          <w:tcPr>
            <w:tcW w:w="3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(35,665,745)</w:t>
            </w:r>
          </w:p>
        </w:tc>
        <w:tc>
          <w:tcPr>
            <w:tcW w:w="220" w:type="dxa"/>
            <w:vAlign w:val="bottom"/>
            <w:shd w:val="clear" w:color="auto" w:fill="CCEEFF"/>
          </w:tcPr>
          <w:p>
            <w:pPr>
              <w:spacing w:after="0"/>
              <w:rPr>
                <w:sz w:val="24"/>
                <w:szCs w:val="24"/>
                <w:color w:val="auto"/>
              </w:rPr>
            </w:pPr>
          </w:p>
        </w:tc>
      </w:tr>
      <w:tr>
        <w:trPr>
          <w:trHeight w:val="258"/>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Net change in unrealized (depreciation) appreciation</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(58,641,223)</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(122,029)</w:t>
            </w:r>
          </w:p>
        </w:tc>
        <w:tc>
          <w:tcPr>
            <w:tcW w:w="220" w:type="dxa"/>
            <w:vAlign w:val="bottom"/>
            <w:tcBorders>
              <w:bottom w:val="single" w:sz="8" w:color="CCEEFF"/>
            </w:tcBorders>
          </w:tcPr>
          <w:p>
            <w:pPr>
              <w:spacing w:after="0"/>
              <w:rPr>
                <w:sz w:val="22"/>
                <w:szCs w:val="22"/>
                <w:color w:val="auto"/>
              </w:rPr>
            </w:pPr>
          </w:p>
        </w:tc>
      </w:tr>
      <w:tr>
        <w:trPr>
          <w:trHeight w:val="270"/>
        </w:trPr>
        <w:tc>
          <w:tcPr>
            <w:tcW w:w="77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(42,381,601)</w:t>
            </w:r>
          </w:p>
        </w:tc>
        <w:tc>
          <w:tcPr>
            <w:tcW w:w="3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(15,539,126)</w:t>
            </w:r>
          </w:p>
        </w:tc>
        <w:tc>
          <w:tcPr>
            <w:tcW w:w="220" w:type="dxa"/>
            <w:vAlign w:val="bottom"/>
            <w:tcBorders>
              <w:bottom w:val="single" w:sz="8" w:color="CCEEFF"/>
            </w:tcBorders>
          </w:tcPr>
          <w:p>
            <w:pPr>
              <w:spacing w:after="0"/>
              <w:rPr>
                <w:sz w:val="22"/>
                <w:szCs w:val="22"/>
                <w:color w:val="auto"/>
              </w:rPr>
            </w:pPr>
          </w:p>
        </w:tc>
      </w:tr>
      <w:tr>
        <w:trPr>
          <w:trHeight w:val="269"/>
        </w:trPr>
        <w:tc>
          <w:tcPr>
            <w:tcW w:w="77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96"/>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10,263,474</w:t>
            </w:r>
          </w:p>
        </w:tc>
        <w:tc>
          <w:tcPr>
            <w:tcW w:w="3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16,535,491</w:t>
            </w:r>
          </w:p>
        </w:tc>
        <w:tc>
          <w:tcPr>
            <w:tcW w:w="220" w:type="dxa"/>
            <w:vAlign w:val="bottom"/>
            <w:tcBorders>
              <w:bottom w:val="single" w:sz="8" w:color="CCEEFF"/>
            </w:tcBorders>
          </w:tcPr>
          <w:p>
            <w:pPr>
              <w:spacing w:after="0"/>
              <w:rPr>
                <w:sz w:val="24"/>
                <w:szCs w:val="24"/>
                <w:color w:val="auto"/>
              </w:rPr>
            </w:pPr>
          </w:p>
        </w:tc>
      </w:tr>
      <w:tr>
        <w:trPr>
          <w:trHeight w:val="251"/>
        </w:trPr>
        <w:tc>
          <w:tcPr>
            <w:tcW w:w="7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in net assets resulting from operations per common share</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0.24</w:t>
            </w:r>
          </w:p>
        </w:tc>
        <w:tc>
          <w:tcPr>
            <w:tcW w:w="34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0.56</w:t>
            </w:r>
          </w:p>
        </w:tc>
        <w:tc>
          <w:tcPr>
            <w:tcW w:w="220" w:type="dxa"/>
            <w:vAlign w:val="bottom"/>
          </w:tcPr>
          <w:p>
            <w:pPr>
              <w:spacing w:after="0"/>
              <w:rPr>
                <w:sz w:val="22"/>
                <w:szCs w:val="22"/>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investment income per common share</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1"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Aviv Efrat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PennantPark Investment Corporation</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Reception: (212) 905-1000</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www.pennantpark.com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2020-05-05T15:16:59Z</dcterms:created>
  <dcterms:modified xsi:type="dcterms:W3CDTF">2020-05-05T15:16:59Z</dcterms:modified>
</cp:coreProperties>
</file>