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396"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Date of Report: August 3, 2011</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6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8"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Maryland</w:t>
            </w: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814-00736</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20-8250744</w:t>
            </w:r>
          </w:p>
        </w:tc>
      </w:tr>
      <w:tr>
        <w:trPr>
          <w:trHeight w:val="216"/>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19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1"/>
              </w:rPr>
              <w:t>Number)</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4"/>
              </w:rPr>
              <w:t>Identification Number)</w:t>
            </w:r>
          </w:p>
        </w:tc>
      </w:tr>
      <w:tr>
        <w:trPr>
          <w:trHeight w:val="805"/>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590 Madison Avenue, 15th Floor, New</w:t>
            </w: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York, NY</w:t>
            </w:r>
          </w:p>
        </w:tc>
        <w:tc>
          <w:tcPr>
            <w:tcW w:w="198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r>
        <w:trPr>
          <w:trHeight w:val="621"/>
        </w:trPr>
        <w:tc>
          <w:tcPr>
            <w:tcW w:w="3060" w:type="dxa"/>
            <w:vAlign w:val="bottom"/>
          </w:tcPr>
          <w:p>
            <w:pPr>
              <w:spacing w:after="0"/>
              <w:rPr>
                <w:sz w:val="24"/>
                <w:szCs w:val="24"/>
                <w:color w:val="auto"/>
              </w:rPr>
            </w:pP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212-905-1000</w:t>
            </w:r>
          </w:p>
        </w:tc>
        <w:tc>
          <w:tcPr>
            <w:tcW w:w="2180" w:type="dxa"/>
            <w:vAlign w:val="bottom"/>
          </w:tcPr>
          <w:p>
            <w:pPr>
              <w:spacing w:after="0"/>
              <w:rPr>
                <w:sz w:val="24"/>
                <w:szCs w:val="24"/>
                <w:color w:val="auto"/>
              </w:rPr>
            </w:pPr>
          </w:p>
        </w:tc>
      </w:tr>
    </w:tbl>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98"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54"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560"/>
          </w:cols>
          <w:pgMar w:left="320" w:top="1066" w:right="10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5" w:right="240"/>
        <w:spacing w:after="0" w:line="308" w:lineRule="auto"/>
        <w:rPr>
          <w:sz w:val="20"/>
          <w:szCs w:val="20"/>
          <w:color w:val="auto"/>
        </w:rPr>
      </w:pPr>
      <w:r>
        <w:rPr>
          <w:rFonts w:ascii="Arial" w:cs="Arial" w:eastAsia="Arial" w:hAnsi="Arial"/>
          <w:sz w:val="17"/>
          <w:szCs w:val="17"/>
          <w:color w:val="auto"/>
        </w:rPr>
        <w:t>On August 3, 2011, PennantPark Investment Corporation issued a press release announcing its financial results for the quarter ended June 30, 2011. A copy of the press release is furnished as exhibit 99.1 to this report pursuant to Item 2.02 on Form 8-K and Regulation FD.</w:t>
      </w:r>
    </w:p>
    <w:p>
      <w:pPr>
        <w:spacing w:after="0" w:line="146" w:lineRule="exact"/>
        <w:rPr>
          <w:sz w:val="20"/>
          <w:szCs w:val="20"/>
          <w:color w:val="auto"/>
        </w:rPr>
      </w:pPr>
    </w:p>
    <w:p>
      <w:pPr>
        <w:ind w:left="5"/>
        <w:spacing w:after="0" w:line="259"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report on Form 8-K shall not be deemed incorporated by reference in any filling under the Securities Exchange Act of 1933, as amended, or the Exchange Act, except as shall be expressly set forth by specific reference in such filing.</w:t>
      </w:r>
    </w:p>
    <w:p>
      <w:pPr>
        <w:spacing w:after="0" w:line="39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585" w:right="9140" w:hanging="585"/>
        <w:spacing w:after="0" w:line="293" w:lineRule="auto"/>
        <w:tabs>
          <w:tab w:leader="none" w:pos="2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85" w:right="8240" w:hanging="585"/>
        <w:spacing w:after="0" w:line="250" w:lineRule="auto"/>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85" w:right="8640" w:hanging="585"/>
        <w:spacing w:after="0" w:line="250" w:lineRule="auto"/>
        <w:tabs>
          <w:tab w:leader="none" w:pos="24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65" w:hanging="265"/>
        <w:spacing w:after="0"/>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85"/>
        <w:spacing w:after="0"/>
        <w:tabs>
          <w:tab w:leader="none" w:pos="1145"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Investment Corporation dated August 3,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24"/>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5" w:right="7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25"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5100" w:type="dxa"/>
            <w:vAlign w:val="bottom"/>
            <w:gridSpan w:val="3"/>
          </w:tcPr>
          <w:p>
            <w:pPr>
              <w:ind w:left="108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392"/>
        </w:trPr>
        <w:tc>
          <w:tcPr>
            <w:tcW w:w="2700" w:type="dxa"/>
            <w:vAlign w:val="bottom"/>
          </w:tcPr>
          <w:p>
            <w:pPr>
              <w:spacing w:after="0"/>
              <w:rPr>
                <w:sz w:val="20"/>
                <w:szCs w:val="20"/>
                <w:color w:val="auto"/>
              </w:rPr>
            </w:pPr>
            <w:r>
              <w:rPr>
                <w:rFonts w:ascii="Arial" w:cs="Arial" w:eastAsia="Arial" w:hAnsi="Arial"/>
                <w:sz w:val="18"/>
                <w:szCs w:val="18"/>
                <w:color w:val="auto"/>
              </w:rPr>
              <w:t>Dated: August 3, 2011</w:t>
            </w:r>
          </w:p>
        </w:tc>
        <w:tc>
          <w:tcPr>
            <w:tcW w:w="5100" w:type="dxa"/>
            <w:vAlign w:val="bottom"/>
            <w:gridSpan w:val="3"/>
          </w:tcPr>
          <w:p>
            <w:pPr>
              <w:ind w:left="1080"/>
              <w:spacing w:after="0"/>
              <w:rPr>
                <w:sz w:val="20"/>
                <w:szCs w:val="20"/>
                <w:color w:val="auto"/>
              </w:rPr>
            </w:pPr>
            <w:r>
              <w:rPr>
                <w:rFonts w:ascii="Arial" w:cs="Arial" w:eastAsia="Arial" w:hAnsi="Arial"/>
                <w:sz w:val="18"/>
                <w:szCs w:val="18"/>
                <w:color w:val="auto"/>
              </w:rPr>
              <w:t>By: /s/ Aviv Efrat</w:t>
            </w:r>
          </w:p>
        </w:tc>
      </w:tr>
      <w:tr>
        <w:trPr>
          <w:trHeight w:val="20"/>
        </w:trPr>
        <w:tc>
          <w:tcPr>
            <w:tcW w:w="2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700" w:type="dxa"/>
            <w:vAlign w:val="bottom"/>
          </w:tcPr>
          <w:p>
            <w:pPr>
              <w:spacing w:after="0"/>
              <w:rPr>
                <w:sz w:val="19"/>
                <w:szCs w:val="19"/>
                <w:color w:val="auto"/>
              </w:rPr>
            </w:pPr>
          </w:p>
        </w:tc>
        <w:tc>
          <w:tcPr>
            <w:tcW w:w="5100" w:type="dxa"/>
            <w:vAlign w:val="bottom"/>
            <w:gridSpan w:val="3"/>
          </w:tcPr>
          <w:p>
            <w:pPr>
              <w:ind w:left="1340"/>
              <w:spacing w:after="0"/>
              <w:rPr>
                <w:sz w:val="20"/>
                <w:szCs w:val="20"/>
                <w:color w:val="auto"/>
              </w:rPr>
            </w:pPr>
            <w:r>
              <w:rPr>
                <w:rFonts w:ascii="Arial" w:cs="Arial" w:eastAsia="Arial" w:hAnsi="Arial"/>
                <w:sz w:val="18"/>
                <w:szCs w:val="18"/>
                <w:color w:val="auto"/>
              </w:rPr>
              <w:t>Aviv Efrat</w:t>
            </w:r>
          </w:p>
        </w:tc>
      </w:tr>
      <w:tr>
        <w:trPr>
          <w:trHeight w:val="230"/>
        </w:trPr>
        <w:tc>
          <w:tcPr>
            <w:tcW w:w="2700" w:type="dxa"/>
            <w:vAlign w:val="bottom"/>
          </w:tcPr>
          <w:p>
            <w:pPr>
              <w:spacing w:after="0"/>
              <w:rPr>
                <w:sz w:val="20"/>
                <w:szCs w:val="20"/>
                <w:color w:val="auto"/>
              </w:rPr>
            </w:pPr>
          </w:p>
        </w:tc>
        <w:tc>
          <w:tcPr>
            <w:tcW w:w="5100" w:type="dxa"/>
            <w:vAlign w:val="bottom"/>
            <w:gridSpan w:val="3"/>
          </w:tcPr>
          <w:p>
            <w:pPr>
              <w:ind w:left="134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345"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34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47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99.1</w:t>
            </w:r>
          </w:p>
        </w:tc>
        <w:tc>
          <w:tcPr>
            <w:tcW w:w="7340" w:type="dxa"/>
            <w:vAlign w:val="bottom"/>
            <w:gridSpan w:val="3"/>
          </w:tcPr>
          <w:p>
            <w:pPr>
              <w:jc w:val="center"/>
              <w:ind w:left="2910"/>
              <w:spacing w:after="0"/>
              <w:rPr>
                <w:sz w:val="20"/>
                <w:szCs w:val="20"/>
                <w:color w:val="auto"/>
              </w:rPr>
            </w:pPr>
            <w:r>
              <w:rPr>
                <w:rFonts w:ascii="Arial" w:cs="Arial" w:eastAsia="Arial" w:hAnsi="Arial"/>
                <w:sz w:val="18"/>
                <w:szCs w:val="18"/>
                <w:color w:val="auto"/>
                <w:w w:val="88"/>
              </w:rPr>
              <w:t>Press Release of PennantPark Investment Corporation dated</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7340" w:type="dxa"/>
            <w:vAlign w:val="bottom"/>
            <w:gridSpan w:val="3"/>
            <w:vMerge w:val="restart"/>
          </w:tcPr>
          <w:p>
            <w:pPr>
              <w:jc w:val="center"/>
              <w:ind w:left="2910"/>
              <w:spacing w:after="0"/>
              <w:rPr>
                <w:sz w:val="20"/>
                <w:szCs w:val="20"/>
                <w:color w:val="auto"/>
              </w:rPr>
            </w:pPr>
            <w:r>
              <w:rPr>
                <w:rFonts w:ascii="Arial" w:cs="Arial" w:eastAsia="Arial" w:hAnsi="Arial"/>
                <w:sz w:val="18"/>
                <w:szCs w:val="18"/>
                <w:color w:val="auto"/>
                <w:w w:val="90"/>
              </w:rPr>
              <w:t>August 3, 2011</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5"/>
          </w:cols>
          <w:pgMar w:left="355" w:top="1440" w:right="499" w:bottom="1440" w:gutter="0" w:footer="0" w:header="0"/>
        </w:sectPr>
      </w:pPr>
    </w:p>
    <w:bookmarkStart w:id="2" w:name="page3"/>
    <w:bookmarkEnd w:id="2"/>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61988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PennantPark Investment Corporation Announces Financial Results for the Quarter Ended June 30, 2011</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NY - (Marketwire - August 3, 2011) - PennantPark Investment Corporation (NASDAQ: PNNT) or “we,” “our,” “us” or “Company” today announces financial results for its third fiscal quarter ended June 30,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Quarter Ended June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40" w:type="dxa"/>
            <w:vAlign w:val="bottom"/>
            <w:shd w:val="clear" w:color="auto" w:fill="CCECFF"/>
          </w:tcPr>
          <w:p>
            <w:pPr>
              <w:ind w:left="40"/>
              <w:spacing w:after="0"/>
              <w:rPr>
                <w:sz w:val="20"/>
                <w:szCs w:val="20"/>
                <w:color w:val="auto"/>
              </w:rPr>
            </w:pPr>
            <w:r>
              <w:rPr>
                <w:rFonts w:ascii="Arial" w:cs="Arial" w:eastAsia="Arial" w:hAnsi="Arial"/>
                <w:sz w:val="18"/>
                <w:szCs w:val="18"/>
                <w:color w:val="auto"/>
              </w:rPr>
              <w:t>Assets and Liabilities:</w:t>
            </w:r>
          </w:p>
        </w:tc>
        <w:tc>
          <w:tcPr>
            <w:tcW w:w="120" w:type="dxa"/>
            <w:vAlign w:val="bottom"/>
            <w:shd w:val="clear" w:color="auto" w:fill="CCEC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Investment portfolio</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778.9</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04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Net assets</w:t>
            </w:r>
          </w:p>
        </w:tc>
        <w:tc>
          <w:tcPr>
            <w:tcW w:w="540" w:type="dxa"/>
            <w:vAlign w:val="bottom"/>
            <w:tcBorders>
              <w:bottom w:val="single" w:sz="8" w:color="CCECFF"/>
            </w:tcBorders>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8"/>
              </w:rPr>
              <w:t>504.9</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Net asset value per share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11.08</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78"/>
        </w:trPr>
        <w:tc>
          <w:tcPr>
            <w:tcW w:w="304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304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Credit facility (cost $157.7)</w:t>
            </w:r>
          </w:p>
        </w:tc>
        <w:tc>
          <w:tcPr>
            <w:tcW w:w="540" w:type="dxa"/>
            <w:vAlign w:val="bottom"/>
            <w:tcBorders>
              <w:bottom w:val="single" w:sz="8" w:color="CCECFF"/>
            </w:tcBorders>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w w:val="93"/>
              </w:rPr>
              <w:t>155.6</w:t>
            </w: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SBA debentures</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7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304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w w:val="93"/>
              </w:rPr>
              <w:t>Yield on debt investments at period-end</w:t>
            </w:r>
          </w:p>
        </w:tc>
        <w:tc>
          <w:tcPr>
            <w:tcW w:w="12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spacing w:after="0"/>
              <w:rPr>
                <w:sz w:val="21"/>
                <w:szCs w:val="21"/>
                <w:color w:val="auto"/>
              </w:rPr>
            </w:pPr>
          </w:p>
        </w:tc>
        <w:tc>
          <w:tcPr>
            <w:tcW w:w="1420" w:type="dxa"/>
            <w:vAlign w:val="bottom"/>
            <w:tcBorders>
              <w:bottom w:val="single" w:sz="8" w:color="CCECFF"/>
            </w:tcBorders>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13.1 %</w:t>
            </w:r>
          </w:p>
        </w:tc>
        <w:tc>
          <w:tcPr>
            <w:tcW w:w="740" w:type="dxa"/>
            <w:vAlign w:val="bottom"/>
          </w:tcPr>
          <w:p>
            <w:pPr>
              <w:spacing w:after="0"/>
              <w:rPr>
                <w:sz w:val="21"/>
                <w:szCs w:val="21"/>
                <w:color w:val="auto"/>
              </w:rPr>
            </w:pPr>
          </w:p>
        </w:tc>
      </w:tr>
      <w:tr>
        <w:trPr>
          <w:trHeight w:val="594"/>
        </w:trPr>
        <w:tc>
          <w:tcPr>
            <w:tcW w:w="3040" w:type="dxa"/>
            <w:vAlign w:val="bottom"/>
          </w:tcPr>
          <w:p>
            <w:pPr>
              <w:ind w:left="40"/>
              <w:spacing w:after="0"/>
              <w:rPr>
                <w:sz w:val="20"/>
                <w:szCs w:val="20"/>
                <w:color w:val="auto"/>
              </w:rPr>
            </w:pPr>
            <w:r>
              <w:rPr>
                <w:rFonts w:ascii="Arial" w:cs="Arial" w:eastAsia="Arial" w:hAnsi="Arial"/>
                <w:sz w:val="18"/>
                <w:szCs w:val="18"/>
                <w:color w:val="auto"/>
              </w:rPr>
              <w:t>Operating Results: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Net investment income per share</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0"/>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 Activity:</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Purchases of long term investments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7"/>
        </w:trPr>
        <w:tc>
          <w:tcPr>
            <w:tcW w:w="358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Sales and repayments of long term investments</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70"/>
        </w:trPr>
        <w:tc>
          <w:tcPr>
            <w:tcW w:w="3580" w:type="dxa"/>
            <w:vAlign w:val="bottom"/>
            <w:gridSpan w:val="3"/>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Number of new portfolio companies invested</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580" w:type="dxa"/>
            <w:vAlign w:val="bottom"/>
            <w:gridSpan w:val="3"/>
          </w:tcPr>
          <w:p>
            <w:pPr>
              <w:ind w:left="40"/>
              <w:spacing w:after="0"/>
              <w:rPr>
                <w:sz w:val="20"/>
                <w:szCs w:val="20"/>
                <w:color w:val="auto"/>
              </w:rPr>
            </w:pPr>
            <w:r>
              <w:rPr>
                <w:rFonts w:ascii="Arial" w:cs="Arial" w:eastAsia="Arial" w:hAnsi="Arial"/>
                <w:sz w:val="18"/>
                <w:szCs w:val="18"/>
                <w:color w:val="auto"/>
                <w:w w:val="91"/>
              </w:rPr>
              <w:t>Number of existing portfolio companies invested</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58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Number of portfolio companies at end of period</w:t>
            </w: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AT 10:00 A.M. ET ON AUGUST 4,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conference call at 10:00 a.m. (Eastern Time) on Thursday, August 4, 2011 to discuss the quarterly</w:t>
      </w:r>
    </w:p>
    <w:p>
      <w:pPr>
        <w:sectPr>
          <w:pgSz w:w="11900" w:h="16838" w:orient="portrait"/>
          <w:cols w:equalWidth="0" w:num="1">
            <w:col w:w="11020"/>
          </w:cols>
          <w:pgMar w:left="320" w:top="1440" w:right="559" w:bottom="1440" w:gutter="0" w:footer="0" w:header="0"/>
        </w:sectPr>
      </w:pPr>
    </w:p>
    <w:bookmarkStart w:id="3" w:name="page4"/>
    <w:bookmarkEnd w:id="3"/>
    <w:p>
      <w:pPr>
        <w:ind w:right="220"/>
        <w:spacing w:after="0" w:line="259" w:lineRule="auto"/>
        <w:rPr>
          <w:sz w:val="20"/>
          <w:szCs w:val="20"/>
          <w:color w:val="auto"/>
        </w:rPr>
      </w:pPr>
      <w:r>
        <w:rPr>
          <w:rFonts w:ascii="Arial" w:cs="Arial" w:eastAsia="Arial" w:hAnsi="Arial"/>
          <w:sz w:val="18"/>
          <w:szCs w:val="18"/>
          <w:color w:val="auto"/>
        </w:rPr>
        <w:t>financial results. All interested parties are welcome to participate. You can access the conference call by dialing (877) 874-1586 approximately 5-10 minutes prior to the call. International callers should dial (719) 325-4908. All callers should reference PennantPark Investment Corporation. An archived replay of the call will be available through August 18, 2011 by calling (888) 203-1112. International callers please dial (719) 457-0820. For all phone replays, please reference conference ID #6451939.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June 30, 2011, our portfolio totaled $778.9 million and consisted of $299.0 million of senior secured loans, $127.3 million of second lien secured debt, $284.5 million of subordinated debt and $68.1 million of preferred and common equity investments. This compares to our portfolio as of September 30, 2010, which totaled $664.7 million and consisted of $234.6 million of senior secured loans, $156.7 million of second lien secured debt, $223.9 million of subordinated debt and $49.5 million of preferred and common equity investments.</w:t>
      </w:r>
    </w:p>
    <w:p>
      <w:pPr>
        <w:spacing w:after="0" w:line="187"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As of June 30, 2011, our overall portfolio consisted of 47 companies with an average investment size of $16.6 million and a weighted average yield on debt investments of 13.1%, and was invested 38% in senior secured loans, 16% in second lien secured debt, 37% in subordinated debt and 9% in preferred and common equity investments. This compares to our portfolio as of September 30, 2010, which consisted of 43 companies with an average investment size of $15.5 million, and a weighted average yield on debt investments of 12.7%, and was invested 35% in senior secured loans, 24% in second lien secured debt, 34% in subordinated debt and 7% in preferred and common equity investments.</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months ended June 30, 2011, we invested $145.5 million in three new and four existing portfolio companies with a weighted average yield on debt investments of 13.5%. Sales and repayments of long-term investments for the three months ended June 30, 2011 totaled $119.3 million. This compares to the three months ended June 30, 2010, in which we invested $93.8 million in three new and four existing portfolio companies with a weighted average yield on debt investments of 14.5%. Sales and repayments of long term investments for the three months ended June 30, 2010 totaled $59.2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and nine months ended June 30, 2011 and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income for the three and nine months ended June 30, 2011 was $22.9 million and $65.6 million, respectively, and was primarily attributable to $7.7 million and $22.8 million from senior secured loans, $3.5 million and $9.5 million from second lien secured debt investments, and $8.5 million and $24.8 million from subordinated debt investments, respectively. This compares to investment income for the three and nine months ended June 30, 2010, which was $16.3 million and $43.4 million, respectively, and was primarily attributable to $4.7 million and $11.4 million from senior secured loans, $3.3 million and $9.8 million from second lien secured debt investments and $6.6 million and $17.9 million from subordinated debt investments, respectively. The increase in investment income compared with the same periods in the prior year is due to the growth of our portfolio and rotation out of our lower yielding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Expenses for the three and nine months ended June 30, 2011, totaled $9.7 million and $28.1 million, respectively. Base management fee for the same respective periods totaled $3.8 million and $10.9 million, performance-based incentive fees totaled $3.3 million and $9.4 million, credit facility and Small Business Administration (“SBA”) debentures expenses totaled $1.3 million and $3.6 million, general and administrative expenses totaled $1.3 million and $4.0 million, respectively, and excise tax for the nine months ended June 30, 2011 totaled $0.2 million. This compares to expenses for the three and nine months ended June 30, 2010, which totaled $7.5 million and $20.3 million, respectively. Base management fee for the same respective periods totaled $3.0 million and $8.3 million, performance-based incentive fees totaled $2.2 million and $5.8 million, credit facility expenses totaled $1.0 million and $2.6 million, general and administrative expenses totaled $1.3 million and $3.5 million, respectively, and excise tax for the nine months ended June 30, 2010 totaled $0.1 million. The increase in expenses is due to growth of both the portfolio and net investment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investment income totaled $13.2 million and $37.5 million, or $0.29 and $0.92 per share, for the three and nine months ended June 30, 2011, respectively. For the same respective periods in the prior year, net investment income totaled $8.8 million and $23.1 million, or $0.28 and $0.82 per share.</w:t>
      </w:r>
    </w:p>
    <w:p>
      <w:pPr>
        <w:sectPr>
          <w:pgSz w:w="11900" w:h="16838" w:orient="portrait"/>
          <w:cols w:equalWidth="0" w:num="1">
            <w:col w:w="11240"/>
          </w:cols>
          <w:pgMar w:left="320" w:top="584"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repayments of long-term investments for the three and nine months ended June 30, 2011 totaled $119.3 million and $256.4 million and realized gains totaled $6.2 million and $8.7 million, respectively, due to sales and refinancing of our debt investments. Sales and repayments of long-term investments for the three and nine months ended June 30, 2010 totaled $59.2 million and $82.7 million and realized gains (losses) totaled $0.1 million and $(16.6) million, respectively, due to sales and repayments of our debt investments</w:t>
      </w:r>
      <w:r>
        <w:rPr>
          <w:rFonts w:ascii="Arial" w:cs="Arial" w:eastAsia="Arial" w:hAnsi="Arial"/>
          <w:sz w:val="14"/>
          <w:szCs w:val="14"/>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June 30, 2011, our investments had a net change in unrealized (depreciation) appreciation of $(16.5) million and $7.1 million, respectively. For the three and nine months ended June 30, 2010, our investments had a net change in unrealized (depreciation) appreciation of $(1.5) million and $32.3 million, respectively. The decrease in the net change in unrealized appreciation on our investments compared to the prior year is the result of changes in the leveraged credit markets over the comparable periods. On June 30, 2011 and September 30, 2010, net unrealized appreciation on investments totaled $15.1 million and $8.0 million,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June 30, 2011, our credit facility had a net change in unrealized appreciation of $0.6 million and $11.9 million, respectively. For the three and nine months ended June 30, 2010, our long-term credit facility had a net change in unrealized appreciation of $3.2 million and $28.9 million, respectively. The net change in unrealized appreciation on our credit facility over the prior year is the result of it approaching maturity and the reduced borrowings outstanding over comparable periods. On June 30, 2011 and September 30, 2010, net unrealized depreciation on our long-term credit facility totaled $2.1 million and $14.0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increase in net assets resulting from operations totaled $2.3 million and $41.4 million, respectively, or $0.05 per share and $1.01 per share, respectively, for the three and nine months ended June 30, 2011. This compares to a net increase in net assets resulting from operations which totaled $4.3 million and $9.9 million, respectively, or $0.13 per share or $0.35 per share, for the three and nine months ended June 30, 2010. This change in net assets from operations is due to the continued growth in net investment income primarily as a result of growing our portfolio, offset by the appreciation in the value of our long-term credit facility as it approaches maturity in June 2012.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rotation within our portfolio and from public and private offerings of securities to finance our investment objectives.</w:t>
      </w:r>
    </w:p>
    <w:p>
      <w:pPr>
        <w:spacing w:after="0" w:line="18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As of June 30, 2011, we had $157.7 million (including a $21.0 million temporary draw) in outstanding borrowings on our credit facility, with a fair market value of $155.6 million and a weighted average interest rate at that time of 1.49%, exclusive of the fee on the undrawn commitment of 0.20%. Our senior secured revolving credit facility, which matures in June 2012, had $157.3 million of remaining unused borrowing capacity as of June 30, 2011.</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June 30, 2011, we had committed to SBIC LP $75.0 million ($50.0 million funded), had SBA debentures outstanding of $75.0 million with a weighted average interest rate of 3.14%, exclusive of 3.43% of upfront fees. The SBA debentures had $25.0 million remaining unused borrowing capacity subject to customary regulatory requirements. Of the $75.0 million of SBA debentures outstanding, $45.0 million is fixed for 10 years with a weighted average rate of 4.45%, inclusive of the SBA annual fee, and $30.0 million is temporary financing currently bearing a weighted average rate of 1.18% that will reset to a market-driven rate in September 2011 and will remain fixed thereafter for 10 years.</w:t>
      </w:r>
    </w:p>
    <w:p>
      <w:pPr>
        <w:spacing w:after="0" w:line="68"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On June 1, 2011, we received an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we had approximately $57.8 million of assets bearing a coupon of 9% or lower. We intend to seek to rotate</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these into new, higher yielding investments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June 30, 2011, we generated operating cash flows primarily from interest earned on debt investments and sales and repayments of investments. Our primary use of funds from operations during the same period consisted of investments in portfolio companies, payments of fees, and other operating expenses we incurred. Our operating activities used cash of $35.8 million for the nine months ended June 30, 2011, and our financing activities provided cash of $62.8 million for the same period, primarily from net repayments under our credit facility, SBA debentures issued, and our common stock offering.</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June 30, 2010, we generated operating cash flows primarily from interest earned on debt investments, and our primary use of funds from operations during the same period consisted of investments in portfolio companies, payments of fees and other operating expenses we incurred. Our operating activities used cash of $101.6 million for the nine months ended June 30, 2010, and our financing activities provided cash of $69.6 million for the same period, primarily from our common stock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nine months ended June 30, 2011, we declared distributions of $0.27 and $0.80 per share, respectively, for total distributions of $12.3 million and $34.0 million, respectively. For the same periods in the prior year, we declared distributions of $0.26 and $0.77 per share, respectively, for total distributions of $8.2 million and $22.9 million, respectively. Distributions are paid from taxable earnings and may include a return of capital and/or capital gains. The specific tax characteristics of the distributions will be reported to stockholders on Form 1099-DIV after the end of the calendar year and in its periodic report filed with the Securities and Exchange Commission.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22, 2011, SBIC LP received a debt commitment from the SBA for an additional $50.0 million, bringing its total debt commitment from the SBA to $150.0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makes available on its website its report on Form 10-Q filed with the Securities Exchange Commission and stockholders may find the report on our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ectPr>
          <w:pgSz w:w="11900" w:h="16838" w:orient="portrait"/>
          <w:cols w:equalWidth="0" w:num="1">
            <w:col w:w="11240"/>
          </w:cols>
          <w:pgMar w:left="320" w:top="760"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86"/>
              </w:rPr>
              <w:t>June 30, 2011</w:t>
            </w: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90"/>
              </w:rPr>
              <w:t>(unaudited)</w:t>
            </w:r>
          </w:p>
        </w:tc>
        <w:tc>
          <w:tcPr>
            <w:tcW w:w="20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 2010</w:t>
            </w:r>
          </w:p>
        </w:tc>
        <w:tc>
          <w:tcPr>
            <w:tcW w:w="0" w:type="dxa"/>
            <w:vAlign w:val="bottom"/>
          </w:tcPr>
          <w:p>
            <w:pPr>
              <w:spacing w:after="0"/>
              <w:rPr>
                <w:sz w:val="1"/>
                <w:szCs w:val="1"/>
                <w:color w:val="auto"/>
              </w:rPr>
            </w:pP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40"/>
              <w:spacing w:after="0"/>
              <w:rPr>
                <w:sz w:val="20"/>
                <w:szCs w:val="20"/>
                <w:color w:val="auto"/>
              </w:rPr>
            </w:pPr>
            <w:r>
              <w:rPr>
                <w:rFonts w:ascii="Arial" w:cs="Arial" w:eastAsia="Arial" w:hAnsi="Arial"/>
                <w:sz w:val="14"/>
                <w:szCs w:val="14"/>
                <w:color w:val="auto"/>
              </w:rPr>
              <w:t>Investments at fair value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620" w:type="dxa"/>
            <w:vAlign w:val="bottom"/>
            <w:shd w:val="clear" w:color="auto" w:fill="CCEEFF"/>
          </w:tcPr>
          <w:p>
            <w:pPr>
              <w:jc w:val="center"/>
              <w:ind w:right="4028"/>
              <w:spacing w:after="0"/>
              <w:rPr>
                <w:sz w:val="20"/>
                <w:szCs w:val="20"/>
                <w:color w:val="auto"/>
              </w:rPr>
            </w:pPr>
            <w:r>
              <w:rPr>
                <w:rFonts w:ascii="Arial" w:cs="Arial" w:eastAsia="Arial" w:hAnsi="Arial"/>
                <w:sz w:val="14"/>
                <w:szCs w:val="14"/>
                <w:color w:val="auto"/>
                <w:w w:val="94"/>
              </w:rPr>
              <w:t>Non-controlled, non-affiliated investments, at fair value</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(cost-$734,760,589 and $631,280,755, respectively)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753,258,773</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641,290,626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620" w:type="dxa"/>
            <w:vAlign w:val="bottom"/>
          </w:tcPr>
          <w:p>
            <w:pPr>
              <w:jc w:val="center"/>
              <w:ind w:right="4048"/>
              <w:spacing w:after="0" w:line="157" w:lineRule="exact"/>
              <w:rPr>
                <w:sz w:val="20"/>
                <w:szCs w:val="20"/>
                <w:color w:val="auto"/>
              </w:rPr>
            </w:pPr>
            <w:r>
              <w:rPr>
                <w:rFonts w:ascii="Arial" w:cs="Arial" w:eastAsia="Arial" w:hAnsi="Arial"/>
                <w:sz w:val="14"/>
                <w:szCs w:val="14"/>
                <w:color w:val="auto"/>
                <w:w w:val="94"/>
              </w:rPr>
              <w:t>Non-controlled, affiliated investments, at fair value</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620" w:type="dxa"/>
            <w:vAlign w:val="bottom"/>
          </w:tcPr>
          <w:p>
            <w:pPr>
              <w:jc w:val="center"/>
              <w:ind w:right="3988"/>
              <w:spacing w:after="0"/>
              <w:rPr>
                <w:sz w:val="20"/>
                <w:szCs w:val="20"/>
                <w:color w:val="auto"/>
              </w:rPr>
            </w:pPr>
            <w:r>
              <w:rPr>
                <w:rFonts w:ascii="Arial" w:cs="Arial" w:eastAsia="Arial" w:hAnsi="Arial"/>
                <w:sz w:val="14"/>
                <w:szCs w:val="14"/>
                <w:color w:val="auto"/>
                <w:w w:val="92"/>
              </w:rPr>
              <w:t>(cost-$18,116,807 and $17,427,648, respectively)</w:t>
            </w:r>
          </w:p>
        </w:tc>
        <w:tc>
          <w:tcPr>
            <w:tcW w:w="26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14,685,185</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15,433,680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620" w:type="dxa"/>
            <w:vAlign w:val="bottom"/>
            <w:shd w:val="clear" w:color="auto" w:fill="CCECFF"/>
          </w:tcPr>
          <w:p>
            <w:pPr>
              <w:ind w:left="100"/>
              <w:spacing w:after="0"/>
              <w:rPr>
                <w:sz w:val="20"/>
                <w:szCs w:val="20"/>
                <w:color w:val="auto"/>
              </w:rPr>
            </w:pPr>
            <w:r>
              <w:rPr>
                <w:rFonts w:ascii="Arial" w:cs="Arial" w:eastAsia="Arial" w:hAnsi="Arial"/>
                <w:sz w:val="14"/>
                <w:szCs w:val="14"/>
                <w:color w:val="auto"/>
              </w:rPr>
              <w:t>Controlled, affiliated investments, at fair value</w:t>
            </w:r>
          </w:p>
        </w:tc>
        <w:tc>
          <w:tcPr>
            <w:tcW w:w="260" w:type="dxa"/>
            <w:vAlign w:val="bottom"/>
            <w:shd w:val="clear" w:color="auto" w:fill="CCECFF"/>
          </w:tcPr>
          <w:p>
            <w:pPr>
              <w:spacing w:after="0"/>
              <w:rPr>
                <w:sz w:val="14"/>
                <w:szCs w:val="14"/>
                <w:color w:val="auto"/>
              </w:rPr>
            </w:pPr>
          </w:p>
        </w:tc>
        <w:tc>
          <w:tcPr>
            <w:tcW w:w="1220" w:type="dxa"/>
            <w:vAlign w:val="bottom"/>
            <w:vMerge w:val="restart"/>
            <w:shd w:val="clear" w:color="auto" w:fill="CCECFF"/>
          </w:tcPr>
          <w:p>
            <w:pPr>
              <w:jc w:val="right"/>
              <w:ind w:right="49"/>
              <w:spacing w:after="0"/>
              <w:rPr>
                <w:sz w:val="20"/>
                <w:szCs w:val="20"/>
                <w:color w:val="auto"/>
              </w:rPr>
            </w:pPr>
            <w:r>
              <w:rPr>
                <w:rFonts w:ascii="Arial" w:cs="Arial" w:eastAsia="Arial" w:hAnsi="Arial"/>
                <w:sz w:val="14"/>
                <w:szCs w:val="14"/>
                <w:color w:val="auto"/>
              </w:rPr>
              <w:t>11,000,000</w:t>
            </w:r>
          </w:p>
        </w:tc>
        <w:tc>
          <w:tcPr>
            <w:tcW w:w="4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40" w:type="dxa"/>
            <w:vAlign w:val="bottom"/>
            <w:vMerge w:val="restart"/>
            <w:shd w:val="clear" w:color="auto" w:fill="CCECFF"/>
          </w:tcPr>
          <w:p>
            <w:pPr>
              <w:jc w:val="right"/>
              <w:ind w:right="29"/>
              <w:spacing w:after="0"/>
              <w:rPr>
                <w:sz w:val="20"/>
                <w:szCs w:val="20"/>
                <w:color w:val="auto"/>
              </w:rPr>
            </w:pPr>
            <w:r>
              <w:rPr>
                <w:rFonts w:ascii="Arial" w:cs="Arial" w:eastAsia="Arial" w:hAnsi="Arial"/>
                <w:sz w:val="14"/>
                <w:szCs w:val="14"/>
                <w:color w:val="auto"/>
              </w:rPr>
              <w:t>8,000,100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7620" w:type="dxa"/>
            <w:vAlign w:val="bottom"/>
            <w:vMerge w:val="restart"/>
            <w:shd w:val="clear" w:color="auto" w:fill="CCECFF"/>
          </w:tcPr>
          <w:p>
            <w:pPr>
              <w:ind w:left="180"/>
              <w:spacing w:after="0"/>
              <w:rPr>
                <w:sz w:val="20"/>
                <w:szCs w:val="20"/>
                <w:color w:val="auto"/>
              </w:rPr>
            </w:pPr>
            <w:r>
              <w:rPr>
                <w:rFonts w:ascii="Arial" w:cs="Arial" w:eastAsia="Arial" w:hAnsi="Arial"/>
                <w:sz w:val="14"/>
                <w:szCs w:val="14"/>
                <w:color w:val="auto"/>
              </w:rPr>
              <w:t>(cost-$11,000,100 and $8,000,100, respectively)</w:t>
            </w:r>
          </w:p>
        </w:tc>
        <w:tc>
          <w:tcPr>
            <w:tcW w:w="260" w:type="dxa"/>
            <w:vAlign w:val="bottom"/>
            <w:shd w:val="clear" w:color="auto" w:fill="CCECFF"/>
          </w:tcPr>
          <w:p>
            <w:pPr>
              <w:spacing w:after="0"/>
              <w:rPr>
                <w:sz w:val="8"/>
                <w:szCs w:val="8"/>
                <w:color w:val="auto"/>
              </w:rPr>
            </w:pPr>
          </w:p>
        </w:tc>
        <w:tc>
          <w:tcPr>
            <w:tcW w:w="1220" w:type="dxa"/>
            <w:vAlign w:val="bottom"/>
            <w:vMerge w:val="continue"/>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1340" w:type="dxa"/>
            <w:vAlign w:val="bottom"/>
            <w:vMerge w:val="continue"/>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620" w:type="dxa"/>
            <w:vAlign w:val="bottom"/>
            <w:vMerge w:val="continue"/>
            <w:shd w:val="clear" w:color="auto" w:fill="CCECFF"/>
          </w:tcPr>
          <w:p>
            <w:pPr>
              <w:spacing w:after="0"/>
              <w:rPr>
                <w:sz w:val="8"/>
                <w:szCs w:val="8"/>
                <w:color w:val="auto"/>
              </w:rPr>
            </w:pPr>
          </w:p>
        </w:tc>
        <w:tc>
          <w:tcPr>
            <w:tcW w:w="260" w:type="dxa"/>
            <w:vAlign w:val="bottom"/>
            <w:tcBorders>
              <w:bottom w:val="single" w:sz="8" w:color="auto"/>
            </w:tcBorders>
            <w:shd w:val="clear" w:color="auto" w:fill="CCECFF"/>
          </w:tcPr>
          <w:p>
            <w:pPr>
              <w:spacing w:after="0"/>
              <w:rPr>
                <w:sz w:val="8"/>
                <w:szCs w:val="8"/>
                <w:color w:val="auto"/>
              </w:rPr>
            </w:pPr>
          </w:p>
        </w:tc>
        <w:tc>
          <w:tcPr>
            <w:tcW w:w="1220" w:type="dxa"/>
            <w:vAlign w:val="bottom"/>
            <w:tcBorders>
              <w:bottom w:val="single" w:sz="8" w:color="auto"/>
            </w:tcBorders>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00" w:type="dxa"/>
            <w:vAlign w:val="bottom"/>
            <w:tcBorders>
              <w:bottom w:val="single" w:sz="8" w:color="auto"/>
            </w:tcBorders>
            <w:shd w:val="clear" w:color="auto" w:fill="CCECFF"/>
          </w:tcPr>
          <w:p>
            <w:pPr>
              <w:spacing w:after="0"/>
              <w:rPr>
                <w:sz w:val="8"/>
                <w:szCs w:val="8"/>
                <w:color w:val="auto"/>
              </w:rPr>
            </w:pPr>
          </w:p>
        </w:tc>
        <w:tc>
          <w:tcPr>
            <w:tcW w:w="1340" w:type="dxa"/>
            <w:vAlign w:val="bottom"/>
            <w:tcBorders>
              <w:bottom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620" w:type="dxa"/>
            <w:vAlign w:val="bottom"/>
          </w:tcPr>
          <w:p>
            <w:pPr>
              <w:ind w:left="280"/>
              <w:spacing w:after="0" w:line="137" w:lineRule="exact"/>
              <w:rPr>
                <w:sz w:val="20"/>
                <w:szCs w:val="20"/>
                <w:color w:val="auto"/>
              </w:rPr>
            </w:pPr>
            <w:r>
              <w:rPr>
                <w:rFonts w:ascii="Arial" w:cs="Arial" w:eastAsia="Arial" w:hAnsi="Arial"/>
                <w:sz w:val="14"/>
                <w:szCs w:val="14"/>
                <w:color w:val="auto"/>
              </w:rPr>
              <w:t>Total of Investments, at fair value</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620" w:type="dxa"/>
            <w:vAlign w:val="bottom"/>
          </w:tcPr>
          <w:p>
            <w:pPr>
              <w:ind w:left="360"/>
              <w:spacing w:after="0"/>
              <w:rPr>
                <w:sz w:val="20"/>
                <w:szCs w:val="20"/>
                <w:color w:val="auto"/>
              </w:rPr>
            </w:pPr>
            <w:r>
              <w:rPr>
                <w:rFonts w:ascii="Arial" w:cs="Arial" w:eastAsia="Arial" w:hAnsi="Arial"/>
                <w:sz w:val="14"/>
                <w:szCs w:val="14"/>
                <w:color w:val="auto"/>
              </w:rPr>
              <w:t>(cost-$763,877,496 and $656,708,503, respectively)</w:t>
            </w:r>
          </w:p>
        </w:tc>
        <w:tc>
          <w:tcPr>
            <w:tcW w:w="26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778,943,958</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664,724,406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Cash equivalents</w:t>
            </w:r>
          </w:p>
        </w:tc>
        <w:tc>
          <w:tcPr>
            <w:tcW w:w="26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28,808,966</w:t>
            </w:r>
          </w:p>
        </w:tc>
        <w:tc>
          <w:tcPr>
            <w:tcW w:w="4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1,814,451</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40"/>
              <w:spacing w:after="0"/>
              <w:rPr>
                <w:sz w:val="20"/>
                <w:szCs w:val="20"/>
                <w:color w:val="auto"/>
              </w:rPr>
            </w:pPr>
            <w:r>
              <w:rPr>
                <w:rFonts w:ascii="Arial" w:cs="Arial" w:eastAsia="Arial" w:hAnsi="Arial"/>
                <w:sz w:val="14"/>
                <w:szCs w:val="14"/>
                <w:color w:val="auto"/>
              </w:rPr>
              <w:t>Interest receivable</w:t>
            </w:r>
          </w:p>
        </w:tc>
        <w:tc>
          <w:tcPr>
            <w:tcW w:w="26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6,258,266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12,814,096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Receivable for investments sold</w:t>
            </w:r>
          </w:p>
        </w:tc>
        <w:tc>
          <w:tcPr>
            <w:tcW w:w="260" w:type="dxa"/>
            <w:vAlign w:val="bottom"/>
            <w:shd w:val="clear" w:color="auto" w:fill="CCECFF"/>
          </w:tcPr>
          <w:p>
            <w:pPr>
              <w:spacing w:after="0"/>
              <w:rPr>
                <w:sz w:val="19"/>
                <w:szCs w:val="19"/>
                <w:color w:val="auto"/>
              </w:rPr>
            </w:pPr>
          </w:p>
        </w:tc>
        <w:tc>
          <w:tcPr>
            <w:tcW w:w="1660" w:type="dxa"/>
            <w:vAlign w:val="bottom"/>
            <w:gridSpan w:val="2"/>
            <w:shd w:val="clear" w:color="auto" w:fill="CCECFF"/>
          </w:tcPr>
          <w:p>
            <w:pPr>
              <w:jc w:val="right"/>
              <w:ind w:righ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9"/>
                <w:szCs w:val="19"/>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30,254,774</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62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3,581,765</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1,886,119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CFF"/>
          </w:tcPr>
          <w:p>
            <w:pPr>
              <w:spacing w:after="0"/>
              <w:rPr>
                <w:sz w:val="18"/>
                <w:szCs w:val="18"/>
                <w:color w:val="auto"/>
              </w:rPr>
            </w:pPr>
          </w:p>
        </w:tc>
        <w:tc>
          <w:tcPr>
            <w:tcW w:w="122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817,592,955</w:t>
            </w:r>
          </w:p>
        </w:tc>
        <w:tc>
          <w:tcPr>
            <w:tcW w:w="4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4"/>
                <w:szCs w:val="14"/>
                <w:color w:val="auto"/>
              </w:rPr>
              <w:t>711,493,846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Distributions payable</w:t>
            </w:r>
          </w:p>
        </w:tc>
        <w:tc>
          <w:tcPr>
            <w:tcW w:w="26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12,306,893</w:t>
            </w:r>
          </w:p>
        </w:tc>
        <w:tc>
          <w:tcPr>
            <w:tcW w:w="4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9,401,281</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40"/>
              <w:spacing w:after="0"/>
              <w:rPr>
                <w:sz w:val="20"/>
                <w:szCs w:val="20"/>
                <w:color w:val="auto"/>
              </w:rPr>
            </w:pPr>
            <w:r>
              <w:rPr>
                <w:rFonts w:ascii="Arial" w:cs="Arial" w:eastAsia="Arial" w:hAnsi="Arial"/>
                <w:sz w:val="14"/>
                <w:szCs w:val="14"/>
                <w:color w:val="auto"/>
              </w:rPr>
              <w:t>Payable for investments purchased</w:t>
            </w:r>
          </w:p>
        </w:tc>
        <w:tc>
          <w:tcPr>
            <w:tcW w:w="26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42,680,270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52,785,000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Unfunded investments</w:t>
            </w:r>
          </w:p>
        </w:tc>
        <w:tc>
          <w:tcPr>
            <w:tcW w:w="26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18,633,872</w:t>
            </w:r>
          </w:p>
        </w:tc>
        <w:tc>
          <w:tcPr>
            <w:tcW w:w="4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22,203,434</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40"/>
              <w:spacing w:after="0"/>
              <w:rPr>
                <w:sz w:val="20"/>
                <w:szCs w:val="20"/>
                <w:color w:val="auto"/>
              </w:rPr>
            </w:pPr>
            <w:r>
              <w:rPr>
                <w:rFonts w:ascii="Arial" w:cs="Arial" w:eastAsia="Arial" w:hAnsi="Arial"/>
                <w:sz w:val="14"/>
                <w:szCs w:val="14"/>
                <w:color w:val="auto"/>
              </w:rPr>
              <w:t>Credit facility payable (cost-$157,700,000 and $233,100,000, respectively)</w:t>
            </w:r>
          </w:p>
        </w:tc>
        <w:tc>
          <w:tcPr>
            <w:tcW w:w="26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155,649,500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219,141,125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SBA debentures payable</w:t>
            </w:r>
          </w:p>
        </w:tc>
        <w:tc>
          <w:tcPr>
            <w:tcW w:w="260" w:type="dxa"/>
            <w:vAlign w:val="bottom"/>
            <w:shd w:val="clear" w:color="auto" w:fill="CCECFF"/>
          </w:tcPr>
          <w:p>
            <w:pPr>
              <w:spacing w:after="0"/>
              <w:rPr>
                <w:sz w:val="24"/>
                <w:szCs w:val="24"/>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75,000,000</w:t>
            </w:r>
          </w:p>
        </w:tc>
        <w:tc>
          <w:tcPr>
            <w:tcW w:w="440" w:type="dxa"/>
            <w:vAlign w:val="bottom"/>
            <w:shd w:val="clear" w:color="auto" w:fill="CCECFF"/>
          </w:tcPr>
          <w:p>
            <w:pPr>
              <w:spacing w:after="0"/>
              <w:rPr>
                <w:sz w:val="24"/>
                <w:szCs w:val="24"/>
                <w:color w:val="auto"/>
              </w:rPr>
            </w:pPr>
          </w:p>
        </w:tc>
        <w:tc>
          <w:tcPr>
            <w:tcW w:w="200" w:type="dxa"/>
            <w:vAlign w:val="bottom"/>
            <w:shd w:val="clear" w:color="auto" w:fill="CCECFF"/>
          </w:tcPr>
          <w:p>
            <w:pPr>
              <w:spacing w:after="0"/>
              <w:rPr>
                <w:sz w:val="24"/>
                <w:szCs w:val="24"/>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14,500,000</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40"/>
              <w:spacing w:after="0"/>
              <w:rPr>
                <w:sz w:val="20"/>
                <w:szCs w:val="20"/>
                <w:color w:val="auto"/>
              </w:rPr>
            </w:pPr>
            <w:r>
              <w:rPr>
                <w:rFonts w:ascii="Arial" w:cs="Arial" w:eastAsia="Arial" w:hAnsi="Arial"/>
                <w:sz w:val="14"/>
                <w:szCs w:val="14"/>
                <w:color w:val="auto"/>
              </w:rPr>
              <w:t>Interest payable on credit facility and SBA debentures</w:t>
            </w:r>
          </w:p>
        </w:tc>
        <w:tc>
          <w:tcPr>
            <w:tcW w:w="26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794,953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215,135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Management fee payable</w:t>
            </w:r>
          </w:p>
        </w:tc>
        <w:tc>
          <w:tcPr>
            <w:tcW w:w="26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3,805,619</w:t>
            </w:r>
          </w:p>
        </w:tc>
        <w:tc>
          <w:tcPr>
            <w:tcW w:w="4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3,286,816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40"/>
              <w:spacing w:after="0"/>
              <w:rPr>
                <w:sz w:val="20"/>
                <w:szCs w:val="20"/>
                <w:color w:val="auto"/>
              </w:rPr>
            </w:pPr>
            <w:r>
              <w:rPr>
                <w:rFonts w:ascii="Arial" w:cs="Arial" w:eastAsia="Arial" w:hAnsi="Arial"/>
                <w:sz w:val="14"/>
                <w:szCs w:val="14"/>
                <w:color w:val="auto"/>
              </w:rPr>
              <w:t>Performance-based incentive fee payable</w:t>
            </w:r>
          </w:p>
        </w:tc>
        <w:tc>
          <w:tcPr>
            <w:tcW w:w="26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3,295,098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2,239,011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color w:val="auto"/>
              </w:rPr>
              <w:t>Accrued other expenses</w:t>
            </w:r>
          </w:p>
        </w:tc>
        <w:tc>
          <w:tcPr>
            <w:tcW w:w="260" w:type="dxa"/>
            <w:vAlign w:val="bottom"/>
            <w:tcBorders>
              <w:bottom w:val="single" w:sz="8" w:color="CCECFF"/>
            </w:tcBorders>
            <w:shd w:val="clear" w:color="auto" w:fill="CCECFF"/>
          </w:tcPr>
          <w:p>
            <w:pPr>
              <w:spacing w:after="0"/>
              <w:rPr>
                <w:sz w:val="19"/>
                <w:szCs w:val="19"/>
                <w:color w:val="auto"/>
              </w:rPr>
            </w:pPr>
          </w:p>
        </w:tc>
        <w:tc>
          <w:tcPr>
            <w:tcW w:w="1220" w:type="dxa"/>
            <w:vAlign w:val="bottom"/>
            <w:tcBorders>
              <w:bottom w:val="single" w:sz="8" w:color="CCECFF"/>
            </w:tcBorders>
            <w:shd w:val="clear" w:color="auto" w:fill="CCECFF"/>
          </w:tcPr>
          <w:p>
            <w:pPr>
              <w:jc w:val="right"/>
              <w:ind w:right="49"/>
              <w:spacing w:after="0"/>
              <w:rPr>
                <w:sz w:val="20"/>
                <w:szCs w:val="20"/>
                <w:color w:val="auto"/>
              </w:rPr>
            </w:pPr>
            <w:r>
              <w:rPr>
                <w:rFonts w:ascii="Arial" w:cs="Arial" w:eastAsia="Arial" w:hAnsi="Arial"/>
                <w:sz w:val="14"/>
                <w:szCs w:val="14"/>
                <w:color w:val="auto"/>
              </w:rPr>
              <w:t>487,659</w:t>
            </w:r>
          </w:p>
        </w:tc>
        <w:tc>
          <w:tcPr>
            <w:tcW w:w="44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1340" w:type="dxa"/>
            <w:vAlign w:val="bottom"/>
            <w:tcBorders>
              <w:bottom w:val="single" w:sz="8" w:color="CCECFF"/>
            </w:tcBorders>
            <w:shd w:val="clear" w:color="auto" w:fill="CCECFF"/>
          </w:tcPr>
          <w:p>
            <w:pPr>
              <w:jc w:val="right"/>
              <w:ind w:right="29"/>
              <w:spacing w:after="0"/>
              <w:rPr>
                <w:sz w:val="20"/>
                <w:szCs w:val="20"/>
                <w:color w:val="auto"/>
              </w:rPr>
            </w:pPr>
            <w:r>
              <w:rPr>
                <w:rFonts w:ascii="Arial" w:cs="Arial" w:eastAsia="Arial" w:hAnsi="Arial"/>
                <w:sz w:val="14"/>
                <w:szCs w:val="14"/>
                <w:color w:val="auto"/>
              </w:rPr>
              <w:t>1,146,821</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CECFF"/>
            </w:tcBorders>
          </w:tcPr>
          <w:p>
            <w:pPr>
              <w:ind w:left="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312,653,864</w:t>
            </w:r>
          </w:p>
        </w:tc>
        <w:tc>
          <w:tcPr>
            <w:tcW w:w="440" w:type="dxa"/>
            <w:vAlign w:val="bottom"/>
            <w:tcBorders>
              <w:bottom w:val="single" w:sz="8" w:color="CCEC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324,918,623</w:t>
            </w:r>
          </w:p>
        </w:tc>
        <w:tc>
          <w:tcPr>
            <w:tcW w:w="10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b w:val="1"/>
                <w:bCs w:val="1"/>
                <w:color w:val="auto"/>
              </w:rPr>
              <w:t>Net Assets</w:t>
            </w:r>
          </w:p>
        </w:tc>
        <w:tc>
          <w:tcPr>
            <w:tcW w:w="26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3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620" w:type="dxa"/>
            <w:vAlign w:val="bottom"/>
          </w:tcPr>
          <w:p>
            <w:pPr>
              <w:ind w:left="180"/>
              <w:spacing w:after="0" w:line="157" w:lineRule="exact"/>
              <w:rPr>
                <w:sz w:val="20"/>
                <w:szCs w:val="20"/>
                <w:color w:val="auto"/>
              </w:rPr>
            </w:pPr>
            <w:r>
              <w:rPr>
                <w:rFonts w:ascii="Arial" w:cs="Arial" w:eastAsia="Arial" w:hAnsi="Arial"/>
                <w:sz w:val="14"/>
                <w:szCs w:val="14"/>
                <w:color w:val="auto"/>
              </w:rPr>
              <w:t>Common stock, 45,581,083 and 36,158,772 shares are issued and outstanding, respectively.</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620" w:type="dxa"/>
            <w:vAlign w:val="bottom"/>
          </w:tcPr>
          <w:p>
            <w:pPr>
              <w:ind w:left="240"/>
              <w:spacing w:after="0"/>
              <w:rPr>
                <w:sz w:val="20"/>
                <w:szCs w:val="20"/>
                <w:color w:val="auto"/>
              </w:rPr>
            </w:pPr>
            <w:r>
              <w:rPr>
                <w:rFonts w:ascii="Arial" w:cs="Arial" w:eastAsia="Arial" w:hAnsi="Arial"/>
                <w:sz w:val="14"/>
                <w:szCs w:val="14"/>
                <w:color w:val="auto"/>
              </w:rPr>
              <w:t>Par value is $0.001 per share and 100,000,000 shares are authorized.</w:t>
            </w:r>
          </w:p>
        </w:tc>
        <w:tc>
          <w:tcPr>
            <w:tcW w:w="26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45,581</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36,159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Paid-in capital in excess of par value</w:t>
            </w:r>
          </w:p>
        </w:tc>
        <w:tc>
          <w:tcPr>
            <w:tcW w:w="26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539,419,632</w:t>
            </w:r>
          </w:p>
        </w:tc>
        <w:tc>
          <w:tcPr>
            <w:tcW w:w="4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40" w:type="dxa"/>
            <w:vAlign w:val="bottom"/>
            <w:shd w:val="clear" w:color="auto" w:fill="CCECFF"/>
          </w:tcPr>
          <w:p>
            <w:pPr>
              <w:jc w:val="right"/>
              <w:ind w:right="29"/>
              <w:spacing w:after="0"/>
              <w:rPr>
                <w:sz w:val="20"/>
                <w:szCs w:val="20"/>
                <w:color w:val="auto"/>
              </w:rPr>
            </w:pPr>
            <w:r>
              <w:rPr>
                <w:rFonts w:ascii="Arial" w:cs="Arial" w:eastAsia="Arial" w:hAnsi="Arial"/>
                <w:sz w:val="14"/>
                <w:szCs w:val="14"/>
                <w:color w:val="auto"/>
              </w:rPr>
              <w:t>428,675,184</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Undistributed net investment income</w:t>
            </w:r>
          </w:p>
        </w:tc>
        <w:tc>
          <w:tcPr>
            <w:tcW w:w="26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5,532,780</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1,800,646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Accumulated net realized loss on investments</w:t>
            </w:r>
          </w:p>
        </w:tc>
        <w:tc>
          <w:tcPr>
            <w:tcW w:w="260" w:type="dxa"/>
            <w:vAlign w:val="bottom"/>
            <w:shd w:val="clear" w:color="auto" w:fill="CCECFF"/>
          </w:tcPr>
          <w:p>
            <w:pPr>
              <w:spacing w:after="0"/>
              <w:rPr>
                <w:sz w:val="24"/>
                <w:szCs w:val="2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(57,175,864)</w:t>
            </w:r>
          </w:p>
        </w:tc>
        <w:tc>
          <w:tcPr>
            <w:tcW w:w="440" w:type="dxa"/>
            <w:vAlign w:val="bottom"/>
            <w:shd w:val="clear" w:color="auto" w:fill="CCECFF"/>
          </w:tcPr>
          <w:p>
            <w:pPr>
              <w:spacing w:after="0"/>
              <w:rPr>
                <w:sz w:val="24"/>
                <w:szCs w:val="24"/>
                <w:color w:val="auto"/>
              </w:rPr>
            </w:pPr>
          </w:p>
        </w:tc>
        <w:tc>
          <w:tcPr>
            <w:tcW w:w="200" w:type="dxa"/>
            <w:vAlign w:val="bottom"/>
            <w:shd w:val="clear" w:color="auto" w:fill="CCECFF"/>
          </w:tcPr>
          <w:p>
            <w:pPr>
              <w:spacing w:after="0"/>
              <w:rPr>
                <w:sz w:val="24"/>
                <w:szCs w:val="2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(65,911,544</w:t>
            </w:r>
            <w:r>
              <w:rPr>
                <w:rFonts w:ascii="Arial" w:cs="Arial" w:eastAsia="Arial" w:hAnsi="Arial"/>
                <w:sz w:val="17"/>
                <w:szCs w:val="17"/>
                <w:color w:val="auto"/>
              </w:rPr>
              <w:t>)</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Net unrealized appreciation on investments</w:t>
            </w:r>
          </w:p>
        </w:tc>
        <w:tc>
          <w:tcPr>
            <w:tcW w:w="26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15,066,462</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8,015,903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620" w:type="dxa"/>
            <w:vAlign w:val="bottom"/>
            <w:shd w:val="clear" w:color="auto" w:fill="CCECFF"/>
          </w:tcPr>
          <w:p>
            <w:pPr>
              <w:ind w:left="40"/>
              <w:spacing w:after="0"/>
              <w:rPr>
                <w:sz w:val="20"/>
                <w:szCs w:val="20"/>
                <w:color w:val="auto"/>
              </w:rPr>
            </w:pPr>
            <w:r>
              <w:rPr>
                <w:rFonts w:ascii="Arial" w:cs="Arial" w:eastAsia="Arial" w:hAnsi="Arial"/>
                <w:sz w:val="14"/>
                <w:szCs w:val="14"/>
                <w:color w:val="auto"/>
              </w:rPr>
              <w:t>Net unrealized depreciation on credit facility</w:t>
            </w:r>
          </w:p>
        </w:tc>
        <w:tc>
          <w:tcPr>
            <w:tcW w:w="260" w:type="dxa"/>
            <w:vAlign w:val="bottom"/>
            <w:tcBorders>
              <w:bottom w:val="single" w:sz="8" w:color="auto"/>
            </w:tcBorders>
            <w:shd w:val="clear" w:color="auto" w:fill="CCECFF"/>
          </w:tcPr>
          <w:p>
            <w:pPr>
              <w:spacing w:after="0"/>
              <w:rPr>
                <w:sz w:val="23"/>
                <w:szCs w:val="23"/>
                <w:color w:val="auto"/>
              </w:rPr>
            </w:pPr>
          </w:p>
        </w:tc>
        <w:tc>
          <w:tcPr>
            <w:tcW w:w="122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2,050,500</w:t>
            </w:r>
          </w:p>
        </w:tc>
        <w:tc>
          <w:tcPr>
            <w:tcW w:w="440" w:type="dxa"/>
            <w:vAlign w:val="bottom"/>
            <w:shd w:val="clear" w:color="auto" w:fill="CCECFF"/>
          </w:tcPr>
          <w:p>
            <w:pPr>
              <w:spacing w:after="0"/>
              <w:rPr>
                <w:sz w:val="23"/>
                <w:szCs w:val="23"/>
                <w:color w:val="auto"/>
              </w:rPr>
            </w:pPr>
          </w:p>
        </w:tc>
        <w:tc>
          <w:tcPr>
            <w:tcW w:w="200" w:type="dxa"/>
            <w:vAlign w:val="bottom"/>
            <w:tcBorders>
              <w:bottom w:val="single" w:sz="8" w:color="auto"/>
            </w:tcBorders>
            <w:shd w:val="clear" w:color="auto" w:fill="CCECFF"/>
          </w:tcPr>
          <w:p>
            <w:pPr>
              <w:spacing w:after="0"/>
              <w:rPr>
                <w:sz w:val="23"/>
                <w:szCs w:val="23"/>
                <w:color w:val="auto"/>
              </w:rPr>
            </w:pPr>
          </w:p>
        </w:tc>
        <w:tc>
          <w:tcPr>
            <w:tcW w:w="13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4"/>
                <w:szCs w:val="14"/>
                <w:color w:val="auto"/>
              </w:rPr>
              <w:t>13,958,875</w:t>
            </w:r>
          </w:p>
        </w:tc>
        <w:tc>
          <w:tcPr>
            <w:tcW w:w="100" w:type="dxa"/>
            <w:vAlign w:val="bottom"/>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620" w:type="dxa"/>
            <w:vAlign w:val="bottom"/>
            <w:tcBorders>
              <w:bottom w:val="single" w:sz="8" w:color="CCECFF"/>
            </w:tcBorders>
          </w:tcPr>
          <w:p>
            <w:pPr>
              <w:ind w:left="40"/>
              <w:spacing w:after="0"/>
              <w:rPr>
                <w:sz w:val="20"/>
                <w:szCs w:val="20"/>
                <w:color w:val="auto"/>
              </w:rPr>
            </w:pPr>
            <w:r>
              <w:rPr>
                <w:rFonts w:ascii="Arial" w:cs="Arial" w:eastAsia="Arial" w:hAnsi="Arial"/>
                <w:sz w:val="14"/>
                <w:szCs w:val="14"/>
                <w:b w:val="1"/>
                <w:bCs w:val="1"/>
                <w:color w:val="auto"/>
              </w:rPr>
              <w:t>Total net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504,939,091</w:t>
            </w:r>
          </w:p>
        </w:tc>
        <w:tc>
          <w:tcPr>
            <w:tcW w:w="440" w:type="dxa"/>
            <w:vAlign w:val="bottom"/>
            <w:tcBorders>
              <w:bottom w:val="single" w:sz="8" w:color="CCEC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386,575,223</w:t>
            </w:r>
          </w:p>
        </w:tc>
        <w:tc>
          <w:tcPr>
            <w:tcW w:w="100" w:type="dxa"/>
            <w:vAlign w:val="bottom"/>
            <w:tcBorders>
              <w:bottom w:val="single" w:sz="8" w:color="CCEC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2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b w:val="1"/>
                <w:bCs w:val="1"/>
                <w:color w:val="auto"/>
              </w:rPr>
              <w:t>Total liabilities and net assets</w:t>
            </w: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817,592,955</w:t>
            </w:r>
          </w:p>
        </w:tc>
        <w:tc>
          <w:tcPr>
            <w:tcW w:w="44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4"/>
                <w:szCs w:val="14"/>
                <w:color w:val="auto"/>
              </w:rPr>
              <w:t>711,493,846</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Net asset value per share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11.08</w:t>
            </w: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20" w:top="967"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22860</wp:posOffset>
            </wp:positionV>
            <wp:extent cx="18859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37" w:lineRule="exact"/>
        <w:rPr>
          <w:sz w:val="20"/>
          <w:szCs w:val="20"/>
          <w:color w:val="auto"/>
        </w:rPr>
      </w:pPr>
    </w:p>
    <w:p>
      <w:pPr>
        <w:ind w:left="5760"/>
        <w:spacing w:after="0"/>
        <w:tabs>
          <w:tab w:leader="none" w:pos="7460" w:val="left"/>
        </w:tabs>
        <w:rPr>
          <w:sz w:val="20"/>
          <w:szCs w:val="20"/>
          <w:color w:val="auto"/>
        </w:rPr>
      </w:pPr>
      <w:r>
        <w:rPr>
          <w:rFonts w:ascii="Arial" w:cs="Arial" w:eastAsia="Arial" w:hAnsi="Arial"/>
          <w:sz w:val="8"/>
          <w:szCs w:val="8"/>
          <w:b w:val="1"/>
          <w:bCs w:val="1"/>
          <w:color w:val="auto"/>
        </w:rPr>
        <w:t>2011</w:t>
      </w:r>
      <w:r>
        <w:rPr>
          <w:sz w:val="20"/>
          <w:szCs w:val="20"/>
          <w:color w:val="auto"/>
        </w:rPr>
        <w:tab/>
      </w:r>
      <w:r>
        <w:rPr>
          <w:rFonts w:ascii="Arial" w:cs="Arial" w:eastAsia="Arial" w:hAnsi="Arial"/>
          <w:sz w:val="8"/>
          <w:szCs w:val="8"/>
          <w:b w:val="1"/>
          <w:bCs w:val="1"/>
          <w:color w:val="auto"/>
        </w:rPr>
        <w:t>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22860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37" w:lineRule="exact"/>
        <w:rPr>
          <w:sz w:val="20"/>
          <w:szCs w:val="20"/>
          <w:color w:val="auto"/>
        </w:rPr>
      </w:pPr>
    </w:p>
    <w:p>
      <w:pPr>
        <w:spacing w:after="0"/>
        <w:tabs>
          <w:tab w:leader="none" w:pos="1620" w:val="left"/>
        </w:tabs>
        <w:rPr>
          <w:sz w:val="20"/>
          <w:szCs w:val="20"/>
          <w:color w:val="auto"/>
        </w:rPr>
      </w:pPr>
      <w:r>
        <w:rPr>
          <w:rFonts w:ascii="Arial" w:cs="Arial" w:eastAsia="Arial" w:hAnsi="Arial"/>
          <w:sz w:val="9"/>
          <w:szCs w:val="9"/>
          <w:b w:val="1"/>
          <w:bCs w:val="1"/>
          <w:color w:val="auto"/>
        </w:rPr>
        <w:t>2011</w:t>
      </w:r>
      <w:r>
        <w:rPr>
          <w:sz w:val="20"/>
          <w:szCs w:val="20"/>
          <w:color w:val="auto"/>
        </w:rPr>
        <w:tab/>
      </w:r>
      <w:r>
        <w:rPr>
          <w:rFonts w:ascii="Arial" w:cs="Arial" w:eastAsia="Arial" w:hAnsi="Arial"/>
          <w:sz w:val="9"/>
          <w:szCs w:val="9"/>
          <w:b w:val="1"/>
          <w:bCs w:val="1"/>
          <w:color w:val="auto"/>
        </w:rPr>
        <w:t>2010</w:t>
      </w:r>
    </w:p>
    <w:p>
      <w:pPr>
        <w:spacing w:after="0" w:line="39" w:lineRule="exact"/>
        <w:rPr>
          <w:sz w:val="20"/>
          <w:szCs w:val="20"/>
          <w:color w:val="auto"/>
        </w:rPr>
      </w:pPr>
    </w:p>
    <w:p>
      <w:pPr>
        <w:sectPr>
          <w:pgSz w:w="11900" w:h="16838" w:orient="portrait"/>
          <w:cols w:equalWidth="0" w:num="2">
            <w:col w:w="8000" w:space="720"/>
            <w:col w:w="252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4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income:</w:t>
            </w:r>
          </w:p>
        </w:tc>
        <w:tc>
          <w:tcPr>
            <w:tcW w:w="34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r>
      <w:tr>
        <w:trPr>
          <w:trHeight w:val="264"/>
        </w:trPr>
        <w:tc>
          <w:tcPr>
            <w:tcW w:w="4740" w:type="dxa"/>
            <w:vAlign w:val="bottom"/>
          </w:tcPr>
          <w:p>
            <w:pPr>
              <w:ind w:left="40"/>
              <w:spacing w:after="0"/>
              <w:rPr>
                <w:sz w:val="20"/>
                <w:szCs w:val="20"/>
                <w:color w:val="auto"/>
              </w:rPr>
            </w:pPr>
            <w:r>
              <w:rPr>
                <w:rFonts w:ascii="Arial" w:cs="Arial" w:eastAsia="Arial" w:hAnsi="Arial"/>
                <w:sz w:val="14"/>
                <w:szCs w:val="14"/>
                <w:color w:val="auto"/>
              </w:rPr>
              <w:t>From non-controlled, non-affiliated investments: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21,046,388</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15,404,934</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60,441,750</w:t>
            </w: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41,140,098</w:t>
            </w:r>
          </w:p>
        </w:tc>
        <w:tc>
          <w:tcPr>
            <w:tcW w:w="100" w:type="dxa"/>
            <w:vAlign w:val="bottom"/>
            <w:shd w:val="clear" w:color="auto" w:fill="CCEEFF"/>
          </w:tcPr>
          <w:p>
            <w:pPr>
              <w:spacing w:after="0"/>
              <w:rPr>
                <w:sz w:val="22"/>
                <w:szCs w:val="22"/>
                <w:color w:val="auto"/>
              </w:rPr>
            </w:pPr>
          </w:p>
        </w:tc>
      </w:tr>
      <w:tr>
        <w:trPr>
          <w:trHeight w:val="276"/>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1,157,228</w:t>
            </w: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594,978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3,237,675</w:t>
            </w: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1,327,063</w:t>
            </w:r>
          </w:p>
        </w:tc>
        <w:tc>
          <w:tcPr>
            <w:tcW w:w="100" w:type="dxa"/>
            <w:vAlign w:val="bottom"/>
            <w:shd w:val="clear" w:color="auto" w:fill="CCEEFF"/>
          </w:tcPr>
          <w:p>
            <w:pPr>
              <w:spacing w:after="0"/>
              <w:rPr>
                <w:sz w:val="24"/>
                <w:szCs w:val="24"/>
                <w:color w:val="auto"/>
              </w:rPr>
            </w:pPr>
          </w:p>
        </w:tc>
      </w:tr>
      <w:tr>
        <w:trPr>
          <w:trHeight w:val="276"/>
        </w:trPr>
        <w:tc>
          <w:tcPr>
            <w:tcW w:w="4740" w:type="dxa"/>
            <w:vAlign w:val="bottom"/>
            <w:shd w:val="clear" w:color="auto" w:fill="CCECFF"/>
          </w:tcPr>
          <w:p>
            <w:pPr>
              <w:ind w:left="40"/>
              <w:spacing w:after="0"/>
              <w:rPr>
                <w:sz w:val="20"/>
                <w:szCs w:val="20"/>
                <w:color w:val="auto"/>
              </w:rPr>
            </w:pPr>
            <w:r>
              <w:rPr>
                <w:rFonts w:ascii="Arial" w:cs="Arial" w:eastAsia="Arial" w:hAnsi="Arial"/>
                <w:sz w:val="14"/>
                <w:szCs w:val="14"/>
                <w:color w:val="auto"/>
              </w:rPr>
              <w:t>From non-controlled, affiliated investments:</w:t>
            </w:r>
          </w:p>
        </w:tc>
        <w:tc>
          <w:tcPr>
            <w:tcW w:w="340" w:type="dxa"/>
            <w:vAlign w:val="bottom"/>
            <w:shd w:val="clear" w:color="auto" w:fill="CCECFF"/>
          </w:tcPr>
          <w:p>
            <w:pPr>
              <w:spacing w:after="0"/>
              <w:rPr>
                <w:sz w:val="24"/>
                <w:szCs w:val="24"/>
                <w:color w:val="auto"/>
              </w:rPr>
            </w:pPr>
          </w:p>
        </w:tc>
        <w:tc>
          <w:tcPr>
            <w:tcW w:w="260" w:type="dxa"/>
            <w:vAlign w:val="bottom"/>
            <w:shd w:val="clear" w:color="auto" w:fill="CCECFF"/>
          </w:tcPr>
          <w:p>
            <w:pPr>
              <w:spacing w:after="0"/>
              <w:rPr>
                <w:sz w:val="24"/>
                <w:szCs w:val="24"/>
                <w:color w:val="auto"/>
              </w:rPr>
            </w:pPr>
          </w:p>
        </w:tc>
        <w:tc>
          <w:tcPr>
            <w:tcW w:w="980" w:type="dxa"/>
            <w:vAlign w:val="bottom"/>
            <w:shd w:val="clear" w:color="auto" w:fill="CCECFF"/>
          </w:tcPr>
          <w:p>
            <w:pPr>
              <w:spacing w:after="0"/>
              <w:rPr>
                <w:sz w:val="24"/>
                <w:szCs w:val="24"/>
                <w:color w:val="auto"/>
              </w:rPr>
            </w:pPr>
          </w:p>
        </w:tc>
        <w:tc>
          <w:tcPr>
            <w:tcW w:w="460" w:type="dxa"/>
            <w:vAlign w:val="bottom"/>
            <w:shd w:val="clear" w:color="auto" w:fill="CCECFF"/>
          </w:tcPr>
          <w:p>
            <w:pPr>
              <w:spacing w:after="0"/>
              <w:rPr>
                <w:sz w:val="24"/>
                <w:szCs w:val="24"/>
                <w:color w:val="auto"/>
              </w:rPr>
            </w:pPr>
          </w:p>
        </w:tc>
        <w:tc>
          <w:tcPr>
            <w:tcW w:w="300" w:type="dxa"/>
            <w:vAlign w:val="bottom"/>
            <w:shd w:val="clear" w:color="auto" w:fill="CCECFF"/>
          </w:tcPr>
          <w:p>
            <w:pPr>
              <w:spacing w:after="0"/>
              <w:rPr>
                <w:sz w:val="24"/>
                <w:szCs w:val="24"/>
                <w:color w:val="auto"/>
              </w:rPr>
            </w:pPr>
          </w:p>
        </w:tc>
        <w:tc>
          <w:tcPr>
            <w:tcW w:w="96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900" w:type="dxa"/>
            <w:vAlign w:val="bottom"/>
            <w:shd w:val="clear" w:color="auto" w:fill="CCECFF"/>
          </w:tcPr>
          <w:p>
            <w:pPr>
              <w:spacing w:after="0"/>
              <w:rPr>
                <w:sz w:val="24"/>
                <w:szCs w:val="24"/>
                <w:color w:val="auto"/>
              </w:rPr>
            </w:pPr>
          </w:p>
        </w:tc>
        <w:tc>
          <w:tcPr>
            <w:tcW w:w="42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112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r>
      <w:tr>
        <w:trPr>
          <w:trHeight w:val="264"/>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389,709</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335,159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1,134,363</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991,388</w:t>
            </w:r>
          </w:p>
        </w:tc>
        <w:tc>
          <w:tcPr>
            <w:tcW w:w="100" w:type="dxa"/>
            <w:vAlign w:val="bottom"/>
            <w:shd w:val="clear" w:color="auto" w:fill="CCEEFF"/>
          </w:tcPr>
          <w:p>
            <w:pPr>
              <w:spacing w:after="0"/>
              <w:rPr>
                <w:sz w:val="22"/>
                <w:szCs w:val="22"/>
                <w:color w:val="auto"/>
              </w:rPr>
            </w:pPr>
          </w:p>
        </w:tc>
      </w:tr>
      <w:tr>
        <w:trPr>
          <w:trHeight w:val="276"/>
        </w:trPr>
        <w:tc>
          <w:tcPr>
            <w:tcW w:w="4740" w:type="dxa"/>
            <w:vAlign w:val="bottom"/>
            <w:shd w:val="clear" w:color="auto" w:fill="CCECFF"/>
          </w:tcPr>
          <w:p>
            <w:pPr>
              <w:ind w:left="40"/>
              <w:spacing w:after="0"/>
              <w:rPr>
                <w:sz w:val="20"/>
                <w:szCs w:val="20"/>
                <w:color w:val="auto"/>
              </w:rPr>
            </w:pPr>
            <w:r>
              <w:rPr>
                <w:rFonts w:ascii="Arial" w:cs="Arial" w:eastAsia="Arial" w:hAnsi="Arial"/>
                <w:sz w:val="14"/>
                <w:szCs w:val="14"/>
                <w:color w:val="auto"/>
              </w:rPr>
              <w:t>From controlled, affiliated investments:</w:t>
            </w:r>
          </w:p>
        </w:tc>
        <w:tc>
          <w:tcPr>
            <w:tcW w:w="340" w:type="dxa"/>
            <w:vAlign w:val="bottom"/>
            <w:shd w:val="clear" w:color="auto" w:fill="CCECFF"/>
          </w:tcPr>
          <w:p>
            <w:pPr>
              <w:spacing w:after="0"/>
              <w:rPr>
                <w:sz w:val="24"/>
                <w:szCs w:val="24"/>
                <w:color w:val="auto"/>
              </w:rPr>
            </w:pPr>
          </w:p>
        </w:tc>
        <w:tc>
          <w:tcPr>
            <w:tcW w:w="260" w:type="dxa"/>
            <w:vAlign w:val="bottom"/>
            <w:shd w:val="clear" w:color="auto" w:fill="CCECFF"/>
          </w:tcPr>
          <w:p>
            <w:pPr>
              <w:spacing w:after="0"/>
              <w:rPr>
                <w:sz w:val="24"/>
                <w:szCs w:val="24"/>
                <w:color w:val="auto"/>
              </w:rPr>
            </w:pPr>
          </w:p>
        </w:tc>
        <w:tc>
          <w:tcPr>
            <w:tcW w:w="980" w:type="dxa"/>
            <w:vAlign w:val="bottom"/>
            <w:shd w:val="clear" w:color="auto" w:fill="CCECFF"/>
          </w:tcPr>
          <w:p>
            <w:pPr>
              <w:spacing w:after="0"/>
              <w:rPr>
                <w:sz w:val="24"/>
                <w:szCs w:val="24"/>
                <w:color w:val="auto"/>
              </w:rPr>
            </w:pPr>
          </w:p>
        </w:tc>
        <w:tc>
          <w:tcPr>
            <w:tcW w:w="460" w:type="dxa"/>
            <w:vAlign w:val="bottom"/>
            <w:shd w:val="clear" w:color="auto" w:fill="CCECFF"/>
          </w:tcPr>
          <w:p>
            <w:pPr>
              <w:spacing w:after="0"/>
              <w:rPr>
                <w:sz w:val="24"/>
                <w:szCs w:val="24"/>
                <w:color w:val="auto"/>
              </w:rPr>
            </w:pPr>
          </w:p>
        </w:tc>
        <w:tc>
          <w:tcPr>
            <w:tcW w:w="300" w:type="dxa"/>
            <w:vAlign w:val="bottom"/>
            <w:shd w:val="clear" w:color="auto" w:fill="CCECFF"/>
          </w:tcPr>
          <w:p>
            <w:pPr>
              <w:spacing w:after="0"/>
              <w:rPr>
                <w:sz w:val="24"/>
                <w:szCs w:val="24"/>
                <w:color w:val="auto"/>
              </w:rPr>
            </w:pPr>
          </w:p>
        </w:tc>
        <w:tc>
          <w:tcPr>
            <w:tcW w:w="96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900" w:type="dxa"/>
            <w:vAlign w:val="bottom"/>
            <w:shd w:val="clear" w:color="auto" w:fill="CCECFF"/>
          </w:tcPr>
          <w:p>
            <w:pPr>
              <w:spacing w:after="0"/>
              <w:rPr>
                <w:sz w:val="24"/>
                <w:szCs w:val="24"/>
                <w:color w:val="auto"/>
              </w:rPr>
            </w:pPr>
          </w:p>
        </w:tc>
        <w:tc>
          <w:tcPr>
            <w:tcW w:w="42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112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r>
      <w:tr>
        <w:trPr>
          <w:trHeight w:val="264"/>
        </w:trPr>
        <w:tc>
          <w:tcPr>
            <w:tcW w:w="4740" w:type="dxa"/>
            <w:vAlign w:val="bottom"/>
            <w:tcBorders>
              <w:bottom w:val="single" w:sz="8" w:color="CCECFF"/>
            </w:tcBorders>
          </w:tcPr>
          <w:p>
            <w:pPr>
              <w:ind w:left="40"/>
              <w:spacing w:after="0"/>
              <w:rPr>
                <w:sz w:val="20"/>
                <w:szCs w:val="20"/>
                <w:color w:val="auto"/>
              </w:rPr>
            </w:pPr>
            <w:r>
              <w:rPr>
                <w:rFonts w:ascii="Arial" w:cs="Arial" w:eastAsia="Arial" w:hAnsi="Arial"/>
                <w:sz w:val="14"/>
                <w:szCs w:val="14"/>
                <w:color w:val="auto"/>
              </w:rPr>
              <w:t>Interest</w:t>
            </w:r>
          </w:p>
        </w:tc>
        <w:tc>
          <w:tcPr>
            <w:tcW w:w="340" w:type="dxa"/>
            <w:vAlign w:val="bottom"/>
            <w:tcBorders>
              <w:bottom w:val="single" w:sz="8" w:color="CCEC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315,000</w:t>
            </w:r>
          </w:p>
        </w:tc>
        <w:tc>
          <w:tcPr>
            <w:tcW w:w="460" w:type="dxa"/>
            <w:vAlign w:val="bottom"/>
            <w:tcBorders>
              <w:bottom w:val="single" w:sz="8" w:color="CCEC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C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785,167</w:t>
            </w:r>
          </w:p>
        </w:tc>
        <w:tc>
          <w:tcPr>
            <w:tcW w:w="420" w:type="dxa"/>
            <w:vAlign w:val="bottom"/>
            <w:tcBorders>
              <w:bottom w:val="single" w:sz="8" w:color="CCEC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22"/>
                <w:szCs w:val="22"/>
                <w:color w:val="auto"/>
              </w:rPr>
            </w:pPr>
          </w:p>
        </w:tc>
      </w:tr>
      <w:tr>
        <w:trPr>
          <w:trHeight w:val="263"/>
        </w:trPr>
        <w:tc>
          <w:tcPr>
            <w:tcW w:w="4740" w:type="dxa"/>
            <w:vAlign w:val="bottom"/>
            <w:shd w:val="clear" w:color="auto" w:fill="CCECFF"/>
          </w:tcPr>
          <w:p>
            <w:pPr>
              <w:ind w:left="240"/>
              <w:spacing w:after="0"/>
              <w:rPr>
                <w:sz w:val="20"/>
                <w:szCs w:val="20"/>
                <w:color w:val="auto"/>
              </w:rPr>
            </w:pPr>
            <w:r>
              <w:rPr>
                <w:rFonts w:ascii="Arial" w:cs="Arial" w:eastAsia="Arial" w:hAnsi="Arial"/>
                <w:sz w:val="14"/>
                <w:szCs w:val="14"/>
                <w:b w:val="1"/>
                <w:bCs w:val="1"/>
                <w:color w:val="auto"/>
              </w:rPr>
              <w:t>Total investment income</w:t>
            </w:r>
          </w:p>
        </w:tc>
        <w:tc>
          <w:tcPr>
            <w:tcW w:w="340" w:type="dxa"/>
            <w:vAlign w:val="bottom"/>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98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22,908,325</w:t>
            </w:r>
          </w:p>
        </w:tc>
        <w:tc>
          <w:tcPr>
            <w:tcW w:w="460" w:type="dxa"/>
            <w:vAlign w:val="bottom"/>
            <w:shd w:val="clear" w:color="auto" w:fill="CCECFF"/>
          </w:tcPr>
          <w:p>
            <w:pPr>
              <w:spacing w:after="0"/>
              <w:rPr>
                <w:sz w:val="22"/>
                <w:szCs w:val="22"/>
                <w:color w:val="auto"/>
              </w:rPr>
            </w:pPr>
          </w:p>
        </w:tc>
        <w:tc>
          <w:tcPr>
            <w:tcW w:w="300" w:type="dxa"/>
            <w:vAlign w:val="bottom"/>
            <w:tcBorders>
              <w:bottom w:val="single" w:sz="8" w:color="auto"/>
            </w:tcBorders>
            <w:shd w:val="clear" w:color="auto" w:fill="CCECFF"/>
          </w:tcPr>
          <w:p>
            <w:pPr>
              <w:spacing w:after="0"/>
              <w:rPr>
                <w:sz w:val="22"/>
                <w:szCs w:val="22"/>
                <w:color w:val="auto"/>
              </w:rPr>
            </w:pPr>
          </w:p>
        </w:tc>
        <w:tc>
          <w:tcPr>
            <w:tcW w:w="96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16,335,071</w:t>
            </w:r>
          </w:p>
        </w:tc>
        <w:tc>
          <w:tcPr>
            <w:tcW w:w="220" w:type="dxa"/>
            <w:vAlign w:val="bottom"/>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65,598,955</w:t>
            </w:r>
          </w:p>
        </w:tc>
        <w:tc>
          <w:tcPr>
            <w:tcW w:w="420" w:type="dxa"/>
            <w:vAlign w:val="bottom"/>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112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43,458,549</w:t>
            </w:r>
          </w:p>
        </w:tc>
        <w:tc>
          <w:tcPr>
            <w:tcW w:w="100" w:type="dxa"/>
            <w:vAlign w:val="bottom"/>
            <w:shd w:val="clear" w:color="auto" w:fill="CCECFF"/>
          </w:tcPr>
          <w:p>
            <w:pPr>
              <w:spacing w:after="0"/>
              <w:rPr>
                <w:sz w:val="22"/>
                <w:szCs w:val="22"/>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4"/>
        </w:trPr>
        <w:tc>
          <w:tcPr>
            <w:tcW w:w="4740" w:type="dxa"/>
            <w:vAlign w:val="bottom"/>
          </w:tcPr>
          <w:p>
            <w:pPr>
              <w:ind w:left="40"/>
              <w:spacing w:after="0"/>
              <w:rPr>
                <w:sz w:val="20"/>
                <w:szCs w:val="20"/>
                <w:color w:val="auto"/>
              </w:rPr>
            </w:pPr>
            <w:r>
              <w:rPr>
                <w:rFonts w:ascii="Arial" w:cs="Arial" w:eastAsia="Arial" w:hAnsi="Arial"/>
                <w:sz w:val="14"/>
                <w:szCs w:val="14"/>
                <w:color w:val="auto"/>
              </w:rPr>
              <w:t>Base management fee</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3,803,994</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3,035,172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10,891,930</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8,331,957</w:t>
            </w:r>
          </w:p>
        </w:tc>
        <w:tc>
          <w:tcPr>
            <w:tcW w:w="100" w:type="dxa"/>
            <w:vAlign w:val="bottom"/>
          </w:tcPr>
          <w:p>
            <w:pPr>
              <w:spacing w:after="0"/>
              <w:rPr>
                <w:sz w:val="22"/>
                <w:szCs w:val="22"/>
                <w:color w:val="auto"/>
              </w:rPr>
            </w:pPr>
          </w:p>
        </w:tc>
      </w:tr>
      <w:tr>
        <w:trPr>
          <w:trHeight w:val="276"/>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incentive fee</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3,256,341</w:t>
            </w: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2,205,310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9,387,769</w:t>
            </w: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5,779,297</w:t>
            </w:r>
          </w:p>
        </w:tc>
        <w:tc>
          <w:tcPr>
            <w:tcW w:w="100" w:type="dxa"/>
            <w:vAlign w:val="bottom"/>
            <w:shd w:val="clear" w:color="auto" w:fill="CCEEFF"/>
          </w:tcPr>
          <w:p>
            <w:pPr>
              <w:spacing w:after="0"/>
              <w:rPr>
                <w:sz w:val="24"/>
                <w:szCs w:val="24"/>
                <w:color w:val="auto"/>
              </w:rPr>
            </w:pPr>
          </w:p>
        </w:tc>
      </w:tr>
      <w:tr>
        <w:trPr>
          <w:trHeight w:val="264"/>
        </w:trPr>
        <w:tc>
          <w:tcPr>
            <w:tcW w:w="4740" w:type="dxa"/>
            <w:vAlign w:val="bottom"/>
          </w:tcPr>
          <w:p>
            <w:pPr>
              <w:ind w:left="40"/>
              <w:spacing w:after="0"/>
              <w:rPr>
                <w:sz w:val="20"/>
                <w:szCs w:val="20"/>
                <w:color w:val="auto"/>
              </w:rPr>
            </w:pPr>
            <w:r>
              <w:rPr>
                <w:rFonts w:ascii="Arial" w:cs="Arial" w:eastAsia="Arial" w:hAnsi="Arial"/>
                <w:sz w:val="14"/>
                <w:szCs w:val="14"/>
                <w:color w:val="auto"/>
              </w:rPr>
              <w:t>Interest and expenses on the credit facility and SBA debentures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1,329,441</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962,597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3,551,391</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2,619,555</w:t>
            </w:r>
          </w:p>
        </w:tc>
        <w:tc>
          <w:tcPr>
            <w:tcW w:w="100" w:type="dxa"/>
            <w:vAlign w:val="bottom"/>
          </w:tcPr>
          <w:p>
            <w:pPr>
              <w:spacing w:after="0"/>
              <w:rPr>
                <w:sz w:val="22"/>
                <w:szCs w:val="22"/>
                <w:color w:val="auto"/>
              </w:rPr>
            </w:pPr>
          </w:p>
        </w:tc>
      </w:tr>
      <w:tr>
        <w:trPr>
          <w:trHeight w:val="276"/>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Administrative services expenses</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583,215</w:t>
            </w: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709,737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1,812,932</w:t>
            </w: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1,806,860</w:t>
            </w:r>
          </w:p>
        </w:tc>
        <w:tc>
          <w:tcPr>
            <w:tcW w:w="100" w:type="dxa"/>
            <w:vAlign w:val="bottom"/>
            <w:shd w:val="clear" w:color="auto" w:fill="CCEEFF"/>
          </w:tcPr>
          <w:p>
            <w:pPr>
              <w:spacing w:after="0"/>
              <w:rPr>
                <w:sz w:val="24"/>
                <w:szCs w:val="24"/>
                <w:color w:val="auto"/>
              </w:rPr>
            </w:pP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general and administrative expenses</w:t>
            </w: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680,322</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601,011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2,211,349</w:t>
            </w:r>
          </w:p>
        </w:tc>
        <w:tc>
          <w:tcPr>
            <w:tcW w:w="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1,705,400</w:t>
            </w:r>
          </w:p>
        </w:tc>
        <w:tc>
          <w:tcPr>
            <w:tcW w:w="100" w:type="dxa"/>
            <w:vAlign w:val="bottom"/>
            <w:tcBorders>
              <w:bottom w:val="single" w:sz="8" w:color="CCEEFF"/>
            </w:tcBorders>
          </w:tcPr>
          <w:p>
            <w:pPr>
              <w:spacing w:after="0"/>
              <w:rPr>
                <w:sz w:val="22"/>
                <w:szCs w:val="22"/>
                <w:color w:val="auto"/>
              </w:rPr>
            </w:pPr>
          </w:p>
        </w:tc>
      </w:tr>
      <w:tr>
        <w:trPr>
          <w:trHeight w:val="269"/>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 before taxes</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9,653,313</w:t>
            </w: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7,513,827</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27,855,371</w:t>
            </w: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20,243,069</w:t>
            </w:r>
          </w:p>
        </w:tc>
        <w:tc>
          <w:tcPr>
            <w:tcW w:w="100" w:type="dxa"/>
            <w:vAlign w:val="bottom"/>
            <w:shd w:val="clear" w:color="auto" w:fill="CCEEFF"/>
          </w:tcPr>
          <w:p>
            <w:pPr>
              <w:spacing w:after="0"/>
              <w:rPr>
                <w:sz w:val="23"/>
                <w:szCs w:val="23"/>
                <w:color w:val="auto"/>
              </w:rPr>
            </w:pP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Excise tax</w:t>
            </w: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35,000</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193,824</w:t>
            </w:r>
          </w:p>
        </w:tc>
        <w:tc>
          <w:tcPr>
            <w:tcW w:w="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97,890</w:t>
            </w:r>
          </w:p>
        </w:tc>
        <w:tc>
          <w:tcPr>
            <w:tcW w:w="100" w:type="dxa"/>
            <w:vAlign w:val="bottom"/>
            <w:tcBorders>
              <w:bottom w:val="single" w:sz="8" w:color="CCEEFF"/>
            </w:tcBorders>
          </w:tcPr>
          <w:p>
            <w:pPr>
              <w:spacing w:after="0"/>
              <w:rPr>
                <w:sz w:val="22"/>
                <w:szCs w:val="22"/>
                <w:color w:val="auto"/>
              </w:rPr>
            </w:pPr>
          </w:p>
        </w:tc>
      </w:tr>
      <w:tr>
        <w:trPr>
          <w:trHeight w:val="269"/>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9,688,313</w:t>
            </w:r>
          </w:p>
        </w:tc>
        <w:tc>
          <w:tcPr>
            <w:tcW w:w="4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7,513,827</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28,049,195</w:t>
            </w:r>
          </w:p>
        </w:tc>
        <w:tc>
          <w:tcPr>
            <w:tcW w:w="4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20,340,959</w:t>
            </w:r>
          </w:p>
        </w:tc>
        <w:tc>
          <w:tcPr>
            <w:tcW w:w="100" w:type="dxa"/>
            <w:vAlign w:val="bottom"/>
            <w:shd w:val="clear" w:color="auto" w:fill="CCEEFF"/>
          </w:tcPr>
          <w:p>
            <w:pPr>
              <w:spacing w:after="0"/>
              <w:rPr>
                <w:sz w:val="23"/>
                <w:szCs w:val="23"/>
                <w:color w:val="auto"/>
              </w:rPr>
            </w:pPr>
          </w:p>
        </w:tc>
      </w:tr>
      <w:tr>
        <w:trPr>
          <w:trHeight w:val="258"/>
        </w:trPr>
        <w:tc>
          <w:tcPr>
            <w:tcW w:w="4740" w:type="dxa"/>
            <w:vAlign w:val="bottom"/>
          </w:tcPr>
          <w:p>
            <w:pPr>
              <w:ind w:left="260"/>
              <w:spacing w:after="0"/>
              <w:rPr>
                <w:sz w:val="20"/>
                <w:szCs w:val="20"/>
                <w:color w:val="auto"/>
              </w:rPr>
            </w:pPr>
            <w:r>
              <w:rPr>
                <w:rFonts w:ascii="Arial" w:cs="Arial" w:eastAsia="Arial" w:hAnsi="Arial"/>
                <w:sz w:val="14"/>
                <w:szCs w:val="14"/>
                <w:b w:val="1"/>
                <w:bCs w:val="1"/>
                <w:color w:val="auto"/>
              </w:rPr>
              <w:t>Net investment income</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13,220,012</w:t>
            </w:r>
          </w:p>
        </w:tc>
        <w:tc>
          <w:tcPr>
            <w:tcW w:w="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8,821,244</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37,549,760</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23,117,590</w:t>
            </w:r>
          </w:p>
        </w:tc>
        <w:tc>
          <w:tcPr>
            <w:tcW w:w="100" w:type="dxa"/>
            <w:vAlign w:val="bottom"/>
          </w:tcPr>
          <w:p>
            <w:pPr>
              <w:spacing w:after="0"/>
              <w:rPr>
                <w:sz w:val="22"/>
                <w:szCs w:val="22"/>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58"/>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realized gain (loss) on non-controlled, non-affiliated investments</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6,155,867</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100,295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8,735,680</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(16,644,556)</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82"/>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unrealized appreciation (depreciation) on:</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64"/>
        </w:trPr>
        <w:tc>
          <w:tcPr>
            <w:tcW w:w="4740" w:type="dxa"/>
            <w:vAlign w:val="bottom"/>
          </w:tcPr>
          <w:p>
            <w:pPr>
              <w:ind w:left="40"/>
              <w:spacing w:after="0"/>
              <w:rPr>
                <w:sz w:val="20"/>
                <w:szCs w:val="20"/>
                <w:color w:val="auto"/>
              </w:rPr>
            </w:pPr>
            <w:r>
              <w:rPr>
                <w:rFonts w:ascii="Arial" w:cs="Arial" w:eastAsia="Arial" w:hAnsi="Arial"/>
                <w:sz w:val="14"/>
                <w:szCs w:val="14"/>
                <w:color w:val="auto"/>
              </w:rPr>
              <w:t>Non-controlled, non-affiliated investments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(14,977,901)</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(1,732,131)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8,486,459</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32,257,205</w:t>
            </w:r>
          </w:p>
        </w:tc>
        <w:tc>
          <w:tcPr>
            <w:tcW w:w="100" w:type="dxa"/>
            <w:vAlign w:val="bottom"/>
          </w:tcPr>
          <w:p>
            <w:pPr>
              <w:spacing w:after="0"/>
              <w:rPr>
                <w:sz w:val="22"/>
                <w:szCs w:val="22"/>
                <w:color w:val="auto"/>
              </w:rPr>
            </w:pPr>
          </w:p>
        </w:tc>
      </w:tr>
      <w:tr>
        <w:trPr>
          <w:trHeight w:val="276"/>
        </w:trPr>
        <w:tc>
          <w:tcPr>
            <w:tcW w:w="4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Non-controlled, affiliated investments</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(1,474,634)</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279,017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(1,435,799)</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74,918</w:t>
            </w:r>
          </w:p>
        </w:tc>
        <w:tc>
          <w:tcPr>
            <w:tcW w:w="100" w:type="dxa"/>
            <w:vAlign w:val="bottom"/>
            <w:shd w:val="clear" w:color="auto" w:fill="CCEEFF"/>
          </w:tcPr>
          <w:p>
            <w:pPr>
              <w:spacing w:after="0"/>
              <w:rPr>
                <w:sz w:val="24"/>
                <w:szCs w:val="24"/>
                <w:color w:val="auto"/>
              </w:rPr>
            </w:pPr>
          </w:p>
        </w:tc>
      </w:tr>
      <w:tr>
        <w:trPr>
          <w:trHeight w:val="264"/>
        </w:trPr>
        <w:tc>
          <w:tcPr>
            <w:tcW w:w="4740" w:type="dxa"/>
            <w:vAlign w:val="bottom"/>
          </w:tcPr>
          <w:p>
            <w:pPr>
              <w:ind w:left="280"/>
              <w:spacing w:after="0"/>
              <w:rPr>
                <w:sz w:val="20"/>
                <w:szCs w:val="20"/>
                <w:color w:val="auto"/>
              </w:rPr>
            </w:pPr>
            <w:r>
              <w:rPr>
                <w:rFonts w:ascii="Arial" w:cs="Arial" w:eastAsia="Arial" w:hAnsi="Arial"/>
                <w:sz w:val="14"/>
                <w:szCs w:val="14"/>
                <w:color w:val="auto"/>
              </w:rPr>
              <w:t>Controlled, affiliated investments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r>
      <w:tr>
        <w:trPr>
          <w:trHeight w:val="276"/>
        </w:trPr>
        <w:tc>
          <w:tcPr>
            <w:tcW w:w="4740" w:type="dxa"/>
            <w:vAlign w:val="bottom"/>
            <w:shd w:val="clear" w:color="auto" w:fill="CCECFF"/>
          </w:tcPr>
          <w:p>
            <w:pPr>
              <w:ind w:left="280"/>
              <w:spacing w:after="0"/>
              <w:rPr>
                <w:sz w:val="20"/>
                <w:szCs w:val="20"/>
                <w:color w:val="auto"/>
              </w:rPr>
            </w:pPr>
            <w:r>
              <w:rPr>
                <w:rFonts w:ascii="Arial" w:cs="Arial" w:eastAsia="Arial" w:hAnsi="Arial"/>
                <w:sz w:val="14"/>
                <w:szCs w:val="14"/>
                <w:color w:val="auto"/>
              </w:rPr>
              <w:t>Credit facility unrealized (appreciation)</w:t>
            </w:r>
          </w:p>
        </w:tc>
        <w:tc>
          <w:tcPr>
            <w:tcW w:w="340" w:type="dxa"/>
            <w:vAlign w:val="bottom"/>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spacing w:after="0"/>
              <w:rPr>
                <w:sz w:val="24"/>
                <w:szCs w:val="2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(604,929)</w:t>
            </w:r>
          </w:p>
        </w:tc>
        <w:tc>
          <w:tcPr>
            <w:tcW w:w="460" w:type="dxa"/>
            <w:vAlign w:val="bottom"/>
            <w:shd w:val="clear" w:color="auto" w:fill="CCECFF"/>
          </w:tcPr>
          <w:p>
            <w:pPr>
              <w:jc w:val="right"/>
              <w:ind w:right="3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CFF"/>
          </w:tcPr>
          <w:p>
            <w:pPr>
              <w:spacing w:after="0"/>
              <w:rPr>
                <w:sz w:val="24"/>
                <w:szCs w:val="24"/>
                <w:color w:val="auto"/>
              </w:rPr>
            </w:pPr>
          </w:p>
        </w:tc>
        <w:tc>
          <w:tcPr>
            <w:tcW w:w="960" w:type="dxa"/>
            <w:vAlign w:val="bottom"/>
            <w:tcBorders>
              <w:bottom w:val="single" w:sz="8" w:color="auto"/>
            </w:tcBorders>
            <w:shd w:val="clear" w:color="auto" w:fill="CCECFF"/>
          </w:tcPr>
          <w:p>
            <w:pPr>
              <w:jc w:val="right"/>
              <w:ind w:right="8"/>
              <w:spacing w:after="0"/>
              <w:rPr>
                <w:sz w:val="20"/>
                <w:szCs w:val="20"/>
                <w:color w:val="auto"/>
              </w:rPr>
            </w:pPr>
            <w:r>
              <w:rPr>
                <w:rFonts w:ascii="Arial" w:cs="Arial" w:eastAsia="Arial" w:hAnsi="Arial"/>
                <w:sz w:val="14"/>
                <w:szCs w:val="14"/>
                <w:color w:val="auto"/>
              </w:rPr>
              <w:t>(3,208,992)</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CFF"/>
          </w:tcPr>
          <w:p>
            <w:pPr>
              <w:spacing w:after="0"/>
              <w:rPr>
                <w:sz w:val="24"/>
                <w:szCs w:val="2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(11,908,375)</w:t>
            </w:r>
          </w:p>
        </w:tc>
        <w:tc>
          <w:tcPr>
            <w:tcW w:w="420" w:type="dxa"/>
            <w:vAlign w:val="bottom"/>
            <w:shd w:val="clear" w:color="auto" w:fill="CCECFF"/>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CFF"/>
          </w:tcPr>
          <w:p>
            <w:pPr>
              <w:spacing w:after="0"/>
              <w:rPr>
                <w:sz w:val="24"/>
                <w:szCs w:val="2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(28,900,620)</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258"/>
        </w:trPr>
        <w:tc>
          <w:tcPr>
            <w:tcW w:w="4740" w:type="dxa"/>
            <w:vAlign w:val="bottom"/>
            <w:tcBorders>
              <w:bottom w:val="single" w:sz="8" w:color="CCECFF"/>
            </w:tcBorders>
          </w:tcPr>
          <w:p>
            <w:pPr>
              <w:ind w:left="40"/>
              <w:spacing w:after="0"/>
              <w:rPr>
                <w:sz w:val="20"/>
                <w:szCs w:val="20"/>
                <w:color w:val="auto"/>
              </w:rPr>
            </w:pPr>
            <w:r>
              <w:rPr>
                <w:rFonts w:ascii="Arial" w:cs="Arial" w:eastAsia="Arial" w:hAnsi="Arial"/>
                <w:sz w:val="14"/>
                <w:szCs w:val="14"/>
                <w:b w:val="1"/>
                <w:bCs w:val="1"/>
                <w:color w:val="auto"/>
              </w:rPr>
              <w:t>Net change in unrealized (depreciation) appreciation</w:t>
            </w:r>
          </w:p>
        </w:tc>
        <w:tc>
          <w:tcPr>
            <w:tcW w:w="340" w:type="dxa"/>
            <w:vAlign w:val="bottom"/>
            <w:tcBorders>
              <w:bottom w:val="single" w:sz="8" w:color="CCEC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(17,057,464)</w:t>
            </w:r>
          </w:p>
        </w:tc>
        <w:tc>
          <w:tcPr>
            <w:tcW w:w="460" w:type="dxa"/>
            <w:vAlign w:val="bottom"/>
            <w:tcBorders>
              <w:bottom w:val="single" w:sz="8" w:color="CCECFF"/>
            </w:tcBorders>
          </w:tcPr>
          <w:p>
            <w:pPr>
              <w:jc w:val="right"/>
              <w:ind w:right="3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(4,662,106)</w:t>
            </w:r>
          </w:p>
        </w:tc>
        <w:tc>
          <w:tcPr>
            <w:tcW w:w="220" w:type="dxa"/>
            <w:vAlign w:val="bottom"/>
            <w:tcBorders>
              <w:bottom w:val="single" w:sz="8" w:color="CCECFF"/>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(4,857,815)</w:t>
            </w:r>
          </w:p>
        </w:tc>
        <w:tc>
          <w:tcPr>
            <w:tcW w:w="420" w:type="dxa"/>
            <w:vAlign w:val="bottom"/>
            <w:tcBorders>
              <w:bottom w:val="single" w:sz="8" w:color="CCECFF"/>
            </w:tcBorders>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3,431,503</w:t>
            </w:r>
          </w:p>
        </w:tc>
        <w:tc>
          <w:tcPr>
            <w:tcW w:w="100" w:type="dxa"/>
            <w:vAlign w:val="bottom"/>
            <w:tcBorders>
              <w:bottom w:val="single" w:sz="8" w:color="CCECFF"/>
            </w:tcBorders>
          </w:tcPr>
          <w:p>
            <w:pPr>
              <w:spacing w:after="0"/>
              <w:rPr>
                <w:sz w:val="22"/>
                <w:szCs w:val="22"/>
                <w:color w:val="auto"/>
              </w:rPr>
            </w:pPr>
          </w:p>
        </w:tc>
      </w:tr>
      <w:tr>
        <w:trPr>
          <w:trHeight w:val="270"/>
        </w:trPr>
        <w:tc>
          <w:tcPr>
            <w:tcW w:w="4740" w:type="dxa"/>
            <w:vAlign w:val="bottom"/>
            <w:shd w:val="clear" w:color="auto" w:fill="CCECFF"/>
          </w:tcPr>
          <w:p>
            <w:pPr>
              <w:spacing w:after="0"/>
              <w:rPr>
                <w:sz w:val="23"/>
                <w:szCs w:val="23"/>
                <w:color w:val="auto"/>
              </w:rPr>
            </w:pPr>
          </w:p>
        </w:tc>
        <w:tc>
          <w:tcPr>
            <w:tcW w:w="340" w:type="dxa"/>
            <w:vAlign w:val="bottom"/>
            <w:shd w:val="clear" w:color="auto" w:fill="CCECFF"/>
          </w:tcPr>
          <w:p>
            <w:pPr>
              <w:spacing w:after="0"/>
              <w:rPr>
                <w:sz w:val="23"/>
                <w:szCs w:val="23"/>
                <w:color w:val="auto"/>
              </w:rPr>
            </w:pPr>
          </w:p>
        </w:tc>
        <w:tc>
          <w:tcPr>
            <w:tcW w:w="260" w:type="dxa"/>
            <w:vAlign w:val="bottom"/>
            <w:shd w:val="clear" w:color="auto" w:fill="CCECFF"/>
          </w:tcPr>
          <w:p>
            <w:pPr>
              <w:spacing w:after="0"/>
              <w:rPr>
                <w:sz w:val="23"/>
                <w:szCs w:val="23"/>
                <w:color w:val="auto"/>
              </w:rPr>
            </w:pPr>
          </w:p>
        </w:tc>
        <w:tc>
          <w:tcPr>
            <w:tcW w:w="980" w:type="dxa"/>
            <w:vAlign w:val="bottom"/>
            <w:shd w:val="clear" w:color="auto" w:fill="CCECFF"/>
          </w:tcPr>
          <w:p>
            <w:pPr>
              <w:spacing w:after="0"/>
              <w:rPr>
                <w:sz w:val="23"/>
                <w:szCs w:val="23"/>
                <w:color w:val="auto"/>
              </w:rPr>
            </w:pPr>
          </w:p>
        </w:tc>
        <w:tc>
          <w:tcPr>
            <w:tcW w:w="46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c>
          <w:tcPr>
            <w:tcW w:w="96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42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112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r>
      <w:tr>
        <w:trPr>
          <w:trHeight w:val="264"/>
        </w:trPr>
        <w:tc>
          <w:tcPr>
            <w:tcW w:w="4740" w:type="dxa"/>
            <w:vAlign w:val="bottom"/>
            <w:tcBorders>
              <w:bottom w:val="single" w:sz="8" w:color="CCECFF"/>
            </w:tcBorders>
          </w:tcPr>
          <w:p>
            <w:pPr>
              <w:ind w:left="40"/>
              <w:spacing w:after="0"/>
              <w:rPr>
                <w:sz w:val="20"/>
                <w:szCs w:val="20"/>
                <w:color w:val="auto"/>
              </w:rPr>
            </w:pPr>
            <w:r>
              <w:rPr>
                <w:rFonts w:ascii="Arial" w:cs="Arial" w:eastAsia="Arial" w:hAnsi="Arial"/>
                <w:sz w:val="14"/>
                <w:szCs w:val="14"/>
                <w:color w:val="auto"/>
              </w:rPr>
              <w:t>Net realized and unrealized gain (loss) from investments and credit facility</w:t>
            </w:r>
          </w:p>
        </w:tc>
        <w:tc>
          <w:tcPr>
            <w:tcW w:w="340" w:type="dxa"/>
            <w:vAlign w:val="bottom"/>
            <w:tcBorders>
              <w:bottom w:val="single" w:sz="8" w:color="CCEC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(10,901,597)</w:t>
            </w:r>
          </w:p>
        </w:tc>
        <w:tc>
          <w:tcPr>
            <w:tcW w:w="460" w:type="dxa"/>
            <w:vAlign w:val="bottom"/>
            <w:tcBorders>
              <w:bottom w:val="single" w:sz="8" w:color="CCECFF"/>
            </w:tcBorders>
          </w:tcPr>
          <w:p>
            <w:pPr>
              <w:jc w:val="right"/>
              <w:ind w:right="3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(4,561,811)</w:t>
            </w:r>
          </w:p>
        </w:tc>
        <w:tc>
          <w:tcPr>
            <w:tcW w:w="220" w:type="dxa"/>
            <w:vAlign w:val="bottom"/>
            <w:tcBorders>
              <w:bottom w:val="single" w:sz="8" w:color="CCECFF"/>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3,877,865</w:t>
            </w:r>
          </w:p>
        </w:tc>
        <w:tc>
          <w:tcPr>
            <w:tcW w:w="420" w:type="dxa"/>
            <w:vAlign w:val="bottom"/>
            <w:tcBorders>
              <w:bottom w:val="single" w:sz="8" w:color="CCEC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(13,213,053)</w:t>
            </w:r>
          </w:p>
        </w:tc>
        <w:tc>
          <w:tcPr>
            <w:tcW w:w="10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w w:val="84"/>
              </w:rPr>
              <w:t>)</w:t>
            </w:r>
          </w:p>
        </w:tc>
      </w:tr>
      <w:tr>
        <w:trPr>
          <w:trHeight w:val="270"/>
        </w:trPr>
        <w:tc>
          <w:tcPr>
            <w:tcW w:w="4740" w:type="dxa"/>
            <w:vAlign w:val="bottom"/>
            <w:shd w:val="clear" w:color="auto" w:fill="CCECFF"/>
          </w:tcPr>
          <w:p>
            <w:pPr>
              <w:spacing w:after="0"/>
              <w:rPr>
                <w:sz w:val="23"/>
                <w:szCs w:val="23"/>
                <w:color w:val="auto"/>
              </w:rPr>
            </w:pPr>
          </w:p>
        </w:tc>
        <w:tc>
          <w:tcPr>
            <w:tcW w:w="340" w:type="dxa"/>
            <w:vAlign w:val="bottom"/>
            <w:shd w:val="clear" w:color="auto" w:fill="CCECFF"/>
          </w:tcPr>
          <w:p>
            <w:pPr>
              <w:spacing w:after="0"/>
              <w:rPr>
                <w:sz w:val="23"/>
                <w:szCs w:val="23"/>
                <w:color w:val="auto"/>
              </w:rPr>
            </w:pPr>
          </w:p>
        </w:tc>
        <w:tc>
          <w:tcPr>
            <w:tcW w:w="260" w:type="dxa"/>
            <w:vAlign w:val="bottom"/>
            <w:shd w:val="clear" w:color="auto" w:fill="CCECFF"/>
          </w:tcPr>
          <w:p>
            <w:pPr>
              <w:spacing w:after="0"/>
              <w:rPr>
                <w:sz w:val="23"/>
                <w:szCs w:val="23"/>
                <w:color w:val="auto"/>
              </w:rPr>
            </w:pPr>
          </w:p>
        </w:tc>
        <w:tc>
          <w:tcPr>
            <w:tcW w:w="980" w:type="dxa"/>
            <w:vAlign w:val="bottom"/>
            <w:shd w:val="clear" w:color="auto" w:fill="CCECFF"/>
          </w:tcPr>
          <w:p>
            <w:pPr>
              <w:spacing w:after="0"/>
              <w:rPr>
                <w:sz w:val="23"/>
                <w:szCs w:val="23"/>
                <w:color w:val="auto"/>
              </w:rPr>
            </w:pPr>
          </w:p>
        </w:tc>
        <w:tc>
          <w:tcPr>
            <w:tcW w:w="46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c>
          <w:tcPr>
            <w:tcW w:w="96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42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112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r>
      <w:tr>
        <w:trPr>
          <w:trHeight w:val="296"/>
        </w:trPr>
        <w:tc>
          <w:tcPr>
            <w:tcW w:w="4740" w:type="dxa"/>
            <w:vAlign w:val="bottom"/>
            <w:tcBorders>
              <w:bottom w:val="single" w:sz="8" w:color="CCECFF"/>
            </w:tcBorders>
          </w:tcPr>
          <w:p>
            <w:pPr>
              <w:ind w:left="4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Borders>
              <w:bottom w:val="single" w:sz="8" w:color="CCECFF"/>
            </w:tcBorders>
          </w:tcPr>
          <w:p>
            <w:pPr>
              <w:spacing w:after="0"/>
              <w:rPr>
                <w:sz w:val="24"/>
                <w:szCs w:val="2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2,318,415</w:t>
            </w:r>
          </w:p>
        </w:tc>
        <w:tc>
          <w:tcPr>
            <w:tcW w:w="460" w:type="dxa"/>
            <w:vAlign w:val="bottom"/>
            <w:tcBorders>
              <w:bottom w:val="single" w:sz="8" w:color="CCEC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4,259,433</w:t>
            </w:r>
          </w:p>
        </w:tc>
        <w:tc>
          <w:tcPr>
            <w:tcW w:w="220" w:type="dxa"/>
            <w:vAlign w:val="bottom"/>
            <w:tcBorders>
              <w:bottom w:val="single" w:sz="8" w:color="CCEC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41,427,625</w:t>
            </w:r>
          </w:p>
        </w:tc>
        <w:tc>
          <w:tcPr>
            <w:tcW w:w="420" w:type="dxa"/>
            <w:vAlign w:val="bottom"/>
            <w:tcBorders>
              <w:bottom w:val="single" w:sz="8" w:color="CCEC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9,904,537</w:t>
            </w:r>
          </w:p>
        </w:tc>
        <w:tc>
          <w:tcPr>
            <w:tcW w:w="100" w:type="dxa"/>
            <w:vAlign w:val="bottom"/>
            <w:tcBorders>
              <w:bottom w:val="single" w:sz="8" w:color="CCECFF"/>
            </w:tcBorders>
          </w:tcPr>
          <w:p>
            <w:pPr>
              <w:spacing w:after="0"/>
              <w:rPr>
                <w:sz w:val="24"/>
                <w:szCs w:val="24"/>
                <w:color w:val="auto"/>
              </w:rPr>
            </w:pPr>
          </w:p>
        </w:tc>
      </w:tr>
      <w:tr>
        <w:trPr>
          <w:trHeight w:val="251"/>
        </w:trPr>
        <w:tc>
          <w:tcPr>
            <w:tcW w:w="47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64"/>
        </w:trPr>
        <w:tc>
          <w:tcPr>
            <w:tcW w:w="4740" w:type="dxa"/>
            <w:vAlign w:val="bottom"/>
          </w:tcPr>
          <w:p>
            <w:pPr>
              <w:ind w:left="40"/>
              <w:spacing w:after="0"/>
              <w:rPr>
                <w:sz w:val="20"/>
                <w:szCs w:val="20"/>
                <w:color w:val="auto"/>
              </w:rPr>
            </w:pPr>
            <w:r>
              <w:rPr>
                <w:rFonts w:ascii="Arial" w:cs="Arial" w:eastAsia="Arial" w:hAnsi="Arial"/>
                <w:sz w:val="14"/>
                <w:szCs w:val="14"/>
                <w:color w:val="auto"/>
              </w:rPr>
              <w:t>Net increase in net assets resulting from operations per common share</w:t>
            </w:r>
          </w:p>
        </w:tc>
        <w:tc>
          <w:tcPr>
            <w:tcW w:w="6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7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0.13</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6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2"/>
                <w:szCs w:val="22"/>
                <w:color w:val="auto"/>
              </w:rPr>
            </w:pPr>
          </w:p>
        </w:tc>
      </w:tr>
      <w:tr>
        <w:trPr>
          <w:trHeight w:val="276"/>
        </w:trPr>
        <w:tc>
          <w:tcPr>
            <w:tcW w:w="4740" w:type="dxa"/>
            <w:vAlign w:val="bottom"/>
            <w:shd w:val="clear" w:color="auto" w:fill="CCECFF"/>
          </w:tcPr>
          <w:p>
            <w:pPr>
              <w:ind w:left="40"/>
              <w:spacing w:after="0"/>
              <w:rPr>
                <w:sz w:val="20"/>
                <w:szCs w:val="20"/>
                <w:color w:val="auto"/>
              </w:rPr>
            </w:pPr>
            <w:r>
              <w:rPr>
                <w:rFonts w:ascii="Arial" w:cs="Arial" w:eastAsia="Arial" w:hAnsi="Arial"/>
                <w:sz w:val="14"/>
                <w:szCs w:val="14"/>
                <w:color w:val="auto"/>
              </w:rPr>
              <w:t>Net investment income per common share</w:t>
            </w:r>
          </w:p>
        </w:tc>
        <w:tc>
          <w:tcPr>
            <w:tcW w:w="6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0.29</w:t>
            </w:r>
          </w:p>
        </w:tc>
        <w:tc>
          <w:tcPr>
            <w:tcW w:w="76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0.28</w:t>
            </w:r>
          </w:p>
        </w:tc>
        <w:tc>
          <w:tcPr>
            <w:tcW w:w="4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0.92</w:t>
            </w:r>
          </w:p>
        </w:tc>
        <w:tc>
          <w:tcPr>
            <w:tcW w:w="6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CFF"/>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CORPORATION</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senior secured loans, mezzanine debt and equity investments. From time to time, we may also invest in public companies whose securities are thinly traded.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w:t>
      </w:r>
    </w:p>
    <w:p>
      <w:pPr>
        <w:sectPr>
          <w:pgSz w:w="11900" w:h="16838" w:orient="portrait"/>
          <w:cols w:equalWidth="0" w:num="1">
            <w:col w:w="11240"/>
          </w:cols>
          <w:pgMar w:left="320" w:top="792"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statement made herein. All forward-looking statements speak only as of the date of this press release.</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CONTACT:</w:t>
        <w:tab/>
        <w:t>Aviv Efrat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www.pennantpark.com</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2020-05-05T15:11:11Z</dcterms:created>
  <dcterms:modified xsi:type="dcterms:W3CDTF">2020-05-05T15:11:11Z</dcterms:modified>
</cp:coreProperties>
</file>