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4,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spacing w:after="0" w:line="2"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00" w:space="720"/>
            <w:col w:w="1560" w:space="720"/>
            <w:col w:w="3800"/>
          </w:cols>
          <w:pgMar w:left="320" w:top="724" w:right="479" w:bottom="1440" w:gutter="0" w:footer="0" w:header="0"/>
          <w:type w:val="continuous"/>
        </w:sectPr>
      </w:pPr>
    </w:p>
    <w:p>
      <w:pPr>
        <w:spacing w:after="0" w:line="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May 4, 2022, PennantPark Investment Corporation, or the Company, issued a press release announcing its financial results for the second fiscal quarter ended March 31, 2022. A copy of the press release is furnished as Exhibit 99.1 to this report pursuant to Item 2.02 on Form 8-K and Regulation FD.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4, 2022, the Company announced an increase of its third fiscal quarter 2022 distribution. A copy of the press release is furnished as Exhibit 99.1 to this Form 8-K.</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March 31, 2022, including “Item 2. Management's Discussion and Analysis of Financial Condition and Results of Operations – COVID-19 Developments”.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May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4, 2022</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Richard Cheung</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7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Investment Corporation Announces an Increase of Its Quarterly Distribution to $0.145 per Share and Its Financial Results for the Quarter Ended March 31, 2022</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MIAMI, May 04, 2022 (GLOBE NEWSWIRE) -- PennantPark Investment Corporation (NYSE: PNNT) announced today financial results for the second fiscal quarter ended March 31, 2022.</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704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2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22"/>
                <w:szCs w:val="22"/>
                <w:color w:val="auto"/>
              </w:rPr>
              <w:t>Quarter ended March 31, 2022</w:t>
            </w:r>
          </w:p>
        </w:tc>
        <w:tc>
          <w:tcPr>
            <w:tcW w:w="26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22"/>
                <w:szCs w:val="22"/>
                <w:color w:val="auto"/>
              </w:rPr>
              <w:t>($ in millions, except per share amounts)</w:t>
            </w:r>
          </w:p>
        </w:tc>
        <w:tc>
          <w:tcPr>
            <w:tcW w:w="26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4"/>
        </w:trPr>
        <w:tc>
          <w:tcPr>
            <w:tcW w:w="704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6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20"/>
        </w:trPr>
        <w:tc>
          <w:tcPr>
            <w:tcW w:w="704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1,214.0</w:t>
            </w:r>
          </w:p>
        </w:tc>
      </w:tr>
      <w:tr>
        <w:trPr>
          <w:trHeight w:val="270"/>
        </w:trPr>
        <w:tc>
          <w:tcPr>
            <w:tcW w:w="7040" w:type="dxa"/>
            <w:vAlign w:val="bottom"/>
          </w:tcPr>
          <w:p>
            <w:pPr>
              <w:ind w:left="120"/>
              <w:spacing w:after="0"/>
              <w:rPr>
                <w:sz w:val="20"/>
                <w:szCs w:val="20"/>
                <w:color w:val="auto"/>
              </w:rPr>
            </w:pPr>
            <w:r>
              <w:rPr>
                <w:rFonts w:ascii="Arial" w:cs="Arial" w:eastAsia="Arial" w:hAnsi="Arial"/>
                <w:sz w:val="22"/>
                <w:szCs w:val="22"/>
                <w:color w:val="auto"/>
              </w:rPr>
              <w:t>PSLF investment portfolio</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446.1</w:t>
            </w:r>
          </w:p>
        </w:tc>
      </w:tr>
      <w:tr>
        <w:trPr>
          <w:trHeight w:val="270"/>
        </w:trPr>
        <w:tc>
          <w:tcPr>
            <w:tcW w:w="704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664.3</w:t>
            </w:r>
          </w:p>
        </w:tc>
      </w:tr>
      <w:tr>
        <w:trPr>
          <w:trHeight w:val="270"/>
        </w:trPr>
        <w:tc>
          <w:tcPr>
            <w:tcW w:w="7040" w:type="dxa"/>
            <w:vAlign w:val="bottom"/>
          </w:tcPr>
          <w:p>
            <w:pPr>
              <w:ind w:left="120"/>
              <w:spacing w:after="0"/>
              <w:rPr>
                <w:sz w:val="20"/>
                <w:szCs w:val="20"/>
                <w:color w:val="auto"/>
              </w:rPr>
            </w:pPr>
            <w:r>
              <w:rPr>
                <w:rFonts w:ascii="Arial" w:cs="Arial" w:eastAsia="Arial" w:hAnsi="Arial"/>
                <w:sz w:val="22"/>
                <w:szCs w:val="22"/>
                <w:color w:val="auto"/>
              </w:rPr>
              <w:t>GAAP net asset value per share</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10.05</w:t>
            </w:r>
          </w:p>
        </w:tc>
      </w:tr>
      <w:tr>
        <w:trPr>
          <w:trHeight w:val="274"/>
        </w:trPr>
        <w:tc>
          <w:tcPr>
            <w:tcW w:w="7040" w:type="dxa"/>
            <w:vAlign w:val="bottom"/>
          </w:tcPr>
          <w:p>
            <w:pPr>
              <w:ind w:left="120"/>
              <w:spacing w:after="0"/>
              <w:rPr>
                <w:sz w:val="20"/>
                <w:szCs w:val="20"/>
                <w:color w:val="auto"/>
              </w:rPr>
            </w:pPr>
            <w:r>
              <w:rPr>
                <w:rFonts w:ascii="Arial" w:cs="Arial" w:eastAsia="Arial" w:hAnsi="Arial"/>
                <w:sz w:val="22"/>
                <w:szCs w:val="22"/>
                <w:color w:val="auto"/>
              </w:rPr>
              <w:t>Quarterly increase in GAAP net asset value per share</w:t>
            </w:r>
          </w:p>
        </w:tc>
        <w:tc>
          <w:tcPr>
            <w:tcW w:w="26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(0.6)%</w:t>
            </w:r>
          </w:p>
        </w:tc>
      </w:tr>
      <w:tr>
        <w:trPr>
          <w:trHeight w:val="327"/>
        </w:trPr>
        <w:tc>
          <w:tcPr>
            <w:tcW w:w="704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10.05</w:t>
            </w:r>
          </w:p>
        </w:tc>
      </w:tr>
      <w:tr>
        <w:trPr>
          <w:trHeight w:val="471"/>
        </w:trPr>
        <w:tc>
          <w:tcPr>
            <w:tcW w:w="7040" w:type="dxa"/>
            <w:vAlign w:val="bottom"/>
          </w:tcPr>
          <w:p>
            <w:pPr>
              <w:ind w:left="120"/>
              <w:spacing w:after="0"/>
              <w:rPr>
                <w:sz w:val="20"/>
                <w:szCs w:val="20"/>
                <w:color w:val="auto"/>
              </w:rPr>
            </w:pPr>
            <w:r>
              <w:rPr>
                <w:rFonts w:ascii="Arial" w:cs="Arial" w:eastAsia="Arial" w:hAnsi="Arial"/>
                <w:sz w:val="22"/>
                <w:szCs w:val="22"/>
                <w:color w:val="auto"/>
              </w:rPr>
              <w:t xml:space="preserve">Quarterly increase in adjusted net asset value per share </w:t>
            </w:r>
            <w:r>
              <w:rPr>
                <w:rFonts w:ascii="Arial" w:cs="Arial" w:eastAsia="Arial" w:hAnsi="Arial"/>
                <w:sz w:val="35"/>
                <w:szCs w:val="35"/>
                <w:color w:val="auto"/>
                <w:vertAlign w:val="superscript"/>
              </w:rPr>
              <w:t>(2)</w:t>
            </w:r>
          </w:p>
        </w:tc>
        <w:tc>
          <w:tcPr>
            <w:tcW w:w="26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(0.6)%</w:t>
            </w:r>
          </w:p>
        </w:tc>
      </w:tr>
      <w:tr>
        <w:trPr>
          <w:trHeight w:val="386"/>
        </w:trPr>
        <w:tc>
          <w:tcPr>
            <w:tcW w:w="7040" w:type="dxa"/>
            <w:vAlign w:val="bottom"/>
          </w:tcPr>
          <w:p>
            <w:pPr>
              <w:ind w:left="260"/>
              <w:spacing w:after="0"/>
              <w:rPr>
                <w:sz w:val="20"/>
                <w:szCs w:val="20"/>
                <w:color w:val="auto"/>
              </w:rPr>
            </w:pPr>
            <w:r>
              <w:rPr>
                <w:rFonts w:ascii="Arial" w:cs="Arial" w:eastAsia="Arial" w:hAnsi="Arial"/>
                <w:sz w:val="22"/>
                <w:szCs w:val="22"/>
                <w:color w:val="auto"/>
              </w:rPr>
              <w:t>Credit Facility</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215.9</w:t>
            </w: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2026 Notes</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146.3</w:t>
            </w: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2026 Notes-2</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160.9</w:t>
            </w: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SBA Debentures</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27.0</w:t>
            </w:r>
          </w:p>
        </w:tc>
      </w:tr>
      <w:tr>
        <w:trPr>
          <w:trHeight w:val="274"/>
        </w:trPr>
        <w:tc>
          <w:tcPr>
            <w:tcW w:w="704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2620" w:type="dxa"/>
            <w:vAlign w:val="bottom"/>
          </w:tcPr>
          <w:p>
            <w:pPr>
              <w:spacing w:after="0"/>
              <w:rPr>
                <w:sz w:val="23"/>
                <w:szCs w:val="23"/>
                <w:color w:val="auto"/>
              </w:rPr>
            </w:pP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0.81x</w:t>
            </w:r>
          </w:p>
        </w:tc>
      </w:tr>
      <w:tr>
        <w:trPr>
          <w:trHeight w:val="327"/>
        </w:trPr>
        <w:tc>
          <w:tcPr>
            <w:tcW w:w="704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262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0.77x</w:t>
            </w:r>
          </w:p>
        </w:tc>
      </w:tr>
      <w:tr>
        <w:trPr>
          <w:trHeight w:val="471"/>
        </w:trPr>
        <w:tc>
          <w:tcPr>
            <w:tcW w:w="7040" w:type="dxa"/>
            <w:vAlign w:val="bottom"/>
          </w:tcPr>
          <w:p>
            <w:pPr>
              <w:ind w:left="12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262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0.79x</w:t>
            </w:r>
          </w:p>
        </w:tc>
      </w:tr>
      <w:tr>
        <w:trPr>
          <w:trHeight w:val="390"/>
        </w:trPr>
        <w:tc>
          <w:tcPr>
            <w:tcW w:w="704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26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941"/>
        </w:trPr>
        <w:tc>
          <w:tcPr>
            <w:tcW w:w="7040" w:type="dxa"/>
            <w:vAlign w:val="bottom"/>
          </w:tcPr>
          <w:p>
            <w:pPr>
              <w:spacing w:after="0"/>
              <w:rPr>
                <w:sz w:val="20"/>
                <w:szCs w:val="20"/>
                <w:color w:val="auto"/>
              </w:rPr>
            </w:pPr>
            <w:r>
              <w:rPr>
                <w:rFonts w:ascii="Arial" w:cs="Arial" w:eastAsia="Arial" w:hAnsi="Arial"/>
                <w:sz w:val="22"/>
                <w:szCs w:val="22"/>
                <w:color w:val="auto"/>
              </w:rPr>
              <w:t>Operating Results:</w:t>
            </w:r>
          </w:p>
        </w:tc>
        <w:tc>
          <w:tcPr>
            <w:tcW w:w="2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04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11.7</w:t>
            </w:r>
          </w:p>
        </w:tc>
      </w:tr>
      <w:tr>
        <w:trPr>
          <w:trHeight w:val="270"/>
        </w:trPr>
        <w:tc>
          <w:tcPr>
            <w:tcW w:w="7040" w:type="dxa"/>
            <w:vAlign w:val="bottom"/>
          </w:tcPr>
          <w:p>
            <w:pPr>
              <w:ind w:left="120"/>
              <w:spacing w:after="0"/>
              <w:rPr>
                <w:sz w:val="20"/>
                <w:szCs w:val="20"/>
                <w:color w:val="auto"/>
              </w:rPr>
            </w:pPr>
            <w:r>
              <w:rPr>
                <w:rFonts w:ascii="Arial" w:cs="Arial" w:eastAsia="Arial" w:hAnsi="Arial"/>
                <w:sz w:val="22"/>
                <w:szCs w:val="22"/>
                <w:color w:val="auto"/>
              </w:rPr>
              <w:t>Net investment income per share (GAAP)</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0.18</w:t>
            </w:r>
          </w:p>
        </w:tc>
      </w:tr>
      <w:tr>
        <w:trPr>
          <w:trHeight w:val="274"/>
        </w:trPr>
        <w:tc>
          <w:tcPr>
            <w:tcW w:w="704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0.14</w:t>
            </w:r>
          </w:p>
        </w:tc>
      </w:tr>
      <w:tr>
        <w:trPr>
          <w:trHeight w:val="536"/>
        </w:trPr>
        <w:tc>
          <w:tcPr>
            <w:tcW w:w="7040" w:type="dxa"/>
            <w:vAlign w:val="bottom"/>
          </w:tcPr>
          <w:p>
            <w:pPr>
              <w:spacing w:after="0"/>
              <w:rPr>
                <w:sz w:val="20"/>
                <w:szCs w:val="20"/>
                <w:color w:val="auto"/>
              </w:rPr>
            </w:pPr>
            <w:r>
              <w:rPr>
                <w:rFonts w:ascii="Arial" w:cs="Arial" w:eastAsia="Arial" w:hAnsi="Arial"/>
                <w:sz w:val="22"/>
                <w:szCs w:val="22"/>
                <w:color w:val="auto"/>
              </w:rPr>
              <w:t>Portfolio Activity:</w:t>
            </w:r>
          </w:p>
        </w:tc>
        <w:tc>
          <w:tcPr>
            <w:tcW w:w="2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04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178.0</w:t>
            </w:r>
          </w:p>
        </w:tc>
      </w:tr>
      <w:tr>
        <w:trPr>
          <w:trHeight w:val="274"/>
        </w:trPr>
        <w:tc>
          <w:tcPr>
            <w:tcW w:w="704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6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405.5</w:t>
            </w:r>
          </w:p>
        </w:tc>
      </w:tr>
      <w:tr>
        <w:trPr>
          <w:trHeight w:val="536"/>
        </w:trPr>
        <w:tc>
          <w:tcPr>
            <w:tcW w:w="704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2620" w:type="dxa"/>
            <w:vAlign w:val="bottom"/>
          </w:tcPr>
          <w:p>
            <w:pPr>
              <w:spacing w:after="0"/>
              <w:rPr>
                <w:sz w:val="24"/>
                <w:szCs w:val="24"/>
                <w:color w:val="auto"/>
              </w:rPr>
            </w:pP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8</w:t>
            </w:r>
          </w:p>
        </w:tc>
      </w:tr>
      <w:tr>
        <w:trPr>
          <w:trHeight w:val="270"/>
        </w:trPr>
        <w:tc>
          <w:tcPr>
            <w:tcW w:w="704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2620" w:type="dxa"/>
            <w:vAlign w:val="bottom"/>
          </w:tcPr>
          <w:p>
            <w:pPr>
              <w:spacing w:after="0"/>
              <w:rPr>
                <w:sz w:val="23"/>
                <w:szCs w:val="23"/>
                <w:color w:val="auto"/>
              </w:rPr>
            </w:pP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29</w:t>
            </w:r>
          </w:p>
        </w:tc>
      </w:tr>
      <w:tr>
        <w:trPr>
          <w:trHeight w:val="274"/>
        </w:trPr>
        <w:tc>
          <w:tcPr>
            <w:tcW w:w="704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2620" w:type="dxa"/>
            <w:vAlign w:val="bottom"/>
          </w:tcPr>
          <w:p>
            <w:pPr>
              <w:spacing w:after="0"/>
              <w:rPr>
                <w:sz w:val="23"/>
                <w:szCs w:val="23"/>
                <w:color w:val="auto"/>
              </w:rPr>
            </w:pP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113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right="20" w:firstLine="8"/>
        <w:spacing w:after="0" w:line="230"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investments in PennantPark Senior Loan Fund, LLC, or PSLF, an unconsolidated joint venture, totaling $124.2 million, at fair value.</w:t>
      </w:r>
    </w:p>
    <w:p>
      <w:pPr>
        <w:spacing w:after="0" w:line="1" w:lineRule="exact"/>
        <w:rPr>
          <w:rFonts w:ascii="Arial" w:cs="Arial" w:eastAsia="Arial" w:hAnsi="Arial"/>
          <w:sz w:val="22"/>
          <w:szCs w:val="22"/>
          <w:color w:val="auto"/>
        </w:rPr>
      </w:pPr>
    </w:p>
    <w:p>
      <w:pPr>
        <w:jc w:val="both"/>
        <w:ind w:firstLine="8"/>
        <w:spacing w:after="0" w:line="266" w:lineRule="auto"/>
        <w:tabs>
          <w:tab w:leader="none" w:pos="313"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excluding the impact of the $2.0 million unrealized loss on our multi-currency, senior secured revolving credit facility with Truist Bank, as amended, or the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4" w:lineRule="exact"/>
        <w:rPr>
          <w:rFonts w:ascii="Arial" w:cs="Arial" w:eastAsia="Arial" w:hAnsi="Arial"/>
          <w:sz w:val="19"/>
          <w:szCs w:val="19"/>
          <w:color w:val="auto"/>
        </w:rPr>
      </w:pPr>
    </w:p>
    <w:p>
      <w:pPr>
        <w:jc w:val="both"/>
        <w:ind w:firstLine="8"/>
        <w:spacing w:after="0" w:line="230" w:lineRule="auto"/>
        <w:tabs>
          <w:tab w:leader="none" w:pos="31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$26.3 million of cash and cash equivalents. The presentation of this additional information is not meant to be considered in isolation or as a substitute for financial results prepared in accordance with GAAP.</w:t>
      </w:r>
    </w:p>
    <w:p>
      <w:pPr>
        <w:spacing w:after="0" w:line="2" w:lineRule="exact"/>
        <w:rPr>
          <w:rFonts w:ascii="Arial" w:cs="Arial" w:eastAsia="Arial" w:hAnsi="Arial"/>
          <w:sz w:val="22"/>
          <w:szCs w:val="22"/>
          <w:color w:val="auto"/>
        </w:rPr>
      </w:pPr>
    </w:p>
    <w:p>
      <w:pPr>
        <w:jc w:val="both"/>
        <w:ind w:firstLine="8"/>
        <w:spacing w:after="0" w:line="280" w:lineRule="auto"/>
        <w:tabs>
          <w:tab w:leader="none" w:pos="313"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including the impact of the $2.0 million unrealized loss on the Credit Facility, and net of $26.3 million of cash and cash equivalents. The presentation of this additional information is not meant to be considered in isolation or as a substitute for financial results prepared in accordance with GAAP.</w:t>
      </w:r>
    </w:p>
    <w:p>
      <w:pPr>
        <w:sectPr>
          <w:pgSz w:w="11900" w:h="1690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CONFERENCE CALL AT 12:00 P.M. ET ON MAY 5, 2022</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also host a conference call at 12:00 p.m. (Eastern Time) on Thursday, May 5, 2022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#6337368 or PennantPark Investment Corporation. An archived replay of the call will be available through May 19, 2022, by calling toll-free (888) 203-1112. International callers please dial (719) 457-0820. For all phone replays, please reference conference ID #6337368.</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INCREASE OF QUARTERLY DISTRIBUTION TO $0.145 PER SHARE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declares an increase of its third fiscal quarter 2022 distribution to $0.145 per share, payable on July 1, 2022 to stockholders of record as of June 17,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quarter was highlighted by the exit of Pivot Physical Therapy, which positions us well to pursue our plan to increase long term shareholder value,” said Art Penn, Chairman and CEO. “Our plan includes growing income by rotating equity proceeds into cash paying loans, continuing to execute on our stock repurchase program and growing our PSLF JV to generate enhanced Net Investment Income at PNNT. We are pleased to announce another dividend increase this quarter.”</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of March 31, 2022, our portfolio totaled $1,214.0 million, which consisted of $667.2 million of first lien secured debt, $134.8 million of second lien secured debt, $109.9 million of subordinated debt (including $76.1 million in PSLF) and $302.1 million of preferred and common equity (including $48.1 million in PSLF). Our debt portfolio consisted of 99% variable-rate investments and 1% fixed-rate investments. As of March 31, 2022, we had one portfolio company on non-accrual, representing 3.5% and 2.8% of our overall portfolio on a cost and fair value basis, respectively. Overall, the portfolio had net unrealized depreciation of $70.5 million as of March 31, 2022. Our overall portfolio consisted of 113 companies with an average investment size of $10.7 million, had a weighted average yield on interest bearing debt investments of 8.4% and was invested 55% in first lien secured debt, 11% in second lien secured debt, 9% in subordinated debt (including 6% in PSLF) and 25% in preferred and common equity (including 4% in PSLF). As of March 31, 2022, all of the investments held by PSLF were first lien secured debt.</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2022, we invested $178.0 million in eight new and 29 existing portfolio companies with a weighted average yield on debt investments of 7.2%. Sales and repayments of investments for the three months ended March 31, 2022 totaled $405.5 million. For the six months ended March 31, 2022, we invested $473.1 million in 24 new and 59 existing portfolio companies with a weighted average yield on debt investments of 7.8%. Sales and repayments of investments for the six months ended March 31, 2022 totaled $537.7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2021, we invested $74.8 million in three new and eight existing portfolio companies with a weighted average yield on debt investments of 7.9%. Sales and repayments of investments for the three months ended March 31, 2021 totaled $65.0 million. For the six months ended March 31, 2021, we invested $143.0 million in seven new and 23 existing portfolio companies with a weighted average yield on debt investments of 8.8%. Sales and repayments of investments for the six months ended March 31, 2021 totaled $167.6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Loan Fund, LLC</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March 31, 2022, PSLF’s portfolio totaled $446.1 million, consisted of 60 companies with an average investment size of $7.4 million and had a weighted average yield on debt investments of 7.2%.</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2021, PSLF’s portfolio totaled $405.2 million, consisted of 47 companies with an average investment size of $8.6 million and had a weighted average yield on debt investments of 7.2%.</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March 31, 2022, PSLF invested $27.4 million (of which $11.5 million was purchased from the Company) in six new portfolio companies with a weighted average yield on debt investments of 7.5%. PSLF’s sales and repayments of investments for the same period totaled $2.3 million. For the six months ended March 31, 2022, PSLF invested $78.1 million (of which $59.6 million was purchased from the Company) in 15 new and two existing portfolio companies with a weighted average yield on debt investments of 7.5%. PSLF’s sales and repayments of investments for the same period totaled $37.9 million.</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22"/>
          <w:szCs w:val="22"/>
          <w:color w:val="auto"/>
        </w:rPr>
        <w:t>For the three months ended March 31, 2021, PSLF invested $32.5 million (of which $15.5 million was purchased from the Company) in four new and two existing portfolio companies with a weighted average yield on debt investments of 8.0%. PSLF’s sales and repayments of investments for the same period totaled $4.9 million. For the six months ended March 31, 2021, PSLF invested $63.3 million (of which $37.8 million was purchased from the Company) in six new and six existing portfolio companies with a weighted average yield on debt investments of 7.5%. PSLF’s sales and repayments of investments for the same period totaled $40.7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2022 and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Investment income for the three and six months ended March 31, 2022 was $24.3 million and $52.7 million, respectively, which was attributable to $14.5 million and $34.6 million from first lien secured debt, $6.3 million and $10.8 million from second lien secured debt, $0.4 million and $2.3 million from subordinated debt and $3.1 million and $4.9 million from preferred and common equity, respectively. This compares to Investment income for the three and six months ended March 31, 2021 was $19.2 million and $38.0 million, respectively, which was attributable to $10.9 million and $22.1 million from first lien secured debt, $5.8 million and $10.6 million from second lien secured debt, $1.7 million and $3.4 million from subordinated debt and $0.9 million and $1.9 million from preferred and common equity, respectively. The increase in investment income compared to the same periods in the prior year was primarily due to the increase in the size of our debt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Expenses for the three and six months ended March 31, 2022 totaled $12.7 million and $28.5 million, respectively. Base management fee for the same periods totaled $5.0 million and $10.1 million, performance base incentive fee for the same periods totaled zero and $2.7 million, debt related interest and expenses totaled $6.5 million and $13.4 million, general and administrative expenses totaled $1.0 million and $1.9 million and provision for taxes totaled $0.2 million and $0.4 million, respectively. This compares to net expenses for the three and six months ended March 31, 2021 totaled $10.5 million and $20.9 million, respectively. Base management fee for the same periods totaled $4.3 million and $8.4 million, debt related interest and expenses totaled $4.9 million and $9.9 million, general and administrative expenses totaled $1.1 million and $2.3 million and provision for taxes totaled $0.2 million and $0.3 million, respectively. The increase in expenses for the three months ended March 31, 2022 compared to the same period in the prior year was primarily due to increased financing costs.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Net investment income totaled $11.7 million and $24.2 million, or $0.18 and $0.36 per share, for the three and six months ended March 31, 2022, respectively. Net investment income totaled $8.8 million and $17.1 million, or $0.13 and $0.25 per share, for the three and six months ended March 31, 2021, respectively. The increase in net investment income compared to the same period in the prior year was primarily due to increased investment income.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2022 totaled $405.5 million and $537.7 million, respectively, and net realized gains totaled $142.8 million and $116.7 million, respectively. Sales and repayments of investments for the three and six months ended March 31, 2021 totaled $65.0 million and $167.6 million, respectively, and net realized gains (losses) totaled $0.3 million and ($17.3) million, respectively. The change in realized gains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the Credit Facilities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six months ended March 31, 2022, we reported net change in unrealized depreciation on investments of $151.5 million and $104.7 million, respectively. For the three and six months ended March 31, 2021, we reported net change in unrealized appreciation on investments of $33.2 million and $126.7 million, respectively. As of March 31, 2022 and September 30, 2021, our net unrealized (depreciation) appreciation on investments totaled $(70.5) million and $34.2 million, respectively. The net change in unrealized depreciation on our investments compared to the same period in the prior year was primarily due to the reversal of the unrealized appreciation of PT Network Intermediate Holdings, LLC after realizing the investment.</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and six months ended March 31, 2022, the Truist Credit Facility had a net change in unrealized depreciation of $1.3 million and $0.3 million, respectively. For the three and six months ended March 31, 2021, the Truist Credit Facility had a net change in unrealized appreciation of $3.8 million and $16.9 million, respectively, respectively. As of March 31, 2022 and September 30, 2021, the net unrealized depreciation on the Credit Facilities totaled $2.0 million and $1.7 million, respectively. The net change in unrealized depreciation compared to the same periods in the prior year was primarily due to changes in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Net change in net assets resulting from operations totaled $3.2 million and $28.7 million, or $0.05 and $0.43 per share, for the three and six months ended March 31, 2022, respectively. Net change in net assets resulting from operations totaled $38.5 million</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rPr>
          <w:sz w:val="20"/>
          <w:szCs w:val="20"/>
          <w:color w:val="auto"/>
        </w:rPr>
      </w:pPr>
      <w:r>
        <w:rPr>
          <w:rFonts w:ascii="Arial" w:cs="Arial" w:eastAsia="Arial" w:hAnsi="Arial"/>
          <w:sz w:val="22"/>
          <w:szCs w:val="22"/>
          <w:color w:val="auto"/>
        </w:rPr>
        <w:t>and $109.6 million, or $0.57 and $1.64 per share, for the three and six months ended March 31, 2021, respectively. The decrease in the net change in net assets from operations for the three and six months ended March 31, 2022 compared to the same periods in the prior year was primarily due to a decrease in unrealized appreciation.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March 31, 2022, including “Item 2. Management's Discussion and Analysis of Financial Condition and Results of Operations – COVID-19 Developments”.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the six months ended March 31, 2022 and 2021, inclusive of the fee on the undrawn commitment and amendment costs on the Credit Facilities, amortized upfront fees on SBA debentures, was 4.8% and 3.5%, respectively.</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As of March 31, 2022 and September 30, 2021, we had $247.1 million and $118.5 million of unused borrowing capacity under the Truist Credit Facility, respectively, subject to leverage and borrowing base restrictions.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As of March 31, 2022 and September 30, 2021, we had $217.9 million and $316.5 million, respectively, in outstanding borrowings under the Truist Credit Facility. The Truist Credit Facility had a weighted average interest rate of 2.8% and 2.4%, respectively, exclusive of the fee on undrawn commitments, as of March 31, 2022 and September 30, 2021.</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2022 and September 30, 2021, we had cash and cash equivalents of $26.3 million and $20.4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$89.8 million for the six months ended March 31, 2022, and our financing activities used cash of $83.9 million for the same period. Our operating activities provided cash primarily due to our investment activities and our financing activities used cash primarily due to the repayments under the Truist Credit Facility.</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$46.8 million for the six months ended March 31, 2021 and our financing activities used cash of $38.8 million for the same period. Our operating activities provided cash primarily from our investment activities and our financing activities used cash primarily to pay down the Truist Credit Facility and our SBA Debentures.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months ended March 31, 2022, we repurchased 913,454 shares of common stock in open market transactions for an aggregate cost (including transaction costs) of $7.1 million.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During the three and six months ended March 31, 2022, we declared distributions of $0.14 and $0.26 per share, for total distributions of $9.4 million and $17.4 million, respectively. For the same periods in the prior year, we declared distributions of $0.12 and $0.24 per share, for total distributions of $8.0 million and $16.1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makes available on its website its Quarterly Report on Form 10-Q filed with the SEC, and stockholders may find such report on its website at www.pennantpark.com.</w:t>
      </w:r>
    </w:p>
    <w:p>
      <w:pPr>
        <w:spacing w:after="0" w:line="200" w:lineRule="exact"/>
        <w:rPr>
          <w:sz w:val="20"/>
          <w:szCs w:val="20"/>
          <w:color w:val="auto"/>
        </w:rPr>
      </w:pPr>
    </w:p>
    <w:p>
      <w:pPr>
        <w:spacing w:after="0" w:line="212"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ASSETS AND LIABILITIES (In thousands, except share data)</w:t>
      </w:r>
    </w:p>
    <w:p>
      <w:pPr>
        <w:sectPr>
          <w:pgSz w:w="11900" w:h="16838" w:orient="portrait"/>
          <w:cols w:equalWidth="0" w:num="1">
            <w:col w:w="11240"/>
          </w:cols>
          <w:pgMar w:left="320" w:top="118" w:right="339" w:bottom="3"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4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22"/>
                <w:szCs w:val="22"/>
                <w:b w:val="1"/>
                <w:bCs w:val="1"/>
                <w:color w:val="auto"/>
                <w:w w:val="92"/>
              </w:rPr>
              <w:t>March 31,</w:t>
            </w:r>
          </w:p>
        </w:tc>
        <w:tc>
          <w:tcPr>
            <w:tcW w:w="160" w:type="dxa"/>
            <w:vAlign w:val="bottom"/>
          </w:tcPr>
          <w:p>
            <w:pPr>
              <w:spacing w:after="0"/>
              <w:rPr>
                <w:sz w:val="21"/>
                <w:szCs w:val="21"/>
                <w:color w:val="auto"/>
              </w:rPr>
            </w:pPr>
          </w:p>
        </w:tc>
        <w:tc>
          <w:tcPr>
            <w:tcW w:w="1780" w:type="dxa"/>
            <w:vAlign w:val="bottom"/>
            <w:gridSpan w:val="5"/>
          </w:tcPr>
          <w:p>
            <w:pPr>
              <w:jc w:val="right"/>
              <w:ind w:right="300"/>
              <w:spacing w:after="0"/>
              <w:rPr>
                <w:sz w:val="20"/>
                <w:szCs w:val="20"/>
                <w:color w:val="auto"/>
              </w:rPr>
            </w:pPr>
            <w:r>
              <w:rPr>
                <w:rFonts w:ascii="Arial" w:cs="Arial" w:eastAsia="Arial" w:hAnsi="Arial"/>
                <w:sz w:val="22"/>
                <w:szCs w:val="22"/>
                <w:b w:val="1"/>
                <w:bCs w:val="1"/>
                <w:color w:val="auto"/>
                <w:w w:val="97"/>
              </w:rPr>
              <w:t>September 30,</w:t>
            </w:r>
          </w:p>
        </w:tc>
      </w:tr>
      <w:tr>
        <w:trPr>
          <w:trHeight w:val="270"/>
        </w:trPr>
        <w:tc>
          <w:tcPr>
            <w:tcW w:w="4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4"/>
          </w:tcPr>
          <w:p>
            <w:pPr>
              <w:jc w:val="center"/>
              <w:ind w:left="692"/>
              <w:spacing w:after="0"/>
              <w:rPr>
                <w:sz w:val="20"/>
                <w:szCs w:val="20"/>
                <w:color w:val="auto"/>
              </w:rPr>
            </w:pPr>
            <w:r>
              <w:rPr>
                <w:rFonts w:ascii="Arial" w:cs="Arial" w:eastAsia="Arial" w:hAnsi="Arial"/>
                <w:sz w:val="22"/>
                <w:szCs w:val="22"/>
                <w:b w:val="1"/>
                <w:bCs w:val="1"/>
                <w:color w:val="auto"/>
                <w:w w:val="89"/>
              </w:rPr>
              <w:t>2022</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532"/>
              <w:spacing w:after="0"/>
              <w:rPr>
                <w:sz w:val="20"/>
                <w:szCs w:val="20"/>
                <w:color w:val="auto"/>
              </w:rPr>
            </w:pPr>
            <w:r>
              <w:rPr>
                <w:rFonts w:ascii="Arial" w:cs="Arial" w:eastAsia="Arial" w:hAnsi="Arial"/>
                <w:sz w:val="22"/>
                <w:szCs w:val="22"/>
                <w:b w:val="1"/>
                <w:bCs w:val="1"/>
                <w:color w:val="auto"/>
                <w:w w:val="89"/>
              </w:rPr>
              <w:t>2021</w:t>
            </w:r>
          </w:p>
        </w:tc>
        <w:tc>
          <w:tcPr>
            <w:tcW w:w="80" w:type="dxa"/>
            <w:vAlign w:val="bottom"/>
          </w:tcPr>
          <w:p>
            <w:pPr>
              <w:spacing w:after="0"/>
              <w:rPr>
                <w:sz w:val="23"/>
                <w:szCs w:val="23"/>
                <w:color w:val="auto"/>
              </w:rPr>
            </w:pPr>
          </w:p>
        </w:tc>
      </w:tr>
      <w:tr>
        <w:trPr>
          <w:trHeight w:val="280"/>
        </w:trPr>
        <w:tc>
          <w:tcPr>
            <w:tcW w:w="4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5"/>
          </w:tcPr>
          <w:p>
            <w:pPr>
              <w:jc w:val="center"/>
              <w:ind w:right="80"/>
              <w:spacing w:after="0"/>
              <w:rPr>
                <w:sz w:val="20"/>
                <w:szCs w:val="20"/>
                <w:color w:val="auto"/>
              </w:rPr>
            </w:pPr>
            <w:r>
              <w:rPr>
                <w:rFonts w:ascii="Arial" w:cs="Arial" w:eastAsia="Arial" w:hAnsi="Arial"/>
                <w:sz w:val="22"/>
                <w:szCs w:val="22"/>
                <w:b w:val="1"/>
                <w:bCs w:val="1"/>
                <w:color w:val="auto"/>
                <w:w w:val="90"/>
              </w:rPr>
              <w:t>(unaudited)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46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6920" w:type="dxa"/>
            <w:vAlign w:val="bottom"/>
            <w:gridSpan w:val="5"/>
          </w:tcPr>
          <w:p>
            <w:pPr>
              <w:spacing w:after="0" w:line="243" w:lineRule="exact"/>
              <w:rPr>
                <w:sz w:val="20"/>
                <w:szCs w:val="20"/>
                <w:color w:val="auto"/>
              </w:rPr>
            </w:pPr>
            <w:r>
              <w:rPr>
                <w:rFonts w:ascii="Arial" w:cs="Arial" w:eastAsia="Arial" w:hAnsi="Arial"/>
                <w:sz w:val="22"/>
                <w:szCs w:val="22"/>
                <w:color w:val="auto"/>
                <w:w w:val="95"/>
              </w:rPr>
              <w:t>Non-controlled, non-affiliated investments (cost—$875,230 and $729,811,</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respectively)</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center"/>
              <w:ind w:right="232"/>
              <w:spacing w:after="0"/>
              <w:rPr>
                <w:sz w:val="20"/>
                <w:szCs w:val="20"/>
                <w:color w:val="auto"/>
              </w:rPr>
            </w:pPr>
            <w:r>
              <w:rPr>
                <w:rFonts w:ascii="Arial" w:cs="Arial" w:eastAsia="Arial" w:hAnsi="Arial"/>
                <w:sz w:val="22"/>
                <w:szCs w:val="22"/>
                <w:color w:val="auto"/>
                <w:w w:val="97"/>
              </w:rPr>
              <w:t>$</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901,587</w:t>
            </w:r>
          </w:p>
        </w:tc>
        <w:tc>
          <w:tcPr>
            <w:tcW w:w="6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820,500</w:t>
            </w:r>
          </w:p>
        </w:tc>
        <w:tc>
          <w:tcPr>
            <w:tcW w:w="80" w:type="dxa"/>
            <w:vAlign w:val="bottom"/>
          </w:tcPr>
          <w:p>
            <w:pPr>
              <w:spacing w:after="0"/>
              <w:rPr>
                <w:sz w:val="23"/>
                <w:szCs w:val="23"/>
                <w:color w:val="auto"/>
              </w:rPr>
            </w:pPr>
          </w:p>
        </w:tc>
      </w:tr>
      <w:tr>
        <w:trPr>
          <w:trHeight w:val="270"/>
        </w:trPr>
        <w:tc>
          <w:tcPr>
            <w:tcW w:w="7300" w:type="dxa"/>
            <w:vAlign w:val="bottom"/>
            <w:gridSpan w:val="6"/>
          </w:tcPr>
          <w:p>
            <w:pPr>
              <w:spacing w:after="0"/>
              <w:rPr>
                <w:sz w:val="20"/>
                <w:szCs w:val="20"/>
                <w:color w:val="auto"/>
              </w:rPr>
            </w:pPr>
            <w:r>
              <w:rPr>
                <w:rFonts w:ascii="Arial" w:cs="Arial" w:eastAsia="Arial" w:hAnsi="Arial"/>
                <w:sz w:val="22"/>
                <w:szCs w:val="22"/>
                <w:color w:val="auto"/>
                <w:w w:val="93"/>
              </w:rPr>
              <w:t>Non-controlled, affiliated investments (cost—$47,450 and $78,723, respectively)</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w w:val="86"/>
              </w:rPr>
              <w:t>36,730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50,161</w:t>
            </w:r>
          </w:p>
        </w:tc>
        <w:tc>
          <w:tcPr>
            <w:tcW w:w="80" w:type="dxa"/>
            <w:vAlign w:val="bottom"/>
          </w:tcPr>
          <w:p>
            <w:pPr>
              <w:spacing w:after="0"/>
              <w:rPr>
                <w:sz w:val="23"/>
                <w:szCs w:val="23"/>
                <w:color w:val="auto"/>
              </w:rPr>
            </w:pPr>
          </w:p>
        </w:tc>
      </w:tr>
      <w:tr>
        <w:trPr>
          <w:trHeight w:val="274"/>
        </w:trPr>
        <w:tc>
          <w:tcPr>
            <w:tcW w:w="6920" w:type="dxa"/>
            <w:vAlign w:val="bottom"/>
            <w:gridSpan w:val="5"/>
          </w:tcPr>
          <w:p>
            <w:pPr>
              <w:spacing w:after="0"/>
              <w:rPr>
                <w:sz w:val="20"/>
                <w:szCs w:val="20"/>
                <w:color w:val="auto"/>
              </w:rPr>
            </w:pPr>
            <w:r>
              <w:rPr>
                <w:rFonts w:ascii="Arial" w:cs="Arial" w:eastAsia="Arial" w:hAnsi="Arial"/>
                <w:sz w:val="22"/>
                <w:szCs w:val="22"/>
                <w:color w:val="auto"/>
                <w:w w:val="90"/>
              </w:rPr>
              <w:t>Controlled, affiliated investments (cost—$361,809 and $412,587, respectively)</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275,640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384,628</w:t>
            </w:r>
          </w:p>
        </w:tc>
        <w:tc>
          <w:tcPr>
            <w:tcW w:w="80" w:type="dxa"/>
            <w:vAlign w:val="bottom"/>
          </w:tcPr>
          <w:p>
            <w:pPr>
              <w:spacing w:after="0"/>
              <w:rPr>
                <w:sz w:val="23"/>
                <w:szCs w:val="23"/>
                <w:color w:val="auto"/>
              </w:rPr>
            </w:pPr>
          </w:p>
        </w:tc>
      </w:tr>
      <w:tr>
        <w:trPr>
          <w:trHeight w:val="259"/>
        </w:trPr>
        <w:tc>
          <w:tcPr>
            <w:tcW w:w="5820" w:type="dxa"/>
            <w:vAlign w:val="bottom"/>
            <w:gridSpan w:val="3"/>
          </w:tcPr>
          <w:p>
            <w:pPr>
              <w:spacing w:after="0"/>
              <w:rPr>
                <w:sz w:val="20"/>
                <w:szCs w:val="20"/>
                <w:color w:val="auto"/>
              </w:rPr>
            </w:pPr>
            <w:r>
              <w:rPr>
                <w:rFonts w:ascii="Arial" w:cs="Arial" w:eastAsia="Arial" w:hAnsi="Arial"/>
                <w:sz w:val="22"/>
                <w:szCs w:val="22"/>
                <w:color w:val="auto"/>
                <w:w w:val="88"/>
              </w:rPr>
              <w:t>Total investments (cost—$1,284,490 and $1,221,121, respectively)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1,213,957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1,255,290</w:t>
            </w:r>
          </w:p>
        </w:tc>
        <w:tc>
          <w:tcPr>
            <w:tcW w:w="80" w:type="dxa"/>
            <w:vAlign w:val="bottom"/>
          </w:tcPr>
          <w:p>
            <w:pPr>
              <w:spacing w:after="0"/>
              <w:rPr>
                <w:sz w:val="22"/>
                <w:szCs w:val="22"/>
                <w:color w:val="auto"/>
              </w:rPr>
            </w:pPr>
          </w:p>
        </w:tc>
      </w:tr>
      <w:tr>
        <w:trPr>
          <w:trHeight w:val="270"/>
        </w:trPr>
        <w:tc>
          <w:tcPr>
            <w:tcW w:w="6920" w:type="dxa"/>
            <w:vAlign w:val="bottom"/>
            <w:gridSpan w:val="5"/>
          </w:tcPr>
          <w:p>
            <w:pPr>
              <w:spacing w:after="0"/>
              <w:rPr>
                <w:sz w:val="20"/>
                <w:szCs w:val="20"/>
                <w:color w:val="auto"/>
              </w:rPr>
            </w:pPr>
            <w:r>
              <w:rPr>
                <w:rFonts w:ascii="Arial" w:cs="Arial" w:eastAsia="Arial" w:hAnsi="Arial"/>
                <w:sz w:val="22"/>
                <w:szCs w:val="22"/>
                <w:color w:val="auto"/>
              </w:rPr>
              <w:t>Cash and cash equivalents (cost—$26,259 and $20,383, respectively)</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w w:val="86"/>
              </w:rPr>
              <w:t>26,251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20,357</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Interest receivable</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3,394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4,958</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12,793</w:t>
            </w:r>
          </w:p>
        </w:tc>
        <w:tc>
          <w:tcPr>
            <w:tcW w:w="80" w:type="dxa"/>
            <w:vAlign w:val="bottom"/>
          </w:tcPr>
          <w:p>
            <w:pPr>
              <w:spacing w:after="0"/>
              <w:rPr>
                <w:sz w:val="23"/>
                <w:szCs w:val="23"/>
                <w:color w:val="auto"/>
              </w:rPr>
            </w:pPr>
          </w:p>
        </w:tc>
      </w:tr>
      <w:tr>
        <w:trPr>
          <w:trHeight w:val="274"/>
        </w:trPr>
        <w:tc>
          <w:tcPr>
            <w:tcW w:w="4640" w:type="dxa"/>
            <w:vAlign w:val="bottom"/>
          </w:tcPr>
          <w:p>
            <w:pPr>
              <w:spacing w:after="0"/>
              <w:rPr>
                <w:sz w:val="20"/>
                <w:szCs w:val="20"/>
                <w:color w:val="auto"/>
              </w:rPr>
            </w:pPr>
            <w:r>
              <w:rPr>
                <w:rFonts w:ascii="Arial" w:cs="Arial" w:eastAsia="Arial" w:hAnsi="Arial"/>
                <w:sz w:val="22"/>
                <w:szCs w:val="22"/>
                <w:color w:val="auto"/>
              </w:rPr>
              <w:t>Distribution receivable</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1,694</w:t>
            </w:r>
          </w:p>
        </w:tc>
        <w:tc>
          <w:tcPr>
            <w:tcW w:w="80" w:type="dxa"/>
            <w:vAlign w:val="bottom"/>
          </w:tcPr>
          <w:p>
            <w:pPr>
              <w:spacing w:after="0"/>
              <w:rPr>
                <w:sz w:val="23"/>
                <w:szCs w:val="23"/>
                <w:color w:val="auto"/>
              </w:rPr>
            </w:pPr>
          </w:p>
        </w:tc>
      </w:tr>
      <w:tr>
        <w:trPr>
          <w:trHeight w:val="267"/>
        </w:trPr>
        <w:tc>
          <w:tcPr>
            <w:tcW w:w="4640" w:type="dxa"/>
            <w:vAlign w:val="bottom"/>
          </w:tcPr>
          <w:p>
            <w:pPr>
              <w:spacing w:after="0"/>
              <w:rPr>
                <w:sz w:val="20"/>
                <w:szCs w:val="20"/>
                <w:color w:val="auto"/>
              </w:rPr>
            </w:pPr>
            <w:r>
              <w:rPr>
                <w:rFonts w:ascii="Arial" w:cs="Arial" w:eastAsia="Arial" w:hAnsi="Arial"/>
                <w:sz w:val="22"/>
                <w:szCs w:val="22"/>
                <w:b w:val="1"/>
                <w:bCs w:val="1"/>
                <w:color w:val="auto"/>
              </w:rPr>
              <w:t>Total assets</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1,246,022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1,295,092</w:t>
            </w:r>
          </w:p>
        </w:tc>
        <w:tc>
          <w:tcPr>
            <w:tcW w:w="80" w:type="dxa"/>
            <w:vAlign w:val="bottom"/>
          </w:tcPr>
          <w:p>
            <w:pPr>
              <w:spacing w:after="0"/>
              <w:rPr>
                <w:sz w:val="23"/>
                <w:szCs w:val="23"/>
                <w:color w:val="auto"/>
              </w:rPr>
            </w:pPr>
          </w:p>
        </w:tc>
      </w:tr>
      <w:tr>
        <w:trPr>
          <w:trHeight w:val="256"/>
        </w:trPr>
        <w:tc>
          <w:tcPr>
            <w:tcW w:w="46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Distributions payable</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9,386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8,045</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9,620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8,407</w:t>
            </w:r>
          </w:p>
        </w:tc>
        <w:tc>
          <w:tcPr>
            <w:tcW w:w="80" w:type="dxa"/>
            <w:vAlign w:val="bottom"/>
          </w:tcPr>
          <w:p>
            <w:pPr>
              <w:spacing w:after="0"/>
              <w:rPr>
                <w:sz w:val="23"/>
                <w:szCs w:val="23"/>
                <w:color w:val="auto"/>
              </w:rPr>
            </w:pPr>
          </w:p>
        </w:tc>
      </w:tr>
      <w:tr>
        <w:trPr>
          <w:trHeight w:val="243"/>
        </w:trPr>
        <w:tc>
          <w:tcPr>
            <w:tcW w:w="6920" w:type="dxa"/>
            <w:vAlign w:val="bottom"/>
            <w:gridSpan w:val="5"/>
          </w:tcPr>
          <w:p>
            <w:pPr>
              <w:spacing w:after="0" w:line="243" w:lineRule="exact"/>
              <w:rPr>
                <w:sz w:val="20"/>
                <w:szCs w:val="20"/>
                <w:color w:val="auto"/>
              </w:rPr>
            </w:pPr>
            <w:r>
              <w:rPr>
                <w:rFonts w:ascii="Arial" w:cs="Arial" w:eastAsia="Arial" w:hAnsi="Arial"/>
                <w:sz w:val="22"/>
                <w:szCs w:val="22"/>
                <w:color w:val="auto"/>
                <w:w w:val="96"/>
              </w:rPr>
              <w:t>Truist Credit Facility payable, at fair value (cost—$217,920 and $316,545,</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respectively)</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215,899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314,813</w:t>
            </w:r>
          </w:p>
        </w:tc>
        <w:tc>
          <w:tcPr>
            <w:tcW w:w="80" w:type="dxa"/>
            <w:vAlign w:val="bottom"/>
          </w:tcPr>
          <w:p>
            <w:pPr>
              <w:spacing w:after="0"/>
              <w:rPr>
                <w:sz w:val="23"/>
                <w:szCs w:val="23"/>
                <w:color w:val="auto"/>
              </w:rPr>
            </w:pPr>
          </w:p>
        </w:tc>
      </w:tr>
      <w:tr>
        <w:trPr>
          <w:trHeight w:val="270"/>
        </w:trPr>
        <w:tc>
          <w:tcPr>
            <w:tcW w:w="5820" w:type="dxa"/>
            <w:vAlign w:val="bottom"/>
            <w:gridSpan w:val="3"/>
          </w:tcPr>
          <w:p>
            <w:pPr>
              <w:spacing w:after="0"/>
              <w:rPr>
                <w:sz w:val="20"/>
                <w:szCs w:val="20"/>
                <w:color w:val="auto"/>
              </w:rPr>
            </w:pPr>
            <w:r>
              <w:rPr>
                <w:rFonts w:ascii="Arial" w:cs="Arial" w:eastAsia="Arial" w:hAnsi="Arial"/>
                <w:sz w:val="22"/>
                <w:szCs w:val="22"/>
                <w:color w:val="auto"/>
                <w:w w:val="93"/>
              </w:rPr>
              <w:t>2024 Notes payable, net (par— zero and $86,250, respectively)</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84,503</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2026 Notes payable, net (par— $150,000)</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146,316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145,865</w:t>
            </w:r>
          </w:p>
        </w:tc>
        <w:tc>
          <w:tcPr>
            <w:tcW w:w="80" w:type="dxa"/>
            <w:vAlign w:val="bottom"/>
          </w:tcPr>
          <w:p>
            <w:pPr>
              <w:spacing w:after="0"/>
              <w:rPr>
                <w:sz w:val="23"/>
                <w:szCs w:val="23"/>
                <w:color w:val="auto"/>
              </w:rPr>
            </w:pPr>
          </w:p>
        </w:tc>
      </w:tr>
      <w:tr>
        <w:trPr>
          <w:trHeight w:val="270"/>
        </w:trPr>
        <w:tc>
          <w:tcPr>
            <w:tcW w:w="5820" w:type="dxa"/>
            <w:vAlign w:val="bottom"/>
            <w:gridSpan w:val="3"/>
          </w:tcPr>
          <w:p>
            <w:pPr>
              <w:spacing w:after="0"/>
              <w:rPr>
                <w:sz w:val="20"/>
                <w:szCs w:val="20"/>
                <w:color w:val="auto"/>
              </w:rPr>
            </w:pPr>
            <w:r>
              <w:rPr>
                <w:rFonts w:ascii="Arial" w:cs="Arial" w:eastAsia="Arial" w:hAnsi="Arial"/>
                <w:sz w:val="22"/>
                <w:szCs w:val="22"/>
                <w:color w:val="auto"/>
                <w:w w:val="89"/>
              </w:rPr>
              <w:t>2026 Notes-2 payable, net (par— $165,000 and zero, respectively)</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160,946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6920" w:type="dxa"/>
            <w:vAlign w:val="bottom"/>
            <w:gridSpan w:val="5"/>
          </w:tcPr>
          <w:p>
            <w:pPr>
              <w:spacing w:after="0"/>
              <w:rPr>
                <w:sz w:val="20"/>
                <w:szCs w:val="20"/>
                <w:color w:val="auto"/>
              </w:rPr>
            </w:pPr>
            <w:r>
              <w:rPr>
                <w:rFonts w:ascii="Arial" w:cs="Arial" w:eastAsia="Arial" w:hAnsi="Arial"/>
                <w:sz w:val="22"/>
                <w:szCs w:val="22"/>
                <w:color w:val="auto"/>
                <w:w w:val="98"/>
              </w:rPr>
              <w:t>SBA debentures payable, net (par—$27,500 and $63,500, respectively)</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w w:val="86"/>
              </w:rPr>
              <w:t>27,026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62,159</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Base-management fee payable, net</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4,981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4,580</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Performance based-incentive fee payable</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575</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6,686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4,943</w:t>
            </w:r>
          </w:p>
        </w:tc>
        <w:tc>
          <w:tcPr>
            <w:tcW w:w="80" w:type="dxa"/>
            <w:vAlign w:val="bottom"/>
          </w:tcPr>
          <w:p>
            <w:pPr>
              <w:spacing w:after="0"/>
              <w:rPr>
                <w:sz w:val="23"/>
                <w:szCs w:val="23"/>
                <w:color w:val="auto"/>
              </w:rPr>
            </w:pPr>
          </w:p>
        </w:tc>
      </w:tr>
      <w:tr>
        <w:trPr>
          <w:trHeight w:val="274"/>
        </w:trPr>
        <w:tc>
          <w:tcPr>
            <w:tcW w:w="4640" w:type="dxa"/>
            <w:vAlign w:val="bottom"/>
          </w:tcPr>
          <w:p>
            <w:pPr>
              <w:spacing w:after="0"/>
              <w:rPr>
                <w:sz w:val="20"/>
                <w:szCs w:val="20"/>
                <w:color w:val="auto"/>
              </w:rPr>
            </w:pPr>
            <w:r>
              <w:rPr>
                <w:rFonts w:ascii="Arial" w:cs="Arial" w:eastAsia="Arial" w:hAnsi="Arial"/>
                <w:sz w:val="22"/>
                <w:szCs w:val="22"/>
                <w:color w:val="auto"/>
              </w:rPr>
              <w:t>Accrued other expenses</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1,058</w:t>
            </w:r>
          </w:p>
        </w:tc>
        <w:tc>
          <w:tcPr>
            <w:tcW w:w="80" w:type="dxa"/>
            <w:vAlign w:val="bottom"/>
          </w:tcPr>
          <w:p>
            <w:pPr>
              <w:spacing w:after="0"/>
              <w:rPr>
                <w:sz w:val="23"/>
                <w:szCs w:val="23"/>
                <w:color w:val="auto"/>
              </w:rPr>
            </w:pPr>
          </w:p>
        </w:tc>
      </w:tr>
      <w:tr>
        <w:trPr>
          <w:trHeight w:val="267"/>
        </w:trPr>
        <w:tc>
          <w:tcPr>
            <w:tcW w:w="4640" w:type="dxa"/>
            <w:vAlign w:val="bottom"/>
          </w:tcPr>
          <w:p>
            <w:pPr>
              <w:spacing w:after="0"/>
              <w:rPr>
                <w:sz w:val="20"/>
                <w:szCs w:val="20"/>
                <w:color w:val="auto"/>
              </w:rPr>
            </w:pPr>
            <w:r>
              <w:rPr>
                <w:rFonts w:ascii="Arial" w:cs="Arial" w:eastAsia="Arial" w:hAnsi="Arial"/>
                <w:sz w:val="22"/>
                <w:szCs w:val="22"/>
                <w:b w:val="1"/>
                <w:bCs w:val="1"/>
                <w:color w:val="auto"/>
              </w:rPr>
              <w:t>Total liabilities</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581,697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634,948</w:t>
            </w:r>
          </w:p>
        </w:tc>
        <w:tc>
          <w:tcPr>
            <w:tcW w:w="80" w:type="dxa"/>
            <w:vAlign w:val="bottom"/>
          </w:tcPr>
          <w:p>
            <w:pPr>
              <w:spacing w:after="0"/>
              <w:rPr>
                <w:sz w:val="23"/>
                <w:szCs w:val="23"/>
                <w:color w:val="auto"/>
              </w:rPr>
            </w:pPr>
          </w:p>
        </w:tc>
      </w:tr>
      <w:tr>
        <w:trPr>
          <w:trHeight w:val="250"/>
        </w:trPr>
        <w:tc>
          <w:tcPr>
            <w:tcW w:w="464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464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920" w:type="dxa"/>
            <w:vAlign w:val="bottom"/>
            <w:gridSpan w:val="5"/>
          </w:tcPr>
          <w:p>
            <w:pPr>
              <w:spacing w:after="0" w:line="243" w:lineRule="exact"/>
              <w:rPr>
                <w:sz w:val="20"/>
                <w:szCs w:val="20"/>
                <w:color w:val="auto"/>
              </w:rPr>
            </w:pPr>
            <w:r>
              <w:rPr>
                <w:rFonts w:ascii="Arial" w:cs="Arial" w:eastAsia="Arial" w:hAnsi="Arial"/>
                <w:sz w:val="22"/>
                <w:szCs w:val="22"/>
                <w:color w:val="auto"/>
                <w:w w:val="92"/>
              </w:rPr>
              <w:t>Common stock, 66,131,651 and 67,045,105, respectively, shares issued and</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6920" w:type="dxa"/>
            <w:vAlign w:val="bottom"/>
            <w:gridSpan w:val="5"/>
          </w:tcPr>
          <w:p>
            <w:pPr>
              <w:spacing w:after="0"/>
              <w:rPr>
                <w:sz w:val="20"/>
                <w:szCs w:val="20"/>
                <w:color w:val="auto"/>
              </w:rPr>
            </w:pPr>
            <w:r>
              <w:rPr>
                <w:rFonts w:ascii="Arial" w:cs="Arial" w:eastAsia="Arial" w:hAnsi="Arial"/>
                <w:sz w:val="22"/>
                <w:szCs w:val="22"/>
                <w:color w:val="auto"/>
                <w:w w:val="93"/>
              </w:rPr>
              <w:t>outstanding Par value $0.001 per share and 100,000,000 shares authorized</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66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67</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779,938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786,993</w:t>
            </w:r>
          </w:p>
        </w:tc>
        <w:tc>
          <w:tcPr>
            <w:tcW w:w="80" w:type="dxa"/>
            <w:vAlign w:val="bottom"/>
          </w:tcPr>
          <w:p>
            <w:pPr>
              <w:spacing w:after="0"/>
              <w:rPr>
                <w:sz w:val="23"/>
                <w:szCs w:val="23"/>
                <w:color w:val="auto"/>
              </w:rPr>
            </w:pPr>
          </w:p>
        </w:tc>
      </w:tr>
      <w:tr>
        <w:trPr>
          <w:trHeight w:val="274"/>
        </w:trPr>
        <w:tc>
          <w:tcPr>
            <w:tcW w:w="4640" w:type="dxa"/>
            <w:vAlign w:val="bottom"/>
          </w:tcPr>
          <w:p>
            <w:pPr>
              <w:spacing w:after="0"/>
              <w:rPr>
                <w:sz w:val="20"/>
                <w:szCs w:val="20"/>
                <w:color w:val="auto"/>
              </w:rPr>
            </w:pPr>
            <w:r>
              <w:rPr>
                <w:rFonts w:ascii="Arial" w:cs="Arial" w:eastAsia="Arial" w:hAnsi="Arial"/>
                <w:sz w:val="22"/>
                <w:szCs w:val="22"/>
                <w:color w:val="auto"/>
              </w:rPr>
              <w:t>Accumulated deficit</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gridSpan w:val="5"/>
          </w:tcPr>
          <w:p>
            <w:pPr>
              <w:jc w:val="right"/>
              <w:ind w:right="32"/>
              <w:spacing w:after="0"/>
              <w:rPr>
                <w:sz w:val="20"/>
                <w:szCs w:val="20"/>
                <w:color w:val="auto"/>
              </w:rPr>
            </w:pPr>
            <w:r>
              <w:rPr>
                <w:rFonts w:ascii="Arial" w:cs="Arial" w:eastAsia="Arial" w:hAnsi="Arial"/>
                <w:sz w:val="22"/>
                <w:szCs w:val="22"/>
                <w:color w:val="auto"/>
              </w:rPr>
              <w:t>(115,679)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(126,916)</w:t>
            </w:r>
          </w:p>
        </w:tc>
      </w:tr>
      <w:tr>
        <w:trPr>
          <w:trHeight w:val="267"/>
        </w:trPr>
        <w:tc>
          <w:tcPr>
            <w:tcW w:w="4640" w:type="dxa"/>
            <w:vAlign w:val="bottom"/>
          </w:tcPr>
          <w:p>
            <w:pPr>
              <w:spacing w:after="0"/>
              <w:rPr>
                <w:sz w:val="20"/>
                <w:szCs w:val="20"/>
                <w:color w:val="auto"/>
              </w:rPr>
            </w:pPr>
            <w:r>
              <w:rPr>
                <w:rFonts w:ascii="Arial" w:cs="Arial" w:eastAsia="Arial" w:hAnsi="Arial"/>
                <w:sz w:val="22"/>
                <w:szCs w:val="22"/>
                <w:b w:val="1"/>
                <w:bCs w:val="1"/>
                <w:color w:val="auto"/>
              </w:rPr>
              <w:t>Total net assets</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top w:val="single" w:sz="8" w:color="auto"/>
              <w:bottom w:val="single" w:sz="8" w:color="auto"/>
            </w:tcBorders>
          </w:tcPr>
          <w:p>
            <w:pPr>
              <w:jc w:val="center"/>
              <w:ind w:right="432"/>
              <w:spacing w:after="0"/>
              <w:rPr>
                <w:sz w:val="20"/>
                <w:szCs w:val="20"/>
                <w:color w:val="auto"/>
              </w:rPr>
            </w:pPr>
            <w:r>
              <w:rPr>
                <w:rFonts w:ascii="Arial" w:cs="Arial" w:eastAsia="Arial" w:hAnsi="Arial"/>
                <w:sz w:val="22"/>
                <w:szCs w:val="22"/>
                <w:color w:val="auto"/>
                <w:w w:val="97"/>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rPr>
              <w:t>664,325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660,144</w:t>
            </w:r>
          </w:p>
        </w:tc>
        <w:tc>
          <w:tcPr>
            <w:tcW w:w="80" w:type="dxa"/>
            <w:vAlign w:val="bottom"/>
          </w:tcPr>
          <w:p>
            <w:pPr>
              <w:spacing w:after="0"/>
              <w:rPr>
                <w:sz w:val="23"/>
                <w:szCs w:val="23"/>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22"/>
                <w:szCs w:val="22"/>
                <w:b w:val="1"/>
                <w:bCs w:val="1"/>
                <w:color w:val="auto"/>
              </w:rPr>
              <w:t>Total liabilities and net assets</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Borders>
              <w:bottom w:val="single" w:sz="8" w:color="auto"/>
            </w:tcBorders>
          </w:tcPr>
          <w:p>
            <w:pPr>
              <w:jc w:val="center"/>
              <w:ind w:right="432"/>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1,246,022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1,295,092</w:t>
            </w:r>
          </w:p>
        </w:tc>
        <w:tc>
          <w:tcPr>
            <w:tcW w:w="80" w:type="dxa"/>
            <w:vAlign w:val="bottom"/>
          </w:tcPr>
          <w:p>
            <w:pPr>
              <w:spacing w:after="0"/>
              <w:rPr>
                <w:sz w:val="22"/>
                <w:szCs w:val="22"/>
                <w:color w:val="auto"/>
              </w:rPr>
            </w:pPr>
          </w:p>
        </w:tc>
      </w:tr>
      <w:tr>
        <w:trPr>
          <w:trHeight w:val="20"/>
        </w:trPr>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46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center"/>
              <w:ind w:right="432"/>
              <w:spacing w:after="0"/>
              <w:rPr>
                <w:sz w:val="20"/>
                <w:szCs w:val="20"/>
                <w:color w:val="auto"/>
              </w:rPr>
            </w:pPr>
            <w:r>
              <w:rPr>
                <w:rFonts w:ascii="Arial" w:cs="Arial" w:eastAsia="Arial" w:hAnsi="Arial"/>
                <w:sz w:val="22"/>
                <w:szCs w:val="22"/>
                <w:color w:val="auto"/>
                <w:w w:val="97"/>
              </w:rPr>
              <w:t>$</w:t>
            </w:r>
          </w:p>
        </w:tc>
        <w:tc>
          <w:tcPr>
            <w:tcW w:w="2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10.05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9.85</w:t>
            </w:r>
          </w:p>
        </w:tc>
        <w:tc>
          <w:tcPr>
            <w:tcW w:w="80" w:type="dxa"/>
            <w:vAlign w:val="bottom"/>
          </w:tcPr>
          <w:p>
            <w:pPr>
              <w:spacing w:after="0"/>
              <w:rPr>
                <w:sz w:val="22"/>
                <w:szCs w:val="22"/>
                <w:color w:val="auto"/>
              </w:rPr>
            </w:pPr>
          </w:p>
        </w:tc>
      </w:tr>
      <w:tr>
        <w:trPr>
          <w:trHeight w:val="21"/>
        </w:trPr>
        <w:tc>
          <w:tcPr>
            <w:tcW w:w="54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8"/>
        </w:trPr>
        <w:tc>
          <w:tcPr>
            <w:tcW w:w="9260" w:type="dxa"/>
            <w:vAlign w:val="bottom"/>
            <w:gridSpan w:val="12"/>
          </w:tcPr>
          <w:p>
            <w:pPr>
              <w:jc w:val="center"/>
              <w:ind w:left="1832"/>
              <w:spacing w:after="0"/>
              <w:rPr>
                <w:sz w:val="20"/>
                <w:szCs w:val="20"/>
                <w:color w:val="auto"/>
              </w:rPr>
            </w:pPr>
            <w:r>
              <w:rPr>
                <w:rFonts w:ascii="Arial" w:cs="Arial" w:eastAsia="Arial" w:hAnsi="Arial"/>
                <w:sz w:val="22"/>
                <w:szCs w:val="22"/>
                <w:b w:val="1"/>
                <w:bCs w:val="1"/>
                <w:color w:val="auto"/>
                <w:w w:val="98"/>
              </w:rPr>
              <w:t>PENNANTPARK INVESTMENT CORPORATION AND SUBSIDIARIES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160" w:type="dxa"/>
            <w:vAlign w:val="bottom"/>
            <w:gridSpan w:val="8"/>
          </w:tcPr>
          <w:p>
            <w:pPr>
              <w:jc w:val="center"/>
              <w:ind w:left="295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40" w:type="dxa"/>
            <w:vAlign w:val="bottom"/>
          </w:tcPr>
          <w:p>
            <w:pPr>
              <w:spacing w:after="0"/>
              <w:rPr>
                <w:sz w:val="21"/>
                <w:szCs w:val="21"/>
                <w:color w:val="auto"/>
              </w:rPr>
            </w:pPr>
          </w:p>
        </w:tc>
        <w:tc>
          <w:tcPr>
            <w:tcW w:w="2280" w:type="dxa"/>
            <w:vAlign w:val="bottom"/>
            <w:gridSpan w:val="4"/>
          </w:tcPr>
          <w:p>
            <w:pPr>
              <w:jc w:val="center"/>
              <w:ind w:right="360"/>
              <w:spacing w:after="0" w:line="243" w:lineRule="exact"/>
              <w:rPr>
                <w:sz w:val="20"/>
                <w:szCs w:val="20"/>
                <w:color w:val="auto"/>
              </w:rPr>
            </w:pPr>
            <w:r>
              <w:rPr>
                <w:rFonts w:ascii="Arial" w:cs="Arial" w:eastAsia="Arial" w:hAnsi="Arial"/>
                <w:sz w:val="22"/>
                <w:szCs w:val="22"/>
                <w:b w:val="1"/>
                <w:bCs w:val="1"/>
                <w:color w:val="auto"/>
                <w:w w:val="91"/>
              </w:rPr>
              <w:t>(Unaudited)</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0"/>
        </w:trPr>
        <w:tc>
          <w:tcPr>
            <w:tcW w:w="8160" w:type="dxa"/>
            <w:vAlign w:val="bottom"/>
            <w:gridSpan w:val="8"/>
          </w:tcPr>
          <w:p>
            <w:pPr>
              <w:jc w:val="center"/>
              <w:ind w:left="2952"/>
              <w:spacing w:after="0"/>
              <w:rPr>
                <w:sz w:val="20"/>
                <w:szCs w:val="20"/>
                <w:color w:val="auto"/>
              </w:rPr>
            </w:pPr>
            <w:r>
              <w:rPr>
                <w:rFonts w:ascii="Arial" w:cs="Arial" w:eastAsia="Arial" w:hAnsi="Arial"/>
                <w:sz w:val="22"/>
                <w:szCs w:val="22"/>
                <w:b w:val="1"/>
                <w:bCs w:val="1"/>
                <w:color w:val="auto"/>
                <w:w w:val="87"/>
              </w:rPr>
              <w:t>(In thousands, except share and per share data)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5"/>
        </w:trPr>
        <w:tc>
          <w:tcPr>
            <w:tcW w:w="4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5"/>
          </w:tcPr>
          <w:p>
            <w:pPr>
              <w:jc w:val="center"/>
              <w:ind w:right="272"/>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8"/>
          </w:tcPr>
          <w:p>
            <w:pPr>
              <w:jc w:val="right"/>
              <w:ind w:right="600"/>
              <w:spacing w:after="0"/>
              <w:rPr>
                <w:sz w:val="20"/>
                <w:szCs w:val="20"/>
                <w:color w:val="auto"/>
              </w:rPr>
            </w:pPr>
            <w:r>
              <w:rPr>
                <w:rFonts w:ascii="Arial" w:cs="Arial" w:eastAsia="Arial" w:hAnsi="Arial"/>
                <w:sz w:val="22"/>
                <w:szCs w:val="22"/>
                <w:b w:val="1"/>
                <w:bCs w:val="1"/>
                <w:color w:val="auto"/>
              </w:rPr>
              <w:t>Six Months Ended</w:t>
            </w:r>
          </w:p>
        </w:tc>
      </w:tr>
      <w:tr>
        <w:trPr>
          <w:trHeight w:val="282"/>
        </w:trPr>
        <w:tc>
          <w:tcPr>
            <w:tcW w:w="4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3"/>
          </w:tcPr>
          <w:p>
            <w:pPr>
              <w:jc w:val="center"/>
              <w:ind w:left="392"/>
              <w:spacing w:after="0"/>
              <w:rPr>
                <w:sz w:val="20"/>
                <w:szCs w:val="20"/>
                <w:color w:val="auto"/>
              </w:rPr>
            </w:pPr>
            <w:r>
              <w:rPr>
                <w:rFonts w:ascii="Arial" w:cs="Arial" w:eastAsia="Arial" w:hAnsi="Arial"/>
                <w:sz w:val="22"/>
                <w:szCs w:val="22"/>
                <w:b w:val="1"/>
                <w:bCs w:val="1"/>
                <w:color w:val="auto"/>
                <w:w w:val="92"/>
              </w:rPr>
              <w:t>March 31,</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6"/>
          </w:tcPr>
          <w:p>
            <w:pPr>
              <w:jc w:val="right"/>
              <w:ind w:right="980"/>
              <w:spacing w:after="0"/>
              <w:rPr>
                <w:sz w:val="20"/>
                <w:szCs w:val="20"/>
                <w:color w:val="auto"/>
              </w:rPr>
            </w:pPr>
            <w:r>
              <w:rPr>
                <w:rFonts w:ascii="Arial" w:cs="Arial" w:eastAsia="Arial" w:hAnsi="Arial"/>
                <w:sz w:val="22"/>
                <w:szCs w:val="22"/>
                <w:b w:val="1"/>
                <w:bCs w:val="1"/>
                <w:color w:val="auto"/>
                <w:w w:val="92"/>
              </w:rPr>
              <w:t>March 31,</w:t>
            </w:r>
          </w:p>
        </w:tc>
      </w:tr>
      <w:tr>
        <w:trPr>
          <w:trHeight w:val="265"/>
        </w:trPr>
        <w:tc>
          <w:tcPr>
            <w:tcW w:w="4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w w:val="89"/>
              </w:rPr>
              <w:t>2022</w:t>
            </w:r>
          </w:p>
        </w:tc>
        <w:tc>
          <w:tcPr>
            <w:tcW w:w="220" w:type="dxa"/>
            <w:vAlign w:val="bottom"/>
            <w:tcBorders>
              <w:top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gridSpan w:val="2"/>
          </w:tcPr>
          <w:p>
            <w:pPr>
              <w:jc w:val="center"/>
              <w:ind w:right="272"/>
              <w:spacing w:after="0"/>
              <w:rPr>
                <w:sz w:val="20"/>
                <w:szCs w:val="20"/>
                <w:color w:val="auto"/>
              </w:rPr>
            </w:pPr>
            <w:r>
              <w:rPr>
                <w:rFonts w:ascii="Arial" w:cs="Arial" w:eastAsia="Arial" w:hAnsi="Arial"/>
                <w:sz w:val="22"/>
                <w:szCs w:val="22"/>
                <w:b w:val="1"/>
                <w:bCs w:val="1"/>
                <w:color w:val="auto"/>
                <w:w w:val="89"/>
              </w:rPr>
              <w:t>2021</w:t>
            </w:r>
          </w:p>
        </w:tc>
        <w:tc>
          <w:tcPr>
            <w:tcW w:w="2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22"/>
                <w:szCs w:val="22"/>
                <w:b w:val="1"/>
                <w:bCs w:val="1"/>
                <w:color w:val="auto"/>
              </w:rPr>
              <w:t>2022</w:t>
            </w:r>
          </w:p>
        </w:tc>
        <w:tc>
          <w:tcPr>
            <w:tcW w:w="16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w:t>
            </w:r>
          </w:p>
        </w:tc>
        <w:tc>
          <w:tcPr>
            <w:tcW w:w="80" w:type="dxa"/>
            <w:vAlign w:val="bottom"/>
          </w:tcPr>
          <w:p>
            <w:pPr>
              <w:spacing w:after="0"/>
              <w:rPr>
                <w:sz w:val="23"/>
                <w:szCs w:val="23"/>
                <w:color w:val="auto"/>
              </w:rPr>
            </w:pPr>
          </w:p>
        </w:tc>
      </w:tr>
      <w:tr>
        <w:trPr>
          <w:trHeight w:val="256"/>
        </w:trPr>
        <w:tc>
          <w:tcPr>
            <w:tcW w:w="464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w w:val="99"/>
              </w:rPr>
              <w:t>From non-controlled, non-affiliated investments:</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Interest</w:t>
            </w:r>
          </w:p>
        </w:tc>
        <w:tc>
          <w:tcPr>
            <w:tcW w:w="118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14,543</w:t>
            </w:r>
          </w:p>
        </w:tc>
        <w:tc>
          <w:tcPr>
            <w:tcW w:w="22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11,669</w:t>
            </w:r>
          </w:p>
        </w:tc>
        <w:tc>
          <w:tcPr>
            <w:tcW w:w="42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30,083</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23,101</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Payment-in-kind</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996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2,012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3,406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3,471</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Other income</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2,612</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24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6,803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505</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Payment-in-kind</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380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22"/>
                <w:szCs w:val="22"/>
                <w:color w:val="auto"/>
                <w:w w:val="81"/>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457</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Interest</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2,343</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2,177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4,609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4,454</w:t>
            </w:r>
          </w:p>
        </w:tc>
        <w:tc>
          <w:tcPr>
            <w:tcW w:w="8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Payment-in-kind</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1,425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1,519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3,551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3,004</w:t>
            </w:r>
          </w:p>
        </w:tc>
        <w:tc>
          <w:tcPr>
            <w:tcW w:w="80" w:type="dxa"/>
            <w:vAlign w:val="bottom"/>
          </w:tcPr>
          <w:p>
            <w:pPr>
              <w:spacing w:after="0"/>
              <w:rPr>
                <w:sz w:val="23"/>
                <w:szCs w:val="23"/>
                <w:color w:val="auto"/>
              </w:rPr>
            </w:pPr>
          </w:p>
        </w:tc>
      </w:tr>
      <w:tr>
        <w:trPr>
          <w:trHeight w:val="274"/>
        </w:trPr>
        <w:tc>
          <w:tcPr>
            <w:tcW w:w="4640" w:type="dxa"/>
            <w:vAlign w:val="bottom"/>
          </w:tcPr>
          <w:p>
            <w:pPr>
              <w:spacing w:after="0"/>
              <w:rPr>
                <w:sz w:val="20"/>
                <w:szCs w:val="20"/>
                <w:color w:val="auto"/>
              </w:rPr>
            </w:pPr>
            <w:r>
              <w:rPr>
                <w:rFonts w:ascii="Arial" w:cs="Arial" w:eastAsia="Arial" w:hAnsi="Arial"/>
                <w:sz w:val="22"/>
                <w:szCs w:val="22"/>
                <w:color w:val="auto"/>
              </w:rPr>
              <w:t>Dividend income</w:t>
            </w:r>
          </w:p>
        </w:tc>
        <w:tc>
          <w:tcPr>
            <w:tcW w:w="8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2,420</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1,452</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rPr>
              <w:t>4,235</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2,973</w:t>
            </w:r>
          </w:p>
        </w:tc>
        <w:tc>
          <w:tcPr>
            <w:tcW w:w="80" w:type="dxa"/>
            <w:vAlign w:val="bottom"/>
          </w:tcPr>
          <w:p>
            <w:pPr>
              <w:spacing w:after="0"/>
              <w:rPr>
                <w:sz w:val="23"/>
                <w:szCs w:val="23"/>
                <w:color w:val="auto"/>
              </w:rPr>
            </w:pPr>
          </w:p>
        </w:tc>
      </w:tr>
      <w:tr>
        <w:trPr>
          <w:trHeight w:val="267"/>
        </w:trPr>
        <w:tc>
          <w:tcPr>
            <w:tcW w:w="4640" w:type="dxa"/>
            <w:vAlign w:val="bottom"/>
          </w:tcPr>
          <w:p>
            <w:pPr>
              <w:spacing w:after="0"/>
              <w:rPr>
                <w:sz w:val="20"/>
                <w:szCs w:val="20"/>
                <w:color w:val="auto"/>
              </w:rPr>
            </w:pPr>
            <w:r>
              <w:rPr>
                <w:rFonts w:ascii="Arial" w:cs="Arial" w:eastAsia="Arial" w:hAnsi="Arial"/>
                <w:sz w:val="22"/>
                <w:szCs w:val="22"/>
                <w:b w:val="1"/>
                <w:bCs w:val="1"/>
                <w:color w:val="auto"/>
              </w:rPr>
              <w:t>Total investment income</w:t>
            </w:r>
          </w:p>
        </w:tc>
        <w:tc>
          <w:tcPr>
            <w:tcW w:w="8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24,339</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19,233</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rPr>
              <w:t>52,687</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37,966</w:t>
            </w:r>
          </w:p>
        </w:tc>
        <w:tc>
          <w:tcPr>
            <w:tcW w:w="80" w:type="dxa"/>
            <w:vAlign w:val="bottom"/>
          </w:tcPr>
          <w:p>
            <w:pPr>
              <w:spacing w:after="0"/>
              <w:rPr>
                <w:sz w:val="23"/>
                <w:szCs w:val="23"/>
                <w:color w:val="auto"/>
              </w:rPr>
            </w:pPr>
          </w:p>
        </w:tc>
      </w:tr>
      <w:tr>
        <w:trPr>
          <w:trHeight w:val="260"/>
        </w:trPr>
        <w:tc>
          <w:tcPr>
            <w:tcW w:w="46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11200"/>
          </w:cols>
          <w:pgMar w:left="340" w:top="102"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440" w:type="dxa"/>
            <w:vAlign w:val="bottom"/>
          </w:tcPr>
          <w:p>
            <w:pPr>
              <w:spacing w:after="0"/>
              <w:rPr>
                <w:sz w:val="20"/>
                <w:szCs w:val="20"/>
                <w:color w:val="auto"/>
              </w:rPr>
            </w:pPr>
            <w:r>
              <w:rPr>
                <w:rFonts w:ascii="Arial" w:cs="Arial" w:eastAsia="Arial" w:hAnsi="Arial"/>
                <w:sz w:val="22"/>
                <w:szCs w:val="22"/>
                <w:color w:val="auto"/>
              </w:rPr>
              <w:t>Base management fee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4,981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4,282</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10,090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8,397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Performance-based incentive fee</w:t>
            </w:r>
          </w:p>
        </w:tc>
        <w:tc>
          <w:tcPr>
            <w:tcW w:w="3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2,657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Interest and expenses on debt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6,498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4,890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13,385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9,894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Administrative services expenses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250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505</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500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1,010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40" w:type="dxa"/>
            <w:vAlign w:val="bottom"/>
          </w:tcPr>
          <w:p>
            <w:pPr>
              <w:spacing w:after="0"/>
              <w:rPr>
                <w:sz w:val="20"/>
                <w:szCs w:val="20"/>
                <w:color w:val="auto"/>
              </w:rPr>
            </w:pPr>
            <w:r>
              <w:rPr>
                <w:rFonts w:ascii="Arial" w:cs="Arial" w:eastAsia="Arial" w:hAnsi="Arial"/>
                <w:sz w:val="22"/>
                <w:szCs w:val="22"/>
                <w:color w:val="auto"/>
              </w:rPr>
              <w:t>Other general and administrative expenses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723</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643</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1,446</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40" w:type="dxa"/>
            <w:vAlign w:val="bottom"/>
          </w:tcPr>
          <w:p>
            <w:pPr>
              <w:spacing w:after="0"/>
              <w:rPr>
                <w:sz w:val="20"/>
                <w:szCs w:val="20"/>
                <w:color w:val="auto"/>
              </w:rPr>
            </w:pPr>
            <w:r>
              <w:rPr>
                <w:rFonts w:ascii="Arial" w:cs="Arial" w:eastAsia="Arial" w:hAnsi="Arial"/>
                <w:sz w:val="22"/>
                <w:szCs w:val="22"/>
                <w:b w:val="1"/>
                <w:bCs w:val="1"/>
                <w:color w:val="auto"/>
              </w:rPr>
              <w:t>Expenses before provision for taxes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12,452</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10,320</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28,078</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20,588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Arial" w:cs="Arial" w:eastAsia="Arial" w:hAnsi="Arial"/>
                <w:sz w:val="22"/>
                <w:szCs w:val="22"/>
                <w:color w:val="auto"/>
              </w:rPr>
              <w:t>Provision for taxes on net investment income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Arial" w:cs="Arial" w:eastAsia="Arial" w:hAnsi="Arial"/>
                <w:sz w:val="22"/>
                <w:szCs w:val="22"/>
                <w:b w:val="1"/>
                <w:bCs w:val="1"/>
                <w:color w:val="auto"/>
              </w:rPr>
              <w:t>Net expenses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12,652</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10,470</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28,478</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20,888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Arial" w:cs="Arial" w:eastAsia="Arial" w:hAnsi="Arial"/>
                <w:sz w:val="22"/>
                <w:szCs w:val="22"/>
                <w:b w:val="1"/>
                <w:bCs w:val="1"/>
                <w:color w:val="auto"/>
              </w:rPr>
              <w:t>Net investment income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11,687</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8,763</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24,209</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17,078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line="209" w:lineRule="exact"/>
              <w:rPr>
                <w:sz w:val="20"/>
                <w:szCs w:val="20"/>
                <w:color w:val="auto"/>
              </w:rPr>
            </w:pPr>
            <w:r>
              <w:rPr>
                <w:rFonts w:ascii="Arial" w:cs="Arial" w:eastAsia="Arial" w:hAnsi="Arial"/>
                <w:sz w:val="22"/>
                <w:szCs w:val="22"/>
                <w:b w:val="1"/>
                <w:bCs w:val="1"/>
                <w:color w:val="auto"/>
                <w:w w:val="93"/>
              </w:rPr>
              <w:t>Realized and unrealized gain (loss) on investments and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4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Net realized gain (loss) on investments and debt:</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Non-controlled, non-affiliated investments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1,889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319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7,090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2,450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Non-controlled and controlled, affiliated investments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140,898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109,624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(19,708)</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Debt extinguishment</w:t>
            </w:r>
          </w:p>
        </w:tc>
        <w:tc>
          <w:tcPr>
            <w:tcW w:w="30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(1,132)</w:t>
            </w:r>
          </w:p>
        </w:tc>
        <w:tc>
          <w:tcPr>
            <w:tcW w:w="3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(2,801)</w:t>
            </w:r>
          </w:p>
        </w:tc>
        <w:tc>
          <w:tcPr>
            <w:tcW w:w="3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440" w:type="dxa"/>
            <w:vAlign w:val="bottom"/>
          </w:tcPr>
          <w:p>
            <w:pPr>
              <w:spacing w:after="0"/>
              <w:rPr>
                <w:sz w:val="20"/>
                <w:szCs w:val="20"/>
                <w:color w:val="auto"/>
              </w:rPr>
            </w:pPr>
            <w:r>
              <w:rPr>
                <w:rFonts w:ascii="Arial" w:cs="Arial" w:eastAsia="Arial" w:hAnsi="Arial"/>
                <w:sz w:val="22"/>
                <w:szCs w:val="22"/>
                <w:color w:val="auto"/>
              </w:rPr>
              <w:t>Provision for taxes on realized gain on investments</w:t>
            </w:r>
          </w:p>
        </w:tc>
        <w:tc>
          <w:tcPr>
            <w:tcW w:w="30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(5,060)</w:t>
            </w: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(5,060)</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40" w:type="dxa"/>
            <w:vAlign w:val="bottom"/>
          </w:tcPr>
          <w:p>
            <w:pPr>
              <w:spacing w:after="0"/>
              <w:rPr>
                <w:sz w:val="20"/>
                <w:szCs w:val="20"/>
                <w:color w:val="auto"/>
              </w:rPr>
            </w:pPr>
            <w:r>
              <w:rPr>
                <w:rFonts w:ascii="Arial" w:cs="Arial" w:eastAsia="Arial" w:hAnsi="Arial"/>
                <w:sz w:val="22"/>
                <w:szCs w:val="22"/>
                <w:b w:val="1"/>
                <w:bCs w:val="1"/>
                <w:color w:val="auto"/>
              </w:rPr>
              <w:t>Net realized gain (loss) on investments and debt</w:t>
            </w: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136,595</w:t>
            </w:r>
          </w:p>
        </w:tc>
        <w:tc>
          <w:tcPr>
            <w:tcW w:w="22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319</w:t>
            </w:r>
          </w:p>
        </w:tc>
        <w:tc>
          <w:tcPr>
            <w:tcW w:w="22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108,853</w:t>
            </w:r>
          </w:p>
        </w:tc>
        <w:tc>
          <w:tcPr>
            <w:tcW w:w="2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(17,258)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2"/>
                <w:szCs w:val="22"/>
                <w:color w:val="auto"/>
                <w:w w:val="99"/>
              </w:rPr>
              <w:t>Net change in unrealized appreciation (depreciation) on:</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Non-controlled, non-affiliated investments</w:t>
            </w:r>
          </w:p>
        </w:tc>
        <w:tc>
          <w:tcPr>
            <w:tcW w:w="30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(158,062)</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11,207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(207,665)</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87,612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Non-controlled and controlled, affiliated investments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6,610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21,969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102,982</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39,069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Arial" w:cs="Arial" w:eastAsia="Arial" w:hAnsi="Arial"/>
                <w:sz w:val="22"/>
                <w:szCs w:val="22"/>
                <w:color w:val="auto"/>
              </w:rPr>
              <w:t>Provision for taxes on unrealized appreciation 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investments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5,045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440" w:type="dxa"/>
            <w:vAlign w:val="bottom"/>
          </w:tcPr>
          <w:p>
            <w:pPr>
              <w:spacing w:after="0"/>
              <w:rPr>
                <w:sz w:val="20"/>
                <w:szCs w:val="20"/>
                <w:color w:val="auto"/>
              </w:rPr>
            </w:pPr>
            <w:r>
              <w:rPr>
                <w:rFonts w:ascii="Arial" w:cs="Arial" w:eastAsia="Arial" w:hAnsi="Arial"/>
                <w:sz w:val="22"/>
                <w:szCs w:val="22"/>
                <w:color w:val="auto"/>
              </w:rPr>
              <w:t>Debt (appreciation) depreciation</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1,285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22"/>
                <w:szCs w:val="22"/>
                <w:color w:val="auto"/>
              </w:rPr>
              <w:t>(3,763)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289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(16,873)</w:t>
            </w:r>
          </w:p>
        </w:tc>
        <w:tc>
          <w:tcPr>
            <w:tcW w:w="0" w:type="dxa"/>
            <w:vAlign w:val="bottom"/>
          </w:tcPr>
          <w:p>
            <w:pPr>
              <w:spacing w:after="0"/>
              <w:rPr>
                <w:sz w:val="1"/>
                <w:szCs w:val="1"/>
                <w:color w:val="auto"/>
              </w:rPr>
            </w:pPr>
          </w:p>
        </w:tc>
      </w:tr>
      <w:tr>
        <w:trPr>
          <w:trHeight w:val="213"/>
        </w:trPr>
        <w:tc>
          <w:tcPr>
            <w:tcW w:w="5440" w:type="dxa"/>
            <w:vAlign w:val="bottom"/>
          </w:tcPr>
          <w:p>
            <w:pPr>
              <w:spacing w:after="0" w:line="212" w:lineRule="exact"/>
              <w:rPr>
                <w:sz w:val="20"/>
                <w:szCs w:val="20"/>
                <w:color w:val="auto"/>
              </w:rPr>
            </w:pPr>
            <w:r>
              <w:rPr>
                <w:rFonts w:ascii="Arial" w:cs="Arial" w:eastAsia="Arial" w:hAnsi="Arial"/>
                <w:sz w:val="22"/>
                <w:szCs w:val="22"/>
                <w:b w:val="1"/>
                <w:bCs w:val="1"/>
                <w:color w:val="auto"/>
                <w:w w:val="93"/>
              </w:rPr>
              <w:t>Net change in unrealized appreciation (depreciation) on</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(145,122)</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29,413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(104,394)</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109,809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40" w:type="dxa"/>
            <w:vAlign w:val="bottom"/>
          </w:tcPr>
          <w:p>
            <w:pPr>
              <w:spacing w:after="0" w:line="212" w:lineRule="exact"/>
              <w:rPr>
                <w:sz w:val="20"/>
                <w:szCs w:val="20"/>
                <w:color w:val="auto"/>
              </w:rPr>
            </w:pPr>
            <w:r>
              <w:rPr>
                <w:rFonts w:ascii="Arial" w:cs="Arial" w:eastAsia="Arial" w:hAnsi="Arial"/>
                <w:sz w:val="22"/>
                <w:szCs w:val="22"/>
                <w:b w:val="1"/>
                <w:bCs w:val="1"/>
                <w:color w:val="auto"/>
                <w:w w:val="91"/>
              </w:rPr>
              <w:t>Net realized and unrealized gain (loss) from investments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(8,528)</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29,732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4,459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92,551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40" w:type="dxa"/>
            <w:vAlign w:val="bottom"/>
          </w:tcPr>
          <w:p>
            <w:pPr>
              <w:spacing w:after="0" w:line="212" w:lineRule="exact"/>
              <w:rPr>
                <w:sz w:val="20"/>
                <w:szCs w:val="20"/>
                <w:color w:val="auto"/>
              </w:rPr>
            </w:pPr>
            <w:r>
              <w:rPr>
                <w:rFonts w:ascii="Arial" w:cs="Arial" w:eastAsia="Arial" w:hAnsi="Arial"/>
                <w:sz w:val="22"/>
                <w:szCs w:val="22"/>
                <w:b w:val="1"/>
                <w:bCs w:val="1"/>
                <w:color w:val="auto"/>
              </w:rPr>
              <w:t>Net increase (decrease) in net assets resulting from</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rPr>
              <w:t>3,160</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rPr>
              <w:t>38,495</w:t>
            </w:r>
          </w:p>
        </w:tc>
        <w:tc>
          <w:tcPr>
            <w:tcW w:w="2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22"/>
                <w:szCs w:val="22"/>
                <w:color w:val="auto"/>
                <w:w w:val="8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rPr>
              <w:t>28,668</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rPr>
              <w:t>109,629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242" w:lineRule="exact"/>
              <w:rPr>
                <w:sz w:val="20"/>
                <w:szCs w:val="20"/>
                <w:color w:val="auto"/>
              </w:rPr>
            </w:pPr>
            <w:r>
              <w:rPr>
                <w:rFonts w:ascii="Arial" w:cs="Arial" w:eastAsia="Arial" w:hAnsi="Arial"/>
                <w:sz w:val="22"/>
                <w:szCs w:val="22"/>
                <w:color w:val="auto"/>
              </w:rPr>
              <w:t>Net increase (decrease) in net assets resulting from</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440" w:type="dxa"/>
            <w:vAlign w:val="bottom"/>
            <w:vMerge w:val="continue"/>
          </w:tcPr>
          <w:p>
            <w:pPr>
              <w:spacing w:after="0"/>
              <w:rPr>
                <w:sz w:val="17"/>
                <w:szCs w:val="17"/>
                <w:color w:val="auto"/>
              </w:rPr>
            </w:pPr>
          </w:p>
        </w:tc>
        <w:tc>
          <w:tcPr>
            <w:tcW w:w="300" w:type="dxa"/>
            <w:vAlign w:val="bottom"/>
            <w:vMerge w:val="restart"/>
          </w:tcPr>
          <w:p>
            <w:pPr>
              <w:jc w:val="right"/>
              <w:ind w:right="72"/>
              <w:spacing w:after="0"/>
              <w:rPr>
                <w:sz w:val="20"/>
                <w:szCs w:val="20"/>
                <w:color w:val="auto"/>
              </w:rPr>
            </w:pPr>
            <w:r>
              <w:rPr>
                <w:rFonts w:ascii="Arial" w:cs="Arial" w:eastAsia="Arial" w:hAnsi="Arial"/>
                <w:sz w:val="22"/>
                <w:szCs w:val="22"/>
                <w:color w:val="auto"/>
                <w:w w:val="81"/>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0.05</w:t>
            </w:r>
          </w:p>
        </w:tc>
        <w:tc>
          <w:tcPr>
            <w:tcW w:w="220" w:type="dxa"/>
            <w:vAlign w:val="bottom"/>
          </w:tcPr>
          <w:p>
            <w:pPr>
              <w:spacing w:after="0"/>
              <w:rPr>
                <w:sz w:val="17"/>
                <w:szCs w:val="17"/>
                <w:color w:val="auto"/>
              </w:rPr>
            </w:pPr>
          </w:p>
        </w:tc>
        <w:tc>
          <w:tcPr>
            <w:tcW w:w="380" w:type="dxa"/>
            <w:vAlign w:val="bottom"/>
            <w:vMerge w:val="restart"/>
          </w:tcPr>
          <w:p>
            <w:pPr>
              <w:jc w:val="right"/>
              <w:ind w:right="152"/>
              <w:spacing w:after="0"/>
              <w:rPr>
                <w:sz w:val="20"/>
                <w:szCs w:val="20"/>
                <w:color w:val="auto"/>
              </w:rPr>
            </w:pPr>
            <w:r>
              <w:rPr>
                <w:rFonts w:ascii="Arial" w:cs="Arial" w:eastAsia="Arial" w:hAnsi="Arial"/>
                <w:sz w:val="22"/>
                <w:szCs w:val="22"/>
                <w:color w:val="auto"/>
                <w:w w:val="81"/>
              </w:rPr>
              <w:t>$</w:t>
            </w: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0.57</w:t>
            </w:r>
          </w:p>
        </w:tc>
        <w:tc>
          <w:tcPr>
            <w:tcW w:w="220" w:type="dxa"/>
            <w:vAlign w:val="bottom"/>
          </w:tcPr>
          <w:p>
            <w:pPr>
              <w:spacing w:after="0"/>
              <w:rPr>
                <w:sz w:val="17"/>
                <w:szCs w:val="17"/>
                <w:color w:val="auto"/>
              </w:rPr>
            </w:pPr>
          </w:p>
        </w:tc>
        <w:tc>
          <w:tcPr>
            <w:tcW w:w="300" w:type="dxa"/>
            <w:vAlign w:val="bottom"/>
            <w:vMerge w:val="restart"/>
          </w:tcPr>
          <w:p>
            <w:pPr>
              <w:jc w:val="right"/>
              <w:ind w:right="72"/>
              <w:spacing w:after="0"/>
              <w:rPr>
                <w:sz w:val="20"/>
                <w:szCs w:val="20"/>
                <w:color w:val="auto"/>
              </w:rPr>
            </w:pPr>
            <w:r>
              <w:rPr>
                <w:rFonts w:ascii="Arial" w:cs="Arial" w:eastAsia="Arial" w:hAnsi="Arial"/>
                <w:sz w:val="22"/>
                <w:szCs w:val="22"/>
                <w:color w:val="auto"/>
                <w:w w:val="81"/>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0.43</w:t>
            </w:r>
          </w:p>
        </w:tc>
        <w:tc>
          <w:tcPr>
            <w:tcW w:w="220" w:type="dxa"/>
            <w:vAlign w:val="bottom"/>
          </w:tcPr>
          <w:p>
            <w:pPr>
              <w:spacing w:after="0"/>
              <w:rPr>
                <w:sz w:val="17"/>
                <w:szCs w:val="17"/>
                <w:color w:val="auto"/>
              </w:rPr>
            </w:pPr>
          </w:p>
        </w:tc>
        <w:tc>
          <w:tcPr>
            <w:tcW w:w="320" w:type="dxa"/>
            <w:vAlign w:val="bottom"/>
            <w:vMerge w:val="restart"/>
          </w:tcPr>
          <w:p>
            <w:pPr>
              <w:jc w:val="right"/>
              <w:ind w:right="92"/>
              <w:spacing w:after="0"/>
              <w:rPr>
                <w:sz w:val="20"/>
                <w:szCs w:val="20"/>
                <w:color w:val="auto"/>
              </w:rPr>
            </w:pPr>
            <w:r>
              <w:rPr>
                <w:rFonts w:ascii="Arial" w:cs="Arial" w:eastAsia="Arial" w:hAnsi="Arial"/>
                <w:sz w:val="22"/>
                <w:szCs w:val="22"/>
                <w:color w:val="auto"/>
                <w:w w:val="81"/>
              </w:rPr>
              <w:t>$</w:t>
            </w: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rPr>
              <w:t>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line="251" w:lineRule="exact"/>
              <w:rPr>
                <w:sz w:val="20"/>
                <w:szCs w:val="20"/>
                <w:color w:val="auto"/>
              </w:rPr>
            </w:pPr>
            <w:r>
              <w:rPr>
                <w:rFonts w:ascii="Arial" w:cs="Arial" w:eastAsia="Arial" w:hAnsi="Arial"/>
                <w:sz w:val="22"/>
                <w:szCs w:val="22"/>
                <w:color w:val="auto"/>
              </w:rPr>
              <w:t>operations per common share</w:t>
            </w:r>
          </w:p>
        </w:tc>
        <w:tc>
          <w:tcPr>
            <w:tcW w:w="30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0.13</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0.36</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$6.0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may use words such as “anticipates,” “believes,” “expects,” “intends,” “seeks,” “plans,” “estimates” and similar expressions to identify forward-looking statements. Such statements are based on currently available operating, financial and competitive</w:t>
      </w:r>
    </w:p>
    <w:p>
      <w:pPr>
        <w:sectPr>
          <w:pgSz w:w="11900" w:h="16838" w:orient="portrait"/>
          <w:cols w:equalWidth="0" w:num="1">
            <w:col w:w="11240"/>
          </w:cols>
          <w:pgMar w:left="320" w:top="118" w:right="339" w:bottom="0" w:gutter="0" w:footer="0" w:header="0"/>
        </w:sectPr>
      </w:pPr>
    </w:p>
    <w:bookmarkStart w:id="9" w:name="page10"/>
    <w:bookmarkEnd w:id="9"/>
    <w:p>
      <w:pPr>
        <w:spacing w:after="0" w:line="251" w:lineRule="auto"/>
        <w:rPr>
          <w:sz w:val="20"/>
          <w:szCs w:val="20"/>
          <w:color w:val="auto"/>
        </w:rPr>
      </w:pPr>
      <w:r>
        <w:rPr>
          <w:rFonts w:ascii="Arial" w:cs="Arial" w:eastAsia="Arial" w:hAnsi="Arial"/>
          <w:sz w:val="22"/>
          <w:szCs w:val="22"/>
          <w:color w:val="auto"/>
        </w:rPr>
        <w:t>information and are subject to various risks and uncertainties that could cause actual results to differ materially from our historical experience and our present expectations.</w:t>
      </w:r>
    </w:p>
    <w:p>
      <w:pPr>
        <w:spacing w:after="0" w:line="187"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22"/>
          <w:szCs w:val="22"/>
          <w:color w:val="auto"/>
        </w:rPr>
        <w:t>CONTACT:</w:t>
        <w:tab/>
        <w:t>Richard Cheung</w:t>
      </w:r>
    </w:p>
    <w:p>
      <w:pPr>
        <w:ind w:left="1400"/>
        <w:spacing w:after="0" w:line="238" w:lineRule="auto"/>
        <w:rPr>
          <w:sz w:val="20"/>
          <w:szCs w:val="20"/>
          <w:color w:val="auto"/>
        </w:rPr>
      </w:pPr>
      <w:r>
        <w:rPr>
          <w:rFonts w:ascii="Arial" w:cs="Arial" w:eastAsia="Arial" w:hAnsi="Arial"/>
          <w:sz w:val="22"/>
          <w:szCs w:val="22"/>
          <w:color w:val="auto"/>
        </w:rPr>
        <w:t>PennantPark Investment Corporation</w:t>
      </w:r>
    </w:p>
    <w:p>
      <w:pPr>
        <w:ind w:left="1400" w:right="7820" w:hanging="2"/>
        <w:spacing w:after="0" w:line="308" w:lineRule="auto"/>
        <w:tabs>
          <w:tab w:leader="none" w:pos="19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2022-05-04T15:30:48Z</dcterms:created>
  <dcterms:modified xsi:type="dcterms:W3CDTF">2022-05-04T15:30:48Z</dcterms:modified>
</cp:coreProperties>
</file>