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pnnt_8-a12b_-_nyse.htm"/>
      <w:bookmarkStart w:id="1" w:name="kspnnt_8a12b__nyse"/>
      <w:bookmarkEnd w:id="0"/>
      <w:bookmarkEnd w:id="1"/>
      <w:r>
        <w:rPr/>
        <w:t> </w:t>
      </w:r>
    </w:p>
    <w:p>
      <w:pPr>
        <w:pStyle w:val="TextBody"/>
        <w:spacing w:lineRule="auto" w:line="273" w:before="0" w:after="0"/>
        <w:jc w:val="center"/>
        <w:rPr>
          <w:rFonts w:ascii="Times New Roman" w:hAnsi="Times New Roman"/>
          <w:b/>
          <w:sz w:val="24"/>
        </w:rPr>
      </w:pPr>
      <w:r>
        <w:rPr>
          <w:rFonts w:ascii="Times New Roman" w:hAnsi="Times New Roman"/>
          <w:b/>
          <w:sz w:val="24"/>
        </w:rPr>
        <w:t>UNITED STATES</w:t>
        <w:br/>
        <w:t>SECURITIES AND EXCHANGE COMMISSION</w:t>
      </w:r>
    </w:p>
    <w:p>
      <w:pPr>
        <w:pStyle w:val="TextBody"/>
        <w:spacing w:lineRule="auto" w:line="273" w:before="0" w:after="0"/>
        <w:jc w:val="center"/>
        <w:rPr>
          <w:rFonts w:ascii="Times New Roman" w:hAnsi="Times New Roman"/>
          <w:b/>
          <w:sz w:val="24"/>
        </w:rPr>
      </w:pPr>
      <w:r>
        <w:rPr>
          <w:rFonts w:ascii="Times New Roman" w:hAnsi="Times New Roman"/>
          <w:b/>
          <w:sz w:val="24"/>
        </w:rPr>
        <w:t>Washington, D.C. 20549</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40"/>
        </w:rPr>
      </w:pPr>
      <w:r>
        <w:rPr>
          <w:rFonts w:ascii="Times New Roman" w:hAnsi="Times New Roman"/>
          <w:b/>
          <w:sz w:val="40"/>
        </w:rPr>
        <w:t>FORM 8-A</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FOR REGISTRATION OF CERTAIN CLASSES OF SECURITIES</w:t>
        <w:br/>
        <w:t>PURSUANT TO SECTION 12(b) OR (g) OF THE</w:t>
        <w:br/>
        <w:t>SECURITIES EXCHANGE ACT OF 1934</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40"/>
        </w:rPr>
      </w:pPr>
      <w:r>
        <w:rPr>
          <w:rFonts w:ascii="Times New Roman" w:hAnsi="Times New Roman"/>
          <w:b/>
          <w:sz w:val="40"/>
        </w:rPr>
        <w:t>PENNANTPARK INVESTMENT CORPORATION</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(Exact name of registrant as specified in its charter)</w:t>
      </w:r>
    </w:p>
    <w:p>
      <w:pPr>
        <w:pStyle w:val="TextBody"/>
        <w:spacing w:lineRule="auto" w:line="273" w:before="0" w:after="0"/>
        <w:jc w:val="left"/>
        <w:rPr/>
      </w:pPr>
      <w:r>
        <w:rPr/>
        <w:t> </w:t>
      </w:r>
    </w:p>
    <w:tbl>
      <w:tblPr>
        <w:tblW w:w="8143" w:type="dxa"/>
        <w:jc w:val="left"/>
        <w:tblInd w:w="0" w:type="dxa"/>
        <w:tblCellMar>
          <w:top w:w="28" w:type="dxa"/>
          <w:left w:w="28" w:type="dxa"/>
          <w:bottom w:w="28" w:type="dxa"/>
          <w:right w:w="28" w:type="dxa"/>
        </w:tblCellMar>
      </w:tblPr>
      <w:tblGrid>
        <w:gridCol w:w="4966"/>
        <w:gridCol w:w="146"/>
        <w:gridCol w:w="3031"/>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1"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lineRule="auto" w:line="252" w:before="0" w:after="0"/>
              <w:ind w:left="0" w:right="0" w:hanging="0"/>
              <w:jc w:val="center"/>
              <w:rPr>
                <w:rFonts w:ascii="Times New Roman" w:hAnsi="Times New Roman"/>
                <w:b/>
                <w:sz w:val="24"/>
              </w:rPr>
            </w:pPr>
            <w:r>
              <w:rPr>
                <w:rFonts w:ascii="Times New Roman" w:hAnsi="Times New Roman"/>
                <w:b/>
                <w:sz w:val="24"/>
              </w:rPr>
              <w:t>Maryland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1" w:type="dxa"/>
            <w:tcBorders/>
            <w:shd w:fill="auto" w:val="clear"/>
            <w:vAlign w:val="center"/>
          </w:tcPr>
          <w:p>
            <w:pPr>
              <w:pStyle w:val="TableContents"/>
              <w:spacing w:lineRule="auto" w:line="252" w:before="0" w:after="0"/>
              <w:ind w:left="0" w:right="0" w:hanging="0"/>
              <w:jc w:val="center"/>
              <w:rPr>
                <w:rFonts w:ascii="Times New Roman" w:hAnsi="Times New Roman"/>
                <w:b/>
                <w:sz w:val="24"/>
              </w:rPr>
            </w:pPr>
            <w:r>
              <w:rPr>
                <w:rFonts w:ascii="Times New Roman" w:hAnsi="Times New Roman"/>
                <w:b/>
                <w:sz w:val="24"/>
              </w:rPr>
              <w:t>20-8250744</w:t>
            </w:r>
          </w:p>
        </w:tc>
      </w:tr>
      <w:tr>
        <w:trPr/>
        <w:tc>
          <w:tcPr>
            <w:tcW w:w="496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(State or other jurisdiction of incorporation or organization)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(I.R.S. Employer Identification No.)</w:t>
            </w:r>
          </w:p>
        </w:tc>
      </w:tr>
      <w:tr>
        <w:trPr/>
        <w:tc>
          <w:tcPr>
            <w:tcW w:w="4966" w:type="dxa"/>
            <w:tcBorders/>
            <w:shd w:fill="auto" w:val="clear"/>
            <w:vAlign w:val="center"/>
          </w:tcPr>
          <w:p>
            <w:pPr>
              <w:pStyle w:val="TableContents"/>
              <w:spacing w:lineRule="auto" w:line="252" w:before="0" w:after="0"/>
              <w:ind w:left="0" w:right="0" w:hanging="0"/>
              <w:jc w:val="center"/>
              <w:rPr/>
            </w:pPr>
            <w:r>
              <w:rPr/>
              <w:t> </w:t>
            </w:r>
          </w:p>
          <w:p>
            <w:pPr>
              <w:pStyle w:val="TableContents"/>
              <w:spacing w:lineRule="auto" w:line="252" w:before="0" w:after="0"/>
              <w:ind w:left="0" w:right="0" w:hanging="0"/>
              <w:jc w:val="center"/>
              <w:rPr>
                <w:rFonts w:ascii="Times New Roman" w:hAnsi="Times New Roman"/>
                <w:b/>
                <w:sz w:val="24"/>
              </w:rPr>
            </w:pPr>
            <w:r>
              <w:rPr>
                <w:rFonts w:ascii="Times New Roman" w:hAnsi="Times New Roman"/>
                <w:b/>
                <w:sz w:val="24"/>
              </w:rPr>
              <w:t>1691 Michigan Avenue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1" w:type="dxa"/>
            <w:tcBorders/>
            <w:shd w:fill="auto" w:val="clear"/>
            <w:vAlign w:val="center"/>
          </w:tcPr>
          <w:p>
            <w:pPr>
              <w:pStyle w:val="TableContents"/>
              <w:spacing w:lineRule="auto" w:line="252" w:before="0" w:after="0"/>
              <w:ind w:left="0" w:right="0" w:hanging="0"/>
              <w:jc w:val="center"/>
              <w:rPr/>
            </w:pPr>
            <w:r>
              <w:rPr/>
              <w:t> </w:t>
            </w:r>
          </w:p>
        </w:tc>
      </w:tr>
      <w:tr>
        <w:trPr/>
        <w:tc>
          <w:tcPr>
            <w:tcW w:w="4966" w:type="dxa"/>
            <w:tcBorders/>
            <w:shd w:fill="auto" w:val="clear"/>
            <w:vAlign w:val="center"/>
          </w:tcPr>
          <w:p>
            <w:pPr>
              <w:pStyle w:val="TableContents"/>
              <w:spacing w:lineRule="auto" w:line="252" w:before="0" w:after="0"/>
              <w:ind w:left="0" w:right="0" w:hanging="0"/>
              <w:jc w:val="center"/>
              <w:rPr>
                <w:rFonts w:ascii="Times New Roman" w:hAnsi="Times New Roman"/>
                <w:sz w:val="24"/>
              </w:rPr>
            </w:pPr>
            <w:r>
              <w:rPr>
                <w:rFonts w:ascii="Times New Roman" w:hAnsi="Times New Roman"/>
                <w:b/>
                <w:sz w:val="24"/>
              </w:rPr>
              <w:t>Miami Beach, Florida</w:t>
            </w:r>
            <w:r>
              <w:rPr>
                <w:rFonts w:ascii="Times New Roman" w:hAnsi="Times New Roman"/>
                <w:sz w:val="24"/>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1" w:type="dxa"/>
            <w:tcBorders/>
            <w:shd w:fill="auto" w:val="clear"/>
            <w:vAlign w:val="center"/>
          </w:tcPr>
          <w:p>
            <w:pPr>
              <w:pStyle w:val="TableContents"/>
              <w:spacing w:lineRule="auto" w:line="252" w:before="0" w:after="0"/>
              <w:ind w:left="0" w:right="0" w:hanging="0"/>
              <w:jc w:val="center"/>
              <w:rPr>
                <w:rFonts w:ascii="Times New Roman" w:hAnsi="Times New Roman"/>
                <w:b/>
                <w:sz w:val="24"/>
              </w:rPr>
            </w:pPr>
            <w:r>
              <w:rPr>
                <w:rFonts w:ascii="Times New Roman" w:hAnsi="Times New Roman"/>
                <w:b/>
                <w:sz w:val="24"/>
              </w:rPr>
              <w:t>33139</w:t>
            </w:r>
          </w:p>
        </w:tc>
      </w:tr>
      <w:tr>
        <w:trPr/>
        <w:tc>
          <w:tcPr>
            <w:tcW w:w="496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(Address of principal executive offices)</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(Zip Code)</w:t>
            </w:r>
          </w:p>
        </w:tc>
      </w:tr>
    </w:tbl>
    <w:p>
      <w:pPr>
        <w:pStyle w:val="TextBody"/>
        <w:spacing w:lineRule="auto" w:line="273" w:before="0" w:after="0"/>
        <w:jc w:val="left"/>
        <w:rPr>
          <w:rFonts w:ascii="Times New Roman" w:hAnsi="Times New Roman"/>
          <w:b w:val="false"/>
          <w:sz w:val="24"/>
        </w:rPr>
      </w:pPr>
      <w:r>
        <w:rPr>
          <w:rFonts w:ascii="Times New Roman" w:hAnsi="Times New Roman"/>
          <w:b w:val="false"/>
          <w:sz w:val="24"/>
        </w:rPr>
        <w:t>Securities to be registered pursuant to Section 12(b) of the Act:</w:t>
      </w:r>
    </w:p>
    <w:p>
      <w:pPr>
        <w:pStyle w:val="TextBody"/>
        <w:spacing w:lineRule="auto" w:line="273" w:before="0" w:after="0"/>
        <w:jc w:val="left"/>
        <w:rPr/>
      </w:pPr>
      <w:r>
        <w:rPr/>
        <w:t> </w:t>
      </w:r>
    </w:p>
    <w:tbl>
      <w:tblPr>
        <w:tblW w:w="8038" w:type="dxa"/>
        <w:jc w:val="left"/>
        <w:tblInd w:w="0" w:type="dxa"/>
        <w:tblCellMar>
          <w:top w:w="28" w:type="dxa"/>
          <w:left w:w="28" w:type="dxa"/>
          <w:bottom w:w="28" w:type="dxa"/>
          <w:right w:w="28" w:type="dxa"/>
        </w:tblCellMar>
      </w:tblPr>
      <w:tblGrid>
        <w:gridCol w:w="4516"/>
        <w:gridCol w:w="146"/>
        <w:gridCol w:w="3376"/>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6"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Title of each class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7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Name of each exchange on which</w:t>
            </w:r>
          </w:p>
        </w:tc>
      </w:tr>
      <w:tr>
        <w:trPr/>
        <w:tc>
          <w:tcPr>
            <w:tcW w:w="451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to be so registered</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3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each class is to be registered</w:t>
            </w:r>
          </w:p>
        </w:tc>
      </w:tr>
      <w:tr>
        <w:trPr/>
        <w:tc>
          <w:tcPr>
            <w:tcW w:w="4516" w:type="dxa"/>
            <w:tcBorders/>
            <w:shd w:fill="auto" w:val="clear"/>
            <w:vAlign w:val="center"/>
          </w:tcPr>
          <w:p>
            <w:pPr>
              <w:pStyle w:val="TableContents"/>
              <w:spacing w:lineRule="auto" w:line="252" w:before="0" w:after="0"/>
              <w:ind w:left="0" w:right="0" w:hanging="0"/>
              <w:jc w:val="center"/>
              <w:rPr>
                <w:rFonts w:ascii="Times New Roman" w:hAnsi="Times New Roman"/>
                <w:b/>
                <w:sz w:val="24"/>
              </w:rPr>
            </w:pPr>
            <w:r>
              <w:rPr>
                <w:rFonts w:ascii="Times New Roman" w:hAnsi="Times New Roman"/>
                <w:b/>
                <w:sz w:val="24"/>
              </w:rPr>
              <w:t>Common Stock, par value $0.001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76" w:type="dxa"/>
            <w:tcBorders/>
            <w:shd w:fill="auto" w:val="clear"/>
            <w:vAlign w:val="center"/>
          </w:tcPr>
          <w:p>
            <w:pPr>
              <w:pStyle w:val="TableContents"/>
              <w:spacing w:lineRule="auto" w:line="252" w:before="0" w:after="0"/>
              <w:ind w:left="0" w:right="0" w:hanging="0"/>
              <w:jc w:val="center"/>
              <w:rPr>
                <w:rFonts w:ascii="Times New Roman" w:hAnsi="Times New Roman"/>
                <w:b/>
                <w:sz w:val="24"/>
              </w:rPr>
            </w:pPr>
            <w:r>
              <w:rPr>
                <w:rFonts w:ascii="Times New Roman" w:hAnsi="Times New Roman"/>
                <w:b/>
                <w:sz w:val="24"/>
              </w:rPr>
              <w:t>The New York Stock Exchange</w:t>
            </w:r>
          </w:p>
        </w:tc>
      </w:tr>
      <w:tr>
        <w:trPr/>
        <w:tc>
          <w:tcPr>
            <w:tcW w:w="45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76" w:type="dxa"/>
            <w:tcBorders/>
            <w:shd w:fill="auto" w:val="clear"/>
            <w:vAlign w:val="center"/>
          </w:tcPr>
          <w:p>
            <w:pPr>
              <w:pStyle w:val="TableContents"/>
              <w:spacing w:lineRule="auto" w:line="252" w:before="0" w:after="0"/>
              <w:ind w:left="0" w:right="0" w:hanging="0"/>
              <w:jc w:val="center"/>
              <w:rPr/>
            </w:pPr>
            <w:r>
              <w:rPr/>
              <w:t> </w:t>
            </w:r>
          </w:p>
        </w:tc>
      </w:tr>
    </w:tbl>
    <w:p>
      <w:pPr>
        <w:pStyle w:val="TextBody"/>
        <w:spacing w:lineRule="auto" w:line="273" w:before="0" w:after="0"/>
        <w:jc w:val="left"/>
        <w:rPr>
          <w:rFonts w:ascii="Times New Roman" w:hAnsi="Times New Roman"/>
          <w:b w:val="false"/>
          <w:sz w:val="24"/>
        </w:rPr>
      </w:pPr>
      <w:r>
        <w:rPr>
          <w:rFonts w:ascii="Times New Roman" w:hAnsi="Times New Roman"/>
          <w:b w:val="false"/>
          <w:sz w:val="24"/>
        </w:rPr>
        <w:t>If this form relates to the registration of a class of securities pursuant to Section 12(b) of the Exchange Act and is effective pursuant to General Instruction A.(c) or (e), check the following box.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If this form relates to the registration of a class of securities pursuant to Section 12(g) of the Exchange Act and is effective pursuant to General Instruction A.(d) or (e), check the following box.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If this form relates to the registration of a class of securities concurrently with a Regulation A offering, check the following box.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Securities Act registration statement or Regulation A offering statement file number to which this form relates: Not applicable</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Securities to be registered pursuant to Section 12(g) of the Act: None</w:t>
      </w:r>
    </w:p>
    <w:p>
      <w:pPr>
        <w:pStyle w:val="TextBody"/>
        <w:spacing w:lineRule="auto" w:line="273" w:before="0" w:after="0"/>
        <w:jc w:val="left"/>
        <w:rPr/>
      </w:pPr>
      <w:r>
        <w:rPr/>
        <w:t> </w:t>
      </w:r>
    </w:p>
    <w:p>
      <w:pPr>
        <w:pStyle w:val="TextBody"/>
        <w:spacing w:lineRule="auto" w:line="273" w:before="200" w:after="0"/>
        <w:jc w:val="left"/>
        <w:rPr/>
      </w:pPr>
      <w:r>
        <w:rPr/>
        <w:t> </w:t>
      </w:r>
    </w:p>
    <w:p>
      <w:pPr>
        <w:pStyle w:val="HorizontalLine"/>
        <w:rPr/>
      </w:pPr>
      <w:r>
        <w:rPr/>
      </w:r>
    </w:p>
    <w:p>
      <w:pPr>
        <w:pStyle w:val="TextBody"/>
        <w:spacing w:lineRule="auto" w:line="273" w:before="0" w:after="0"/>
        <w:jc w:val="center"/>
        <w:rPr>
          <w:rFonts w:ascii="Times New Roman" w:hAnsi="Times New Roman"/>
          <w:b/>
          <w:sz w:val="22"/>
        </w:rPr>
      </w:pPr>
      <w:r>
        <w:rPr>
          <w:rFonts w:ascii="Times New Roman" w:hAnsi="Times New Roman"/>
          <w:b/>
          <w:sz w:val="22"/>
        </w:rPr>
        <w:t>EXPLANATORY NOTE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i/>
          <w:sz w:val="22"/>
        </w:rPr>
      </w:pPr>
      <w:r>
        <w:rPr>
          <w:rFonts w:ascii="Times New Roman" w:hAnsi="Times New Roman"/>
          <w:b w:val="false"/>
          <w:i/>
          <w:sz w:val="22"/>
        </w:rPr>
        <w:t>This Registration Statement on Form 8-A is being filed by PennantPark Investment Corporation, a Maryland corporation, with the Securities and Exchange Commission (the “Commission”) in connection with the registration of its common stock, par value $0.001 per share (the “Common Stock”), under Section 12(b) of the Securities Exchange Act of 1934 (the “Exchange Act”), and the transfer of the listing of the Common Stock from the Nasdaq Stock Market LLC to the New York Stock Exchange.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2"/>
        </w:rPr>
      </w:pPr>
      <w:r>
        <w:rPr>
          <w:rFonts w:ascii="Times New Roman" w:hAnsi="Times New Roman"/>
          <w:b/>
          <w:sz w:val="22"/>
        </w:rPr>
        <w:t>INFORMATION REQUIRED IN REGISTRATION STATEMENT</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22"/>
        </w:rPr>
      </w:pPr>
      <w:r>
        <w:rPr>
          <w:rFonts w:ascii="Times New Roman" w:hAnsi="Times New Roman"/>
          <w:b/>
          <w:sz w:val="22"/>
        </w:rPr>
        <w:t>Item 1. Description of Registrant’s Securities to be Registered.</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For a description of the securities registered hereunder, reference is made to the information set forth under the heading “Description of Securities” in Exhibit 4.7 to the registrant’s Annual Report on Form 10-K for the year ended September 30, 2019, filed with the Commission on November 21, 2019, which information is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2"/>
        </w:rPr>
      </w:pPr>
      <w:r>
        <w:rPr>
          <w:rFonts w:ascii="Times New Roman" w:hAnsi="Times New Roman"/>
          <w:b/>
          <w:sz w:val="22"/>
        </w:rPr>
        <w:t>Item 2. Exhibits.</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No exhibits are required to be filed because no other securities of the registrant are registered on the New York Stock Exchange and the securities registered hereby are not being registered pursuant to Section 12(g) of the Exchange Act.</w:t>
      </w:r>
    </w:p>
    <w:p>
      <w:pPr>
        <w:pStyle w:val="TextBody"/>
        <w:spacing w:lineRule="auto" w:line="273" w:before="200" w:after="0"/>
        <w:jc w:val="left"/>
        <w:rPr/>
      </w:pPr>
      <w:r>
        <w:rPr/>
        <w:t> </w:t>
      </w:r>
    </w:p>
    <w:p>
      <w:pPr>
        <w:pStyle w:val="HorizontalLine"/>
        <w:rPr/>
      </w:pPr>
      <w:r>
        <w:rPr/>
      </w:r>
    </w:p>
    <w:p>
      <w:pPr>
        <w:pStyle w:val="TextBody"/>
        <w:spacing w:lineRule="auto" w:line="273" w:before="0" w:after="0"/>
        <w:jc w:val="center"/>
        <w:rPr>
          <w:rFonts w:ascii="Times New Roman" w:hAnsi="Times New Roman"/>
          <w:b/>
          <w:sz w:val="22"/>
        </w:rPr>
      </w:pPr>
      <w:bookmarkStart w:id="2" w:name="z_hlk78367106"/>
      <w:bookmarkEnd w:id="2"/>
      <w:r>
        <w:rPr>
          <w:rFonts w:ascii="Times New Roman" w:hAnsi="Times New Roman"/>
          <w:b/>
          <w:sz w:val="22"/>
        </w:rPr>
        <w:t>SIGNATURE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Pursuant to the requirements of Section 12 of the Securities Exchange Act of 1934, the registrant has duly caused this registration statement to be signed on its behalf by the undersigned, thereto duly authorized.</w:t>
      </w:r>
    </w:p>
    <w:p>
      <w:pPr>
        <w:pStyle w:val="TextBody"/>
        <w:spacing w:lineRule="auto" w:line="273" w:before="0" w:after="0"/>
        <w:jc w:val="left"/>
        <w:rPr/>
      </w:pPr>
      <w:bookmarkStart w:id="3" w:name="pb_3_230820_7056"/>
      <w:bookmarkEnd w:id="3"/>
      <w:r>
        <w:rPr/>
        <w:t> </w:t>
      </w:r>
    </w:p>
    <w:tbl>
      <w:tblPr>
        <w:tblW w:w="7741" w:type="dxa"/>
        <w:jc w:val="left"/>
        <w:tblInd w:w="0" w:type="dxa"/>
        <w:tblCellMar>
          <w:top w:w="28" w:type="dxa"/>
          <w:left w:w="28" w:type="dxa"/>
          <w:bottom w:w="28" w:type="dxa"/>
          <w:right w:w="28" w:type="dxa"/>
        </w:tblCellMar>
      </w:tblPr>
      <w:tblGrid>
        <w:gridCol w:w="2176"/>
        <w:gridCol w:w="694"/>
        <w:gridCol w:w="4871"/>
      </w:tblGrid>
      <w:tr>
        <w:trPr/>
        <w:tc>
          <w:tcPr>
            <w:tcW w:w="217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4871" w:type="dxa"/>
            <w:tcBorders/>
            <w:shd w:fill="auto" w:val="clear"/>
            <w:vAlign w:val="center"/>
          </w:tcPr>
          <w:p>
            <w:pPr>
              <w:pStyle w:val="TableContents"/>
              <w:spacing w:before="0" w:after="283"/>
              <w:rPr>
                <w:sz w:val="4"/>
                <w:szCs w:val="4"/>
              </w:rPr>
            </w:pPr>
            <w:r>
              <w:rPr>
                <w:sz w:val="4"/>
                <w:szCs w:val="4"/>
              </w:rPr>
            </w:r>
          </w:p>
        </w:tc>
      </w:tr>
      <w:tr>
        <w:trPr/>
        <w:tc>
          <w:tcPr>
            <w:tcW w:w="2176" w:type="dxa"/>
            <w:tcBorders/>
            <w:shd w:fill="auto" w:val="clear"/>
            <w:vAlign w:val="center"/>
          </w:tcPr>
          <w:p>
            <w:pPr>
              <w:pStyle w:val="TableContents"/>
              <w:spacing w:lineRule="auto" w:line="252" w:before="0" w:after="0"/>
              <w:ind w:left="0" w:right="0" w:hanging="0"/>
              <w:jc w:val="left"/>
              <w:rPr/>
            </w:pPr>
            <w:r>
              <w:rPr/>
              <w:t> </w:t>
            </w:r>
          </w:p>
        </w:tc>
        <w:tc>
          <w:tcPr>
            <w:tcW w:w="5565" w:type="dxa"/>
            <w:gridSpan w:val="2"/>
            <w:tcBorders/>
            <w:shd w:fill="auto" w:val="clear"/>
            <w:vAlign w:val="center"/>
          </w:tcPr>
          <w:p>
            <w:pPr>
              <w:pStyle w:val="TableContents"/>
              <w:spacing w:lineRule="auto" w:line="252" w:before="0" w:after="0"/>
              <w:ind w:left="0" w:right="0" w:firstLine="1710"/>
              <w:jc w:val="left"/>
              <w:rPr>
                <w:rFonts w:ascii="Times New Roman" w:hAnsi="Times New Roman"/>
                <w:b/>
                <w:sz w:val="22"/>
              </w:rPr>
            </w:pPr>
            <w:r>
              <w:rPr>
                <w:rFonts w:ascii="Times New Roman" w:hAnsi="Times New Roman"/>
                <w:b/>
                <w:sz w:val="22"/>
              </w:rPr>
              <w:t>PennantPark Investment Corporation</w:t>
            </w:r>
          </w:p>
        </w:tc>
      </w:tr>
      <w:tr>
        <w:trPr/>
        <w:tc>
          <w:tcPr>
            <w:tcW w:w="217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left"/>
              <w:rPr/>
            </w:pPr>
            <w:r>
              <w:rPr/>
              <w:t> </w:t>
            </w:r>
          </w:p>
        </w:tc>
        <w:tc>
          <w:tcPr>
            <w:tcW w:w="4871" w:type="dxa"/>
            <w:tcBorders/>
            <w:shd w:fill="auto" w:val="clear"/>
            <w:vAlign w:val="center"/>
          </w:tcPr>
          <w:p>
            <w:pPr>
              <w:pStyle w:val="TableContents"/>
              <w:spacing w:lineRule="auto" w:line="252" w:before="0" w:after="0"/>
              <w:ind w:left="0" w:right="0" w:hanging="0"/>
              <w:jc w:val="left"/>
              <w:rPr/>
            </w:pPr>
            <w:r>
              <w:rPr/>
              <w:t> </w:t>
            </w:r>
          </w:p>
        </w:tc>
      </w:tr>
      <w:tr>
        <w:trPr/>
        <w:tc>
          <w:tcPr>
            <w:tcW w:w="217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left"/>
              <w:rPr/>
            </w:pPr>
            <w:r>
              <w:rPr/>
              <w:t> </w:t>
            </w:r>
          </w:p>
        </w:tc>
        <w:tc>
          <w:tcPr>
            <w:tcW w:w="4871" w:type="dxa"/>
            <w:tcBorders/>
            <w:shd w:fill="auto" w:val="clear"/>
            <w:vAlign w:val="center"/>
          </w:tcPr>
          <w:p>
            <w:pPr>
              <w:pStyle w:val="TableContents"/>
              <w:spacing w:lineRule="auto" w:line="252" w:before="0" w:after="0"/>
              <w:ind w:left="0" w:right="0" w:hanging="0"/>
              <w:jc w:val="left"/>
              <w:rPr/>
            </w:pPr>
            <w:r>
              <w:rPr/>
              <w:t> </w:t>
            </w:r>
          </w:p>
        </w:tc>
      </w:tr>
      <w:tr>
        <w:trPr/>
        <w:tc>
          <w:tcPr>
            <w:tcW w:w="2176" w:type="dxa"/>
            <w:tcBorders/>
            <w:shd w:fill="auto" w:val="clear"/>
            <w:vAlign w:val="center"/>
          </w:tcPr>
          <w:p>
            <w:pPr>
              <w:pStyle w:val="TableContents"/>
              <w:spacing w:lineRule="auto" w:line="252" w:before="0" w:after="0"/>
              <w:ind w:left="0" w:right="0" w:hanging="0"/>
              <w:jc w:val="left"/>
              <w:rPr>
                <w:rFonts w:ascii="Times New Roman" w:hAnsi="Times New Roman"/>
                <w:b w:val="false"/>
                <w:sz w:val="22"/>
              </w:rPr>
            </w:pPr>
            <w:r>
              <w:rPr>
                <w:rFonts w:ascii="Times New Roman" w:hAnsi="Times New Roman"/>
                <w:b w:val="false"/>
                <w:sz w:val="22"/>
              </w:rPr>
              <w:t>Date: March 31, 2022</w:t>
            </w:r>
          </w:p>
        </w:tc>
        <w:tc>
          <w:tcPr>
            <w:tcW w:w="694" w:type="dxa"/>
            <w:tcBorders/>
            <w:shd w:fill="auto" w:val="clear"/>
            <w:vAlign w:val="center"/>
          </w:tcPr>
          <w:p>
            <w:pPr>
              <w:pStyle w:val="TableContents"/>
              <w:spacing w:lineRule="auto" w:line="252" w:before="0" w:after="0"/>
              <w:ind w:left="0" w:right="0" w:hanging="0"/>
              <w:jc w:val="left"/>
              <w:rPr>
                <w:rFonts w:ascii="Times New Roman" w:hAnsi="Times New Roman"/>
                <w:sz w:val="22"/>
              </w:rPr>
            </w:pPr>
            <w:r>
              <w:rPr>
                <w:rFonts w:ascii="Times New Roman" w:hAnsi="Times New Roman"/>
                <w:b w:val="false"/>
                <w:sz w:val="22"/>
              </w:rPr>
              <w:t>By:</w:t>
            </w:r>
            <w:r>
              <w:rPr>
                <w:rFonts w:ascii="Times New Roman" w:hAnsi="Times New Roman"/>
                <w:sz w:val="22"/>
              </w:rPr>
              <w:t xml:space="preserve"> </w:t>
            </w:r>
          </w:p>
        </w:tc>
        <w:tc>
          <w:tcPr>
            <w:tcW w:w="4871" w:type="dxa"/>
            <w:tcBorders/>
            <w:shd w:fill="auto" w:val="clear"/>
            <w:vAlign w:val="center"/>
          </w:tcPr>
          <w:p>
            <w:pPr>
              <w:pStyle w:val="TableContents"/>
              <w:spacing w:lineRule="auto" w:line="252" w:before="0" w:after="0"/>
              <w:ind w:left="0" w:right="0" w:hanging="0"/>
              <w:jc w:val="left"/>
              <w:rPr>
                <w:rFonts w:ascii="Times New Roman" w:hAnsi="Times New Roman"/>
                <w:sz w:val="22"/>
              </w:rPr>
            </w:pPr>
            <w:r>
              <w:rPr>
                <w:rFonts w:ascii="Times New Roman" w:hAnsi="Times New Roman"/>
                <w:b w:val="false"/>
                <w:sz w:val="22"/>
                <w:u w:val="single"/>
              </w:rPr>
              <w:t>/s/ Richard Cheung</w:t>
            </w:r>
            <w:r>
              <w:rPr>
                <w:rFonts w:ascii="Times New Roman" w:hAnsi="Times New Roman"/>
                <w:sz w:val="22"/>
              </w:rPr>
              <w:t xml:space="preserve"> </w:t>
            </w:r>
          </w:p>
        </w:tc>
      </w:tr>
      <w:tr>
        <w:trPr/>
        <w:tc>
          <w:tcPr>
            <w:tcW w:w="217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left"/>
              <w:rPr/>
            </w:pPr>
            <w:r>
              <w:rPr/>
              <w:t> </w:t>
            </w:r>
          </w:p>
        </w:tc>
        <w:tc>
          <w:tcPr>
            <w:tcW w:w="4871" w:type="dxa"/>
            <w:tcBorders/>
            <w:shd w:fill="auto" w:val="clear"/>
            <w:vAlign w:val="center"/>
          </w:tcPr>
          <w:p>
            <w:pPr>
              <w:pStyle w:val="TableContents"/>
              <w:spacing w:lineRule="auto" w:line="252" w:before="0" w:after="0"/>
              <w:ind w:left="0" w:right="0" w:hanging="0"/>
              <w:jc w:val="left"/>
              <w:rPr>
                <w:rFonts w:ascii="Times New Roman" w:hAnsi="Times New Roman"/>
                <w:b w:val="false"/>
                <w:sz w:val="22"/>
              </w:rPr>
            </w:pPr>
            <w:r>
              <w:rPr>
                <w:rFonts w:ascii="Times New Roman" w:hAnsi="Times New Roman"/>
                <w:b w:val="false"/>
                <w:sz w:val="22"/>
              </w:rPr>
              <w:t>Richard Cheung</w:t>
            </w:r>
          </w:p>
        </w:tc>
      </w:tr>
      <w:tr>
        <w:trPr/>
        <w:tc>
          <w:tcPr>
            <w:tcW w:w="2176" w:type="dxa"/>
            <w:tcBorders/>
            <w:shd w:fill="auto" w:val="clear"/>
            <w:vAlign w:val="center"/>
          </w:tcPr>
          <w:p>
            <w:pPr>
              <w:pStyle w:val="TableContents"/>
              <w:spacing w:lineRule="auto" w:line="252" w:before="0" w:after="0"/>
              <w:ind w:left="0" w:right="0" w:hanging="0"/>
              <w:jc w:val="left"/>
              <w:rPr/>
            </w:pPr>
            <w:r>
              <w:rPr/>
              <w:t> </w:t>
            </w:r>
          </w:p>
        </w:tc>
        <w:tc>
          <w:tcPr>
            <w:tcW w:w="694" w:type="dxa"/>
            <w:tcBorders/>
            <w:shd w:fill="auto" w:val="clear"/>
            <w:vAlign w:val="center"/>
          </w:tcPr>
          <w:p>
            <w:pPr>
              <w:pStyle w:val="TableContents"/>
              <w:spacing w:lineRule="auto" w:line="252" w:before="0" w:after="0"/>
              <w:ind w:left="0" w:right="0" w:hanging="0"/>
              <w:jc w:val="left"/>
              <w:rPr/>
            </w:pPr>
            <w:r>
              <w:rPr/>
              <w:t> </w:t>
            </w:r>
          </w:p>
        </w:tc>
        <w:tc>
          <w:tcPr>
            <w:tcW w:w="4871" w:type="dxa"/>
            <w:tcBorders/>
            <w:shd w:fill="auto" w:val="clear"/>
            <w:vAlign w:val="center"/>
          </w:tcPr>
          <w:p>
            <w:pPr>
              <w:pStyle w:val="TableContents"/>
              <w:spacing w:lineRule="auto" w:line="252" w:before="0" w:after="0"/>
              <w:ind w:left="0" w:right="0" w:hanging="0"/>
              <w:jc w:val="left"/>
              <w:rPr>
                <w:rFonts w:ascii="Times New Roman" w:hAnsi="Times New Roman"/>
                <w:b w:val="false"/>
                <w:sz w:val="22"/>
              </w:rPr>
            </w:pPr>
            <w:r>
              <w:rPr>
                <w:rFonts w:ascii="Times New Roman" w:hAnsi="Times New Roman"/>
                <w:b w:val="false"/>
                <w:sz w:val="22"/>
              </w:rPr>
              <w:t>Chief Financial Officer &amp; Treasurer</w:t>
            </w:r>
          </w:p>
        </w:tc>
      </w:tr>
    </w:tbl>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479</Words>
  <CharactersWithSpaces>3070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