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March 21, 2017.</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Act Registration No. 333-</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58420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84455</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right"/>
        <w:ind w:right="4000"/>
        <w:spacing w:after="0" w:line="207" w:lineRule="exact"/>
        <w:tabs>
          <w:tab w:leader="none" w:pos="414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jc w:val="right"/>
        <w:ind w:right="4000"/>
        <w:spacing w:after="0" w:line="207" w:lineRule="exact"/>
        <w:tabs>
          <w:tab w:leader="none" w:pos="414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0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Thomas Friedmann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ind w:firstLine="571"/>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80" w:hanging="201"/>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400" w:type="dxa"/>
            <w:vAlign w:val="bottom"/>
            <w:tcBorders>
              <w:top w:val="single" w:sz="8" w:color="auto"/>
              <w:left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ind w:right="437"/>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r>
      <w:tr>
        <w:trPr>
          <w:trHeight w:val="148"/>
        </w:trPr>
        <w:tc>
          <w:tcPr>
            <w:tcW w:w="440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jc w:val="right"/>
              <w:ind w:right="72"/>
              <w:spacing w:after="0" w:line="148" w:lineRule="exact"/>
              <w:rPr>
                <w:sz w:val="20"/>
                <w:szCs w:val="20"/>
                <w:color w:val="auto"/>
              </w:rPr>
            </w:pPr>
            <w:r>
              <w:rPr>
                <w:rFonts w:ascii="Arial" w:cs="Arial" w:eastAsia="Arial" w:hAnsi="Arial"/>
                <w:sz w:val="14"/>
                <w:szCs w:val="14"/>
                <w:b w:val="1"/>
                <w:bCs w:val="1"/>
                <w:color w:val="auto"/>
                <w:w w:val="98"/>
              </w:rPr>
              <w:t>Amount Being</w:t>
            </w:r>
          </w:p>
        </w:tc>
        <w:tc>
          <w:tcPr>
            <w:tcW w:w="14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140" w:type="dxa"/>
            <w:vAlign w:val="bottom"/>
          </w:tcPr>
          <w:p>
            <w:pPr>
              <w:spacing w:after="0"/>
              <w:rPr>
                <w:sz w:val="12"/>
                <w:szCs w:val="12"/>
                <w:color w:val="auto"/>
              </w:rPr>
            </w:pPr>
          </w:p>
        </w:tc>
        <w:tc>
          <w:tcPr>
            <w:tcW w:w="1680" w:type="dxa"/>
            <w:vAlign w:val="bottom"/>
            <w:tcBorders>
              <w:right w:val="single" w:sz="8" w:color="auto"/>
            </w:tcBorders>
          </w:tcPr>
          <w:p>
            <w:pPr>
              <w:jc w:val="center"/>
              <w:ind w:right="437"/>
              <w:spacing w:after="0" w:line="148" w:lineRule="exact"/>
              <w:rPr>
                <w:sz w:val="20"/>
                <w:szCs w:val="20"/>
                <w:color w:val="auto"/>
              </w:rPr>
            </w:pPr>
            <w:r>
              <w:rPr>
                <w:rFonts w:ascii="Arial" w:cs="Arial" w:eastAsia="Arial" w:hAnsi="Arial"/>
                <w:sz w:val="14"/>
                <w:szCs w:val="14"/>
                <w:b w:val="1"/>
                <w:bCs w:val="1"/>
                <w:color w:val="auto"/>
                <w:w w:val="83"/>
              </w:rPr>
              <w:t>Aggregate</w:t>
            </w:r>
          </w:p>
        </w:tc>
        <w:tc>
          <w:tcPr>
            <w:tcW w:w="140" w:type="dxa"/>
            <w:vAlign w:val="bottom"/>
          </w:tcPr>
          <w:p>
            <w:pPr>
              <w:spacing w:after="0"/>
              <w:rPr>
                <w:sz w:val="12"/>
                <w:szCs w:val="12"/>
                <w:color w:val="auto"/>
              </w:rPr>
            </w:pPr>
          </w:p>
        </w:tc>
        <w:tc>
          <w:tcPr>
            <w:tcW w:w="1620" w:type="dxa"/>
            <w:vAlign w:val="bottom"/>
            <w:tcBorders>
              <w:right w:val="single" w:sz="8" w:color="auto"/>
            </w:tcBorders>
          </w:tcPr>
          <w:p>
            <w:pPr>
              <w:jc w:val="center"/>
              <w:ind w:right="49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440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Title of Securities Being Registered</w:t>
            </w:r>
          </w:p>
        </w:tc>
        <w:tc>
          <w:tcPr>
            <w:tcW w:w="1100" w:type="dxa"/>
            <w:vAlign w:val="bottom"/>
            <w:tcBorders>
              <w:bottom w:val="single" w:sz="8" w:color="auto"/>
              <w:right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Registered</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center"/>
              <w:ind w:right="41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47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100" w:type="dxa"/>
            <w:vAlign w:val="bottom"/>
            <w:tcBorders>
              <w:bottom w:val="single" w:sz="8" w:color="auto"/>
              <w:right w:val="single" w:sz="8" w:color="auto"/>
            </w:tcBorders>
          </w:tcPr>
          <w:p>
            <w:pPr>
              <w:jc w:val="right"/>
              <w:ind w:right="852"/>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right w:val="single" w:sz="8" w:color="auto"/>
            </w:tcBorders>
          </w:tcPr>
          <w:p>
            <w:pPr>
              <w:jc w:val="right"/>
              <w:ind w:right="12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Preferred Stock, $0.001 par value</w:t>
            </w:r>
            <w:r>
              <w:rPr>
                <w:rFonts w:ascii="Arial" w:cs="Arial" w:eastAsia="Arial" w:hAnsi="Arial"/>
                <w:sz w:val="22"/>
                <w:szCs w:val="22"/>
                <w:color w:val="auto"/>
                <w:vertAlign w:val="superscript"/>
              </w:rPr>
              <w:t>(2)</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Warrants</w:t>
            </w:r>
            <w:r>
              <w:rPr>
                <w:rFonts w:ascii="Arial" w:cs="Arial" w:eastAsia="Arial" w:hAnsi="Arial"/>
                <w:sz w:val="22"/>
                <w:szCs w:val="22"/>
                <w:color w:val="auto"/>
                <w:vertAlign w:val="superscript"/>
              </w:rPr>
              <w:t>(2)</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Subscription Rights</w:t>
            </w:r>
            <w:r>
              <w:rPr>
                <w:rFonts w:ascii="Arial" w:cs="Arial" w:eastAsia="Arial" w:hAnsi="Arial"/>
                <w:sz w:val="22"/>
                <w:szCs w:val="22"/>
                <w:color w:val="auto"/>
                <w:vertAlign w:val="superscript"/>
              </w:rPr>
              <w:t>(3)</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Debt Securities</w:t>
            </w:r>
            <w:r>
              <w:rPr>
                <w:rFonts w:ascii="Arial" w:cs="Arial" w:eastAsia="Arial" w:hAnsi="Arial"/>
                <w:sz w:val="22"/>
                <w:szCs w:val="22"/>
                <w:color w:val="auto"/>
                <w:vertAlign w:val="superscript"/>
              </w:rPr>
              <w:t>(4)</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(5)</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142"/>
        </w:trPr>
        <w:tc>
          <w:tcPr>
            <w:tcW w:w="44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right w:val="single" w:sz="8" w:color="auto"/>
            </w:tcBorders>
          </w:tcPr>
          <w:p>
            <w:pPr>
              <w:jc w:val="right"/>
              <w:ind w:right="852"/>
              <w:spacing w:after="0" w:line="142"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right w:val="single" w:sz="8" w:color="auto"/>
            </w:tcBorders>
          </w:tcPr>
          <w:p>
            <w:pPr>
              <w:jc w:val="right"/>
              <w:ind w:right="123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jc w:val="right"/>
              <w:ind w:right="237"/>
              <w:spacing w:after="0" w:line="142" w:lineRule="exact"/>
              <w:rPr>
                <w:sz w:val="20"/>
                <w:szCs w:val="20"/>
                <w:color w:val="auto"/>
              </w:rPr>
            </w:pPr>
            <w:r>
              <w:rPr>
                <w:rFonts w:ascii="Arial" w:cs="Arial" w:eastAsia="Arial" w:hAnsi="Arial"/>
                <w:sz w:val="11"/>
                <w:szCs w:val="11"/>
                <w:color w:val="auto"/>
              </w:rPr>
              <w:t>750,000,000</w:t>
            </w:r>
            <w:r>
              <w:rPr>
                <w:rFonts w:ascii="Arial" w:cs="Arial" w:eastAsia="Arial" w:hAnsi="Arial"/>
                <w:sz w:val="16"/>
                <w:szCs w:val="16"/>
                <w:color w:val="auto"/>
                <w:vertAlign w:val="superscript"/>
              </w:rPr>
              <w:t>(6)</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right"/>
              <w:ind w:right="279"/>
              <w:spacing w:after="0" w:line="142" w:lineRule="exact"/>
              <w:rPr>
                <w:sz w:val="20"/>
                <w:szCs w:val="20"/>
                <w:color w:val="auto"/>
              </w:rPr>
            </w:pPr>
            <w:r>
              <w:rPr>
                <w:rFonts w:ascii="Arial" w:cs="Arial" w:eastAsia="Arial" w:hAnsi="Arial"/>
                <w:sz w:val="11"/>
                <w:szCs w:val="11"/>
                <w:color w:val="auto"/>
              </w:rPr>
              <w:t>86,925</w:t>
            </w:r>
            <w:r>
              <w:rPr>
                <w:rFonts w:ascii="Arial" w:cs="Arial" w:eastAsia="Arial" w:hAnsi="Arial"/>
                <w:sz w:val="16"/>
                <w:szCs w:val="16"/>
                <w:color w:val="auto"/>
                <w:vertAlign w:val="superscript"/>
              </w:rPr>
              <w:t>(7)</w:t>
            </w:r>
          </w:p>
        </w:tc>
      </w:tr>
    </w:tbl>
    <w:p>
      <w:pPr>
        <w:spacing w:after="0" w:line="70"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2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12" w:lineRule="exact"/>
        <w:rPr>
          <w:rFonts w:ascii="Arial" w:cs="Arial" w:eastAsia="Arial" w:hAnsi="Arial"/>
          <w:sz w:val="12"/>
          <w:szCs w:val="12"/>
          <w:color w:val="auto"/>
        </w:rPr>
      </w:pPr>
    </w:p>
    <w:p>
      <w:pPr>
        <w:ind w:left="680" w:right="10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$750,000,000.</w:t>
      </w:r>
    </w:p>
    <w:p>
      <w:pPr>
        <w:spacing w:after="0" w:line="68" w:lineRule="exact"/>
        <w:rPr>
          <w:rFonts w:ascii="Arial" w:cs="Arial" w:eastAsia="Arial" w:hAnsi="Arial"/>
          <w:sz w:val="14"/>
          <w:szCs w:val="14"/>
          <w:color w:val="auto"/>
        </w:rPr>
      </w:pPr>
    </w:p>
    <w:p>
      <w:pPr>
        <w:ind w:left="680" w:right="200" w:hanging="334"/>
        <w:spacing w:after="0" w:line="273"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Calculated pursuant to Rule 457(o) under the Securities Act of 1933, as amended. Pursuant to Rule 415(a)(6) under the Securities Act of 1933, as amended, this registration statement includes $651,145,000 of unsold securities of the registrant that have been previously registered on the Registration Statement on Form N-2 (File No. 333-192782) originally filed by the registrant on December 11, 2013 and most recently declared effective on January 15, 2015 (the “prior registration statement”). A filing fee of $83,867 was paid in connection with such unsold securities and is being offset against the total registration fee pursuant to Rule 457(p), resulting in a payment of $3,058 in connection with the filing of this Registration Statement. Pursuant to Rule 415(a)(6), the offering of the unsold securities registered under the prior registration statement will be deemed terminated as of the effective date of this Registration Statement.</w:t>
      </w:r>
    </w:p>
    <w:p>
      <w:pPr>
        <w:spacing w:after="0" w:line="37" w:lineRule="exact"/>
        <w:rPr>
          <w:sz w:val="20"/>
          <w:szCs w:val="20"/>
          <w:color w:val="auto"/>
        </w:rPr>
      </w:pPr>
    </w:p>
    <w:p>
      <w:pPr>
        <w:ind w:right="3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62865</wp:posOffset>
            </wp:positionV>
            <wp:extent cx="176657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right="580" w:firstLine="57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senior secured debt, mezzanine debt and equity investments. We can offer no assurances that we will achieve our investment objectives.</w:t>
      </w:r>
    </w:p>
    <w:p>
      <w:pPr>
        <w:spacing w:after="0" w:line="59"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49 of this prospectus for more information.</w:t>
      </w:r>
    </w:p>
    <w:p>
      <w:pPr>
        <w:spacing w:after="0" w:line="4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March 17, 2017 was $8.07 per share, and our net asset value on December 31, 2016 was $9.11 per share. Our 6.25% senior notes due 2025, or the 2025 Notes, have been approved for quotation on the New York Stock Exchange, or NYSE, under the symbol “PNTA.” The last reported closing price of the 2025 Notes on March 17, 2017 was $25.28 per $25 of par.</w:t>
      </w:r>
    </w:p>
    <w:p>
      <w:pPr>
        <w:spacing w:after="0" w:line="62"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0"/>
          <w:szCs w:val="20"/>
          <w:color w:val="auto"/>
        </w:rPr>
      </w:pPr>
    </w:p>
    <w:p>
      <w:pPr>
        <w:ind w:right="60" w:firstLine="571"/>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100" w:firstLine="57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60" w:type="dxa"/>
            <w:vAlign w:val="bottom"/>
            <w:gridSpan w:val="3"/>
          </w:tcPr>
          <w:p>
            <w:pPr>
              <w:jc w:val="center"/>
              <w:ind w:right="414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820" w:type="dxa"/>
            <w:vAlign w:val="bottom"/>
            <w:gridSpan w:val="3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80" w:type="dxa"/>
            <w:vAlign w:val="bottom"/>
            <w:gridSpan w:val="2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860" w:type="dxa"/>
            <w:vAlign w:val="bottom"/>
            <w:tcBorders>
              <w:top w:val="single" w:sz="8" w:color="0000EE"/>
            </w:tcBorders>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960" w:type="dxa"/>
            <w:vAlign w:val="bottom"/>
            <w:gridSpan w:val="1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SELECTED FINANCIAL DATA</w:t>
              </w:r>
            </w:hyperlink>
          </w:p>
        </w:tc>
        <w:tc>
          <w:tcPr>
            <w:tcW w:w="844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8700" w:type="dxa"/>
            <w:vAlign w:val="bottom"/>
            <w:tcBorders>
              <w:top w:val="single" w:sz="8" w:color="0000EE"/>
            </w:tcBorders>
            <w:gridSpan w:val="3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SENIOR SECURITIES</w:t>
              </w:r>
            </w:hyperlink>
          </w:p>
        </w:tc>
        <w:tc>
          <w:tcPr>
            <w:tcW w:w="2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29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PRICE RANGE OF COMMON STOCK</w:t>
              </w:r>
            </w:hyperlink>
          </w:p>
        </w:tc>
        <w:tc>
          <w:tcPr>
            <w:tcW w:w="520" w:type="dxa"/>
            <w:vAlign w:val="bottom"/>
            <w:tcBorders>
              <w:top w:val="single" w:sz="8" w:color="0000EE"/>
            </w:tcBorders>
            <w:gridSpan w:val="4"/>
          </w:tcPr>
          <w:p>
            <w:pPr>
              <w:spacing w:after="0"/>
              <w:rPr>
                <w:sz w:val="22"/>
                <w:szCs w:val="22"/>
                <w:color w:val="auto"/>
              </w:rPr>
            </w:pPr>
          </w:p>
        </w:tc>
        <w:tc>
          <w:tcPr>
            <w:tcW w:w="7400" w:type="dxa"/>
            <w:vAlign w:val="bottom"/>
            <w:gridSpan w:val="1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454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SALES OF COMMON STOCK BELOW NET ASSET VALUE</w:t>
              </w:r>
            </w:hyperlink>
          </w:p>
        </w:tc>
        <w:tc>
          <w:tcPr>
            <w:tcW w:w="628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DISTRIBUTIONS</w:t>
              </w:r>
            </w:hyperlink>
          </w:p>
        </w:tc>
        <w:tc>
          <w:tcPr>
            <w:tcW w:w="9480" w:type="dxa"/>
            <w:vAlign w:val="bottom"/>
            <w:gridSpan w:val="2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BUSINESS</w:t>
              </w:r>
            </w:hyperlink>
          </w:p>
        </w:tc>
        <w:tc>
          <w:tcPr>
            <w:tcW w:w="9980" w:type="dxa"/>
            <w:vAlign w:val="bottom"/>
            <w:gridSpan w:val="3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3440" w:type="dxa"/>
            <w:vAlign w:val="bottom"/>
            <w:tcBorders>
              <w:top w:val="single" w:sz="8" w:color="0000EE"/>
            </w:tcBorders>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PORTFOLIO COMPANIES</w:t>
              </w:r>
            </w:hyperlink>
          </w:p>
        </w:tc>
        <w:tc>
          <w:tcPr>
            <w:tcW w:w="738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4"/>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820" w:type="dxa"/>
            <w:vAlign w:val="bottom"/>
            <w:gridSpan w:val="2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64"/>
        </w:trPr>
        <w:tc>
          <w:tcPr>
            <w:tcW w:w="444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CONTROL PERSONS AND PRINCIPAL STOCKHOLDERS</w:t>
              </w:r>
            </w:hyperlink>
          </w:p>
        </w:tc>
        <w:tc>
          <w:tcPr>
            <w:tcW w:w="638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33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22"/>
                <w:szCs w:val="22"/>
                <w:color w:val="auto"/>
              </w:rPr>
            </w:pPr>
          </w:p>
        </w:tc>
        <w:tc>
          <w:tcPr>
            <w:tcW w:w="690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64"/>
        </w:trPr>
        <w:tc>
          <w:tcPr>
            <w:tcW w:w="27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DIVIDEND REINVESTMENT PLAN</w:t>
              </w:r>
            </w:hyperlink>
          </w:p>
        </w:tc>
        <w:tc>
          <w:tcPr>
            <w:tcW w:w="806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32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DESCRIPTION OF OUR CAPITAL STOCK</w:t>
              </w:r>
            </w:hyperlink>
          </w:p>
        </w:tc>
        <w:tc>
          <w:tcPr>
            <w:tcW w:w="760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3480" w:type="dxa"/>
            <w:vAlign w:val="bottom"/>
            <w:tcBorders>
              <w:top w:val="single" w:sz="8" w:color="0000EE"/>
            </w:tcBorders>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DESCRIPTION OF OUR WARRANTS</w:t>
              </w:r>
            </w:hyperlink>
          </w:p>
        </w:tc>
        <w:tc>
          <w:tcPr>
            <w:tcW w:w="734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64"/>
        </w:trPr>
        <w:tc>
          <w:tcPr>
            <w:tcW w:w="33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4"/>
          </w:tcPr>
          <w:p>
            <w:pPr>
              <w:spacing w:after="0"/>
              <w:rPr>
                <w:sz w:val="22"/>
                <w:szCs w:val="22"/>
                <w:color w:val="auto"/>
              </w:rPr>
            </w:pPr>
          </w:p>
        </w:tc>
        <w:tc>
          <w:tcPr>
            <w:tcW w:w="702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64"/>
        </w:trPr>
        <w:tc>
          <w:tcPr>
            <w:tcW w:w="24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DESCRIPTION OF OUR UNITS</w:t>
              </w:r>
            </w:hyperlink>
          </w:p>
        </w:tc>
        <w:tc>
          <w:tcPr>
            <w:tcW w:w="842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4"/>
        </w:trPr>
        <w:tc>
          <w:tcPr>
            <w:tcW w:w="11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REGULATION</w:t>
              </w:r>
            </w:hyperlink>
          </w:p>
        </w:tc>
        <w:tc>
          <w:tcPr>
            <w:tcW w:w="9700" w:type="dxa"/>
            <w:vAlign w:val="bottom"/>
            <w:gridSpan w:val="3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438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19">
              <w:r>
                <w:rPr>
                  <w:rFonts w:ascii="Arial" w:cs="Arial" w:eastAsia="Arial" w:hAnsi="Arial"/>
                  <w:sz w:val="18"/>
                  <w:szCs w:val="18"/>
                  <w:color w:val="0000EE"/>
                  <w:w w:val="93"/>
                </w:rPr>
                <w:t>BROKERAGE ALLOCATIONS AND OTHER PRACTICES</w:t>
              </w:r>
            </w:hyperlink>
          </w:p>
        </w:tc>
        <w:tc>
          <w:tcPr>
            <w:tcW w:w="644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476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120">
              <w:r>
                <w:rPr>
                  <w:rFonts w:ascii="Arial" w:cs="Arial" w:eastAsia="Arial" w:hAnsi="Arial"/>
                  <w:sz w:val="18"/>
                  <w:szCs w:val="18"/>
                  <w:color w:val="0000EE"/>
                  <w:w w:val="94"/>
                </w:rPr>
                <w:t>MATERIAL U.S. FEDERAL INCOME TAX CONSIDERATIONS</w:t>
              </w:r>
            </w:hyperlink>
          </w:p>
        </w:tc>
        <w:tc>
          <w:tcPr>
            <w:tcW w:w="606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2"/>
          </w:tcPr>
          <w:p>
            <w:pPr>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SUB-ADMINISTRATOR, CUSTODIAN, TRANSFER AGENT AND TRUSTEE</w:t>
              </w:r>
            </w:hyperlink>
          </w:p>
        </w:tc>
        <w:tc>
          <w:tcPr>
            <w:tcW w:w="502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2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4680" w:type="dxa"/>
            <w:vAlign w:val="bottom"/>
            <w:tcBorders>
              <w:top w:val="single" w:sz="8" w:color="0000EE"/>
            </w:tcBorders>
            <w:gridSpan w:val="3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INDEX TO CONSOLIDATED FINANCIAL STATEMENTS</w:t>
              </w:r>
            </w:hyperlink>
          </w:p>
        </w:tc>
        <w:tc>
          <w:tcPr>
            <w:tcW w:w="614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jc w:val="center"/>
              <w:ind w:right="416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233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7233285"/>
                    </a:xfrm>
                    <a:prstGeom prst="rect">
                      <a:avLst/>
                    </a:prstGeom>
                    <a:noFill/>
                  </pic:spPr>
                </pic:pic>
              </a:graphicData>
            </a:graphic>
          </wp:anchor>
        </w:drawing>
      </w: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123" w:lineRule="exact"/>
        <w:rPr>
          <w:sz w:val="20"/>
          <w:szCs w:val="20"/>
          <w:color w:val="auto"/>
        </w:rPr>
      </w:pPr>
    </w:p>
    <w:p>
      <w:pPr>
        <w:ind w:left="320" w:right="20" w:firstLine="540"/>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as amended and restated; “2025 Notes” refers to our 6.25% senior notes due 2025; “2019 Notes” refers to our 4.50% notes due 2019; “our Notes” refers, collectively, to our 2025 Notes and our 2019 Notes;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3" w:lineRule="exact"/>
        <w:rPr>
          <w:sz w:val="20"/>
          <w:szCs w:val="20"/>
          <w:color w:val="auto"/>
        </w:rPr>
      </w:pPr>
    </w:p>
    <w:p>
      <w:pPr>
        <w:jc w:val="both"/>
        <w:ind w:left="320" w:right="300" w:firstLine="540"/>
        <w:spacing w:after="0" w:line="259"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86" w:lineRule="exact"/>
        <w:rPr>
          <w:sz w:val="20"/>
          <w:szCs w:val="20"/>
          <w:color w:val="auto"/>
        </w:rPr>
      </w:pPr>
    </w:p>
    <w:p>
      <w:pPr>
        <w:ind w:left="320" w:right="20" w:firstLine="540"/>
        <w:spacing w:after="0" w:line="287"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 regions.</w:t>
      </w:r>
    </w:p>
    <w:p>
      <w:pPr>
        <w:spacing w:after="0" w:line="69" w:lineRule="exact"/>
        <w:rPr>
          <w:sz w:val="20"/>
          <w:szCs w:val="20"/>
          <w:color w:val="auto"/>
        </w:rPr>
      </w:pPr>
    </w:p>
    <w:p>
      <w:pPr>
        <w:ind w:left="320" w:firstLine="540"/>
        <w:spacing w:after="0" w:line="294"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 For a description of our Credit Facility, please see “Management’s Discussion and Analysis of Financial Condition and Results of Operations — Liquidity and Capital Resources.”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left="320" w:right="280" w:firstLine="540"/>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20" w:right="20" w:firstLine="540"/>
        <w:spacing w:after="0" w:line="255"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00" w:lineRule="exact"/>
        <w:rPr>
          <w:sz w:val="20"/>
          <w:szCs w:val="20"/>
          <w:color w:val="auto"/>
        </w:rPr>
      </w:pPr>
    </w:p>
    <w:p>
      <w:pPr>
        <w:spacing w:after="0" w:line="3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24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3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7360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4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$3.0 billion in debt and equity capital and has invested $6.0 billion in 430 companies with over 170 different financial sponsors through its managed funds.</w:t>
      </w:r>
    </w:p>
    <w:p>
      <w:pPr>
        <w:spacing w:after="0" w:line="120" w:lineRule="exact"/>
        <w:rPr>
          <w:sz w:val="20"/>
          <w:szCs w:val="20"/>
          <w:color w:val="auto"/>
        </w:rPr>
      </w:pPr>
    </w:p>
    <w:p>
      <w:pPr>
        <w:ind w:left="200" w:right="10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We believe that, as a result of the difficulties in the credit markets and fewer sources of capital for middle 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180" w:firstLine="553"/>
        <w:spacing w:after="0" w:line="255"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1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52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952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and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firstLine="55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firstLine="553"/>
        <w:spacing w:after="0" w:line="254"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 Administration Agreements” for more information.</w:t>
      </w:r>
    </w:p>
    <w:p>
      <w:pPr>
        <w:spacing w:after="0" w:line="144" w:lineRule="exact"/>
        <w:rPr>
          <w:sz w:val="20"/>
          <w:szCs w:val="20"/>
          <w:color w:val="auto"/>
        </w:rPr>
      </w:pPr>
    </w:p>
    <w:p>
      <w:pPr>
        <w:ind w:left="200" w:right="30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ind w:left="200" w:right="160" w:firstLine="553"/>
        <w:spacing w:after="0" w:line="259"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40" w:firstLine="553"/>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74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374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200" w:right="60" w:firstLine="553"/>
        <w:spacing w:after="0" w:line="332" w:lineRule="auto"/>
        <w:rPr>
          <w:sz w:val="20"/>
          <w:szCs w:val="20"/>
          <w:color w:val="auto"/>
        </w:rPr>
      </w:pPr>
      <w:r>
        <w:rPr>
          <w:rFonts w:ascii="Arial" w:cs="Arial" w:eastAsia="Arial" w:hAnsi="Arial"/>
          <w:sz w:val="16"/>
          <w:szCs w:val="16"/>
          <w:color w:val="auto"/>
        </w:rPr>
        <w:t>For the three months ended December 31, 2016 and the years ended September 30, 2016, 2015, 2014, 2013 and 2012, our ratios of earnings to fixed charges were 3.6x, 0.7x, (0.4)x, 5.5x, 6.0x and 5.4x, respectively. See “Ratio of Earnings to Fixed Charges” for more information.</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firstLine="553"/>
        <w:spacing w:after="0" w:line="268"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8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4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86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486150"/>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320" w:right="100" w:firstLine="540"/>
        <w:spacing w:after="0" w:line="268"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51" w:lineRule="exact"/>
        <w:rPr>
          <w:sz w:val="20"/>
          <w:szCs w:val="20"/>
          <w:color w:val="auto"/>
        </w:rPr>
      </w:pPr>
    </w:p>
    <w:p>
      <w:pPr>
        <w:ind w:left="320" w:firstLine="540"/>
        <w:spacing w:after="0" w:line="312" w:lineRule="auto"/>
        <w:rPr>
          <w:sz w:val="20"/>
          <w:szCs w:val="20"/>
          <w:color w:val="auto"/>
        </w:rPr>
      </w:pPr>
      <w:r>
        <w:rPr>
          <w:rFonts w:ascii="Arial" w:cs="Arial" w:eastAsia="Arial" w:hAnsi="Arial"/>
          <w:sz w:val="15"/>
          <w:szCs w:val="15"/>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24" w:lineRule="exact"/>
        <w:rPr>
          <w:sz w:val="20"/>
          <w:szCs w:val="20"/>
          <w:color w:val="auto"/>
        </w:rPr>
      </w:pPr>
    </w:p>
    <w:p>
      <w:pPr>
        <w:ind w:left="320" w:right="60" w:firstLine="540"/>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320" w:firstLine="540"/>
        <w:spacing w:after="0" w:line="288"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00" w:lineRule="exact"/>
        <w:rPr>
          <w:sz w:val="20"/>
          <w:szCs w:val="20"/>
          <w:color w:val="auto"/>
        </w:rPr>
      </w:pPr>
    </w:p>
    <w:p>
      <w:pPr>
        <w:spacing w:after="0" w:line="3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w:t>
      </w:r>
      <w:r>
        <w:rPr>
          <w:rFonts w:ascii="Arial" w:cs="Arial" w:eastAsia="Arial" w:hAnsi="Arial"/>
          <w:sz w:val="11"/>
          <w:szCs w:val="11"/>
          <w:color w:val="auto"/>
        </w:rPr>
        <w:t>(4)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w:t>
      </w:r>
      <w:r>
        <w:rPr>
          <w:rFonts w:ascii="Arial" w:cs="Arial" w:eastAsia="Arial" w:hAnsi="Arial"/>
          <w:sz w:val="11"/>
          <w:szCs w:val="11"/>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4.15%</w:t>
      </w:r>
      <w:r>
        <w:rPr>
          <w:rFonts w:ascii="Arial" w:cs="Arial" w:eastAsia="Arial" w:hAnsi="Arial"/>
          <w:sz w:val="11"/>
          <w:szCs w:val="11"/>
          <w:color w:val="auto"/>
        </w:rPr>
        <w:t>(6)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36830</wp:posOffset>
            </wp:positionV>
            <wp:extent cx="2914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10.31%</w:t>
      </w:r>
      <w:r>
        <w:rPr>
          <w:rFonts w:ascii="Arial" w:cs="Arial" w:eastAsia="Arial" w:hAnsi="Arial"/>
          <w:sz w:val="10"/>
          <w:szCs w:val="10"/>
          <w:color w:val="auto"/>
        </w:rPr>
        <w:t>(8)</w:t>
      </w:r>
    </w:p>
    <w:p>
      <w:pPr>
        <w:spacing w:after="0" w:line="230" w:lineRule="exact"/>
        <w:rPr>
          <w:sz w:val="20"/>
          <w:szCs w:val="20"/>
          <w:color w:val="auto"/>
        </w:rPr>
      </w:pPr>
    </w:p>
    <w:p>
      <w:pPr>
        <w:sectPr>
          <w:pgSz w:w="11900" w:h="16838" w:orient="portrait"/>
          <w:cols w:equalWidth="0" w:num="2">
            <w:col w:w="10020" w:space="720"/>
            <w:col w:w="680"/>
          </w:cols>
          <w:pgMar w:left="240" w:top="459" w:right="239" w:bottom="1440" w:gutter="0" w:footer="0" w:header="0"/>
          <w:type w:val="continuous"/>
        </w:sectPr>
      </w:pPr>
    </w:p>
    <w:p>
      <w:pPr>
        <w:spacing w:after="0" w:line="137"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December 31, 2016.</w:t>
      </w:r>
    </w:p>
    <w:p>
      <w:pPr>
        <w:spacing w:after="0" w:line="68" w:lineRule="exact"/>
        <w:rPr>
          <w:rFonts w:ascii="Arial" w:cs="Arial" w:eastAsia="Arial" w:hAnsi="Arial"/>
          <w:sz w:val="14"/>
          <w:szCs w:val="14"/>
          <w:color w:val="auto"/>
        </w:rPr>
      </w:pPr>
    </w:p>
    <w:p>
      <w:pPr>
        <w:ind w:left="580" w:right="220" w:hanging="572"/>
        <w:spacing w:after="0" w:line="230"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on December 31, 2016. Since December 31, 2015 and through December 31, 2017, the Investment Adviser has voluntarily agreed, in consultation with the board of directors, to waive 16% of base management fees, correlated to our 16% energy cost exposure (oil &amp; gas and energy &amp; utilities industries) at cost as of December 31, 2015. For the three months ended December 31, 2016, the management fees ratio before the waiver was 3.79%. See “Certain Relationships and Transactions—Investment Management Agreement” for more information.</w:t>
      </w:r>
    </w:p>
    <w:p>
      <w:pPr>
        <w:spacing w:after="0" w:line="58" w:lineRule="exact"/>
        <w:rPr>
          <w:rFonts w:ascii="Arial" w:cs="Arial" w:eastAsia="Arial" w:hAnsi="Arial"/>
          <w:sz w:val="14"/>
          <w:szCs w:val="14"/>
          <w:color w:val="auto"/>
        </w:rPr>
      </w:pPr>
    </w:p>
    <w:p>
      <w:pPr>
        <w:ind w:left="580" w:hanging="572"/>
        <w:spacing w:after="0" w:line="264"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December 31, 2016,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three months ended December 31, 2016. Since December 31, 2015 and through December 31, 2017, the Investment Adviser has voluntarily agreed, in consultation with the board of directors, to waive 16% of incentive fees, correlated to our 16% energy cost exposure (oil &amp; gas and energy &amp; utilities industries) at cost as of December 31, 2015. For the three months ended December 31, 2016, the incentive fee ratio before the waiver was 2.08%. For more detailed information about the incentive fee, please see “Certain Relationships and Transactions—Investment Management Agreement” for more information.</w:t>
      </w:r>
    </w:p>
    <w:p>
      <w:pPr>
        <w:spacing w:after="0" w:line="197" w:lineRule="exact"/>
        <w:rPr>
          <w:rFonts w:ascii="Arial" w:cs="Arial" w:eastAsia="Arial" w:hAnsi="Arial"/>
          <w:sz w:val="12"/>
          <w:szCs w:val="12"/>
          <w:color w:val="auto"/>
        </w:rPr>
      </w:pPr>
    </w:p>
    <w:p>
      <w:pPr>
        <w:ind w:left="580" w:right="40" w:hanging="572"/>
        <w:spacing w:after="0" w:line="265"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December 31, 2016, we had $396.9 million of unused borrowing capacity, subject to maintenance of the applicable total assets to debt ratio, under the 1940 Act. As of such date, we had $148.1 million in borrowings outstanding under our $545.0 million Credit Facility, $71.3 million in aggregate principal of 2025 Notes at an annual interest rate of 6.25% and $250.0 million in aggregate principal of 2019 Notes at an annual interest rate of 4.50%. As of December 31, 2016, our SBIC Funds had debenture commitments from the SBA in the amount of $225.0 million, had $197.5 million outstanding with a weighted average interest rate of 3.44%, exclusive of the 3.43% of upfront fees, and had $27.5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incurred for the quarter ended December 31, 2016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6" w:lineRule="exact"/>
        <w:rPr>
          <w:rFonts w:ascii="Arial" w:cs="Arial" w:eastAsia="Arial" w:hAnsi="Arial"/>
          <w:sz w:val="12"/>
          <w:szCs w:val="12"/>
          <w:color w:val="auto"/>
        </w:rPr>
      </w:pPr>
    </w:p>
    <w:p>
      <w:pPr>
        <w:jc w:val="both"/>
        <w:ind w:left="580" w:right="160" w:hanging="572"/>
        <w:spacing w:after="0" w:line="23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580" w:hanging="572"/>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34 of this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8.56%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You would pay the following expenses on a $1,000 common stock investment</w:t>
            </w:r>
          </w:p>
        </w:tc>
        <w:tc>
          <w:tcPr>
            <w:tcW w:w="450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99"/>
              </w:rPr>
              <w:t>1 Year</w:t>
            </w:r>
          </w:p>
        </w:tc>
        <w:tc>
          <w:tcPr>
            <w:tcW w:w="8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4"/>
              </w:rPr>
              <w:t>3 Years</w:t>
            </w:r>
          </w:p>
        </w:tc>
        <w:tc>
          <w:tcPr>
            <w:tcW w:w="14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0"/>
              </w:rPr>
              <w:t>10 Years</w:t>
            </w:r>
          </w:p>
        </w:tc>
      </w:tr>
      <w:tr>
        <w:trPr>
          <w:trHeight w:val="136"/>
        </w:trPr>
        <w:tc>
          <w:tcPr>
            <w:tcW w:w="92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60"/>
              <w:spacing w:after="0" w:line="136" w:lineRule="exact"/>
              <w:rPr>
                <w:sz w:val="20"/>
                <w:szCs w:val="20"/>
                <w:color w:val="auto"/>
              </w:rPr>
            </w:pPr>
            <w:r>
              <w:rPr>
                <w:rFonts w:ascii="Arial" w:cs="Arial" w:eastAsia="Arial" w:hAnsi="Arial"/>
                <w:sz w:val="12"/>
                <w:szCs w:val="12"/>
                <w:color w:val="auto"/>
                <w:w w:val="79"/>
              </w:rPr>
              <w:t>116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270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413</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728</w:t>
            </w:r>
          </w:p>
        </w:tc>
        <w:tc>
          <w:tcPr>
            <w:tcW w:w="40" w:type="dxa"/>
            <w:vAlign w:val="bottom"/>
            <w:tcBorders>
              <w:top w:val="single" w:sz="8" w:color="CCEEFF"/>
            </w:tcBorders>
            <w:shd w:val="clear" w:color="auto" w:fill="CCEEFF"/>
          </w:tcPr>
          <w:p>
            <w:pPr>
              <w:spacing w:after="0"/>
              <w:rPr>
                <w:sz w:val="11"/>
                <w:szCs w:val="11"/>
                <w:color w:val="auto"/>
              </w:rPr>
            </w:pPr>
          </w:p>
        </w:tc>
      </w:tr>
      <w:tr>
        <w:trPr>
          <w:trHeight w:val="175"/>
        </w:trPr>
        <w:tc>
          <w:tcPr>
            <w:tcW w:w="920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125</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293</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447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772</w:t>
            </w:r>
          </w:p>
        </w:tc>
        <w:tc>
          <w:tcPr>
            <w:tcW w:w="40" w:type="dxa"/>
            <w:vAlign w:val="bottom"/>
          </w:tcPr>
          <w:p>
            <w:pPr>
              <w:spacing w:after="0"/>
              <w:rPr>
                <w:sz w:val="15"/>
                <w:szCs w:val="15"/>
                <w:color w:val="auto"/>
              </w:rPr>
            </w:pPr>
          </w:p>
        </w:tc>
      </w:tr>
    </w:tbl>
    <w:p>
      <w:pPr>
        <w:spacing w:after="0" w:line="141"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Notes or any securities we may issue, may decline, and you may lose all or part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59"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4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our Credit Facility, our Notes and SBA debentures.</w:t>
      </w:r>
    </w:p>
    <w:p>
      <w:pPr>
        <w:spacing w:after="0" w:line="9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addition to the asset coverage ratio requirements, our Credit Facility and the indenture governing our Notes contain various covenants which, if not complied with, could accelerate repayment under the Credit Facility and our Notes. This could have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62" w:lineRule="exact"/>
        <w:rPr>
          <w:sz w:val="20"/>
          <w:szCs w:val="20"/>
          <w:color w:val="auto"/>
        </w:rPr>
      </w:pPr>
    </w:p>
    <w:p>
      <w:pPr>
        <w:ind w:left="1460" w:hanging="655"/>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retain our tax status as a RIC;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655"/>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 of our portfolio.</w:t>
      </w:r>
    </w:p>
    <w:p>
      <w:pPr>
        <w:spacing w:after="0" w:line="113"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In addition to the Credit Facility, we have issued our Notes and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62"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 and our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4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4"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62"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62" w:lineRule="exact"/>
        <w:rPr>
          <w:sz w:val="20"/>
          <w:szCs w:val="20"/>
          <w:color w:val="auto"/>
        </w:rPr>
      </w:pPr>
    </w:p>
    <w:p>
      <w:pPr>
        <w:ind w:right="360" w:firstLine="571"/>
        <w:spacing w:after="0" w:line="259"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90" w:lineRule="exact"/>
        <w:rPr>
          <w:sz w:val="20"/>
          <w:szCs w:val="20"/>
          <w:color w:val="auto"/>
        </w:rPr>
      </w:pPr>
    </w:p>
    <w:p>
      <w:pPr>
        <w:ind w:right="120" w:firstLine="571"/>
        <w:spacing w:after="0" w:line="306" w:lineRule="auto"/>
        <w:rPr>
          <w:sz w:val="20"/>
          <w:szCs w:val="20"/>
          <w:color w:val="auto"/>
        </w:rPr>
      </w:pPr>
      <w:r>
        <w:rPr>
          <w:rFonts w:ascii="Arial" w:cs="Arial" w:eastAsia="Arial" w:hAnsi="Arial"/>
          <w:sz w:val="16"/>
          <w:szCs w:val="16"/>
          <w:color w:val="auto"/>
        </w:rPr>
        <w:t>We may be the target of securities litigation in the future, particularly if the trading price of our common stock and our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3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46"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2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20" w:firstLine="571"/>
        <w:spacing w:after="0" w:line="287"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4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5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51"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have operated and continue to operate so as to maintain our election to be treated as a RIC under Subchapter M of the Code. If we meet the annual source of income, Diversification Tests, and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were not subject to corporate income tax, or the Excise Tax Avoidance Requirement.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difficulty paying our Annual Distribution Requirement if we recognize income before or without receiving cash representing such income.</w:t>
      </w:r>
    </w:p>
    <w:p>
      <w:pPr>
        <w:spacing w:after="0" w:line="125"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59"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We may have difficulty meeting the tax requirement to distribute at least 90% of the sum of our ordinary income and realized net short-term capital gains, if any, to obtain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62"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ind w:right="160" w:firstLine="571"/>
        <w:spacing w:after="0" w:line="306"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26"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As a BDC, we are required to meet a 200%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35"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subject to tax as a RIC for federal income tax purposes. We may have to request a waiver of the SBA’s restrictions for our SBIC Funds to make certain distributions to enable us to be treated as a RIC for federal income tax purposes. We cannot assure you that the SBA will grant such waiver, and if our SBIC Funds are unable to obtain a waiver, compliance with the SBA regulations may cause us to incur corporate-level income tax.</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42" w:lineRule="exact"/>
        <w:rPr>
          <w:sz w:val="20"/>
          <w:szCs w:val="20"/>
          <w:color w:val="auto"/>
        </w:rPr>
      </w:pPr>
    </w:p>
    <w:p>
      <w:pPr>
        <w:ind w:left="1460" w:right="40" w:hanging="655"/>
        <w:spacing w:after="0" w:line="253"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Senior Securities. </w:t>
      </w:r>
      <w:r>
        <w:rPr>
          <w:rFonts w:ascii="Arial" w:cs="Arial" w:eastAsia="Arial" w:hAnsi="Arial"/>
          <w:sz w:val="18"/>
          <w:szCs w:val="18"/>
          <w:color w:val="auto"/>
        </w:rPr>
        <w:t>As a result of issuing senior securities, including our Notes, we are exposed to typical risks associated with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66" w:lineRule="exact"/>
        <w:rPr>
          <w:rFonts w:ascii="Arial" w:cs="Arial" w:eastAsia="Arial" w:hAnsi="Arial"/>
          <w:sz w:val="18"/>
          <w:szCs w:val="18"/>
          <w:color w:val="auto"/>
        </w:rPr>
      </w:pPr>
    </w:p>
    <w:p>
      <w:pPr>
        <w:ind w:left="1460" w:hanging="655"/>
        <w:spacing w:after="0" w:line="254"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Common Stock. </w:t>
      </w:r>
      <w:r>
        <w:rPr>
          <w:rFonts w:ascii="Arial" w:cs="Arial" w:eastAsia="Arial" w:hAnsi="Arial"/>
          <w:sz w:val="18"/>
          <w:szCs w:val="18"/>
          <w:color w:val="auto"/>
        </w:rPr>
        <w:t>Our board of directors may decide to issue common stock to finance our operations rather than issuing debt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80" w:right="40"/>
        <w:spacing w:after="0" w:line="285" w:lineRule="auto"/>
        <w:rPr>
          <w:sz w:val="20"/>
          <w:szCs w:val="20"/>
          <w:color w:val="auto"/>
        </w:rPr>
      </w:pPr>
      <w:r>
        <w:rPr>
          <w:rFonts w:ascii="Arial" w:cs="Arial" w:eastAsia="Arial" w:hAnsi="Arial"/>
          <w:sz w:val="16"/>
          <w:szCs w:val="16"/>
          <w:color w:val="auto"/>
        </w:rPr>
        <w:t>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time-intensive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45" w:lineRule="exact"/>
        <w:rPr>
          <w:sz w:val="20"/>
          <w:szCs w:val="20"/>
          <w:color w:val="auto"/>
        </w:rPr>
      </w:pPr>
    </w:p>
    <w:p>
      <w:pPr>
        <w:ind w:left="1360" w:hanging="447"/>
        <w:spacing w:after="0" w:line="305" w:lineRule="auto"/>
        <w:tabs>
          <w:tab w:leader="none" w:pos="136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Securitization. </w:t>
      </w:r>
      <w:r>
        <w:rPr>
          <w:rFonts w:ascii="Arial" w:cs="Arial" w:eastAsia="Arial" w:hAnsi="Arial"/>
          <w:sz w:val="15"/>
          <w:szCs w:val="15"/>
          <w:color w:val="auto"/>
        </w:rPr>
        <w:t>In addition to issuing securities to raise capital as described above, we anticipate that in the future, as market conditions permit,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47" w:lineRule="exact"/>
        <w:rPr>
          <w:rFonts w:ascii="Arial" w:cs="Arial" w:eastAsia="Arial" w:hAnsi="Arial"/>
          <w:sz w:val="15"/>
          <w:szCs w:val="15"/>
          <w:color w:val="auto"/>
        </w:rPr>
      </w:pPr>
    </w:p>
    <w:p>
      <w:pPr>
        <w:ind w:left="1360" w:right="100" w:hanging="447"/>
        <w:spacing w:after="0" w:line="255"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issue, as permitted under SBA regulations and through our wholly owned subsidiaries, SBIC LP, SBIC II and any future SBIC subsidiary, SBA debentures to 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tax status.</w:t>
      </w:r>
    </w:p>
    <w:p>
      <w:pPr>
        <w:spacing w:after="0" w:line="90"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62"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35"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$150.0 million, which is up to twice its regulatory capital, and a maximum of $350.0 million as part of a group of SBICs under common control.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32"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Our current debt is governed by the terms of our Notes, Credit Facility and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32"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have indebtedness outstanding pursuant to our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4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As of December 31, 2016, we had outstanding borrowings of $148.1 million under our Credit Facility, $250.0 million outstanding under our 2019 Notes, $71.3 million outstanding under our 2025 Notes and $197.5 million outstanding under the SBA debentures. Our consolidated debt outstanding was $666.9 million and had a weighted average annual interest rate at the time of 3.96%, exclusive of the fee on undrawn commitment on our Credit Facility and 3.43% of upfront fees on the SBA debentures. To cover the annual interest on our borrowings of $666.9 million outstanding at December 31, 2016, at the weighted average annual rate of 3.96%, we would have to receive an annual yield of at least 2.01%.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571"/>
        <w:spacing w:after="0" w:line="254"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at December 31, 2016 of 47% of total assets (including such borrowed funds), at the weighted average rate at the time of 3.96%,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860" w:type="dxa"/>
            <w:vAlign w:val="bottom"/>
          </w:tcPr>
          <w:p>
            <w:pPr>
              <w:jc w:val="right"/>
              <w:ind w:right="52"/>
              <w:spacing w:after="0"/>
              <w:rPr>
                <w:sz w:val="20"/>
                <w:szCs w:val="20"/>
                <w:color w:val="auto"/>
              </w:rPr>
            </w:pPr>
            <w:r>
              <w:rPr>
                <w:rFonts w:ascii="Arial" w:cs="Arial" w:eastAsia="Arial" w:hAnsi="Arial"/>
                <w:sz w:val="18"/>
                <w:szCs w:val="18"/>
                <w:color w:val="auto"/>
              </w:rPr>
              <w:t>(25.5)%</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(14.8)%</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9" w:lineRule="exact"/>
        <w:rPr>
          <w:sz w:val="20"/>
          <w:szCs w:val="20"/>
          <w:color w:val="auto"/>
        </w:rPr>
      </w:pPr>
    </w:p>
    <w:p>
      <w:pPr>
        <w:ind w:left="580" w:hanging="572"/>
        <w:spacing w:after="0"/>
        <w:tabs>
          <w:tab w:leader="none" w:pos="5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580" w:hanging="572"/>
        <w:spacing w:after="0" w:line="203" w:lineRule="auto"/>
        <w:tabs>
          <w:tab w:leader="none" w:pos="580"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6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would magnify the potential for loss and the risks of investing in us.</w:t>
      </w:r>
    </w:p>
    <w:p>
      <w:pPr>
        <w:spacing w:after="0" w:line="51"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3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20" w:firstLine="571"/>
        <w:spacing w:after="0" w:line="314" w:lineRule="auto"/>
        <w:rPr>
          <w:sz w:val="20"/>
          <w:szCs w:val="20"/>
          <w:color w:val="auto"/>
        </w:rPr>
      </w:pPr>
      <w:r>
        <w:rPr>
          <w:rFonts w:ascii="Arial" w:cs="Arial" w:eastAsia="Arial" w:hAnsi="Arial"/>
          <w:sz w:val="15"/>
          <w:szCs w:val="15"/>
          <w:color w:val="auto"/>
        </w:rPr>
        <w:t>As a result of the issuance of our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2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our Notes, if any, or change in the debt markets could cause the liquidity or market value of our Notes to decline significantly.</w:t>
      </w:r>
    </w:p>
    <w:p>
      <w:pPr>
        <w:spacing w:after="0" w:line="51"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Our credit ratings are an assessment by rating agencies of our ability to pay our debts when they come due. Consequently, real or anticipated changes in our credit ratings will generally affect the market value of our Notes. In March 2017, Fitch Ratings, or Fitch, placed our investment grade rating on negative watch due to elevated leverage. Our credit ratings may not reflect the potential impact of risks relating to the structure or marketing of our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Notes of any changes in our credit ratings. The 2019 Notes are rated by Standard &amp; Poor’s Ratings Services, or S&amp;P, and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51" w:lineRule="exact"/>
        <w:rPr>
          <w:sz w:val="20"/>
          <w:szCs w:val="20"/>
          <w:color w:val="auto"/>
        </w:rPr>
      </w:pPr>
    </w:p>
    <w:p>
      <w:pPr>
        <w:ind w:right="80" w:firstLine="571"/>
        <w:spacing w:after="0" w:line="287" w:lineRule="auto"/>
        <w:rPr>
          <w:sz w:val="20"/>
          <w:szCs w:val="20"/>
          <w:color w:val="auto"/>
        </w:rPr>
      </w:pPr>
      <w:r>
        <w:rPr>
          <w:rFonts w:ascii="Arial" w:cs="Arial" w:eastAsia="Arial" w:hAnsi="Arial"/>
          <w:sz w:val="16"/>
          <w:szCs w:val="16"/>
          <w:color w:val="auto"/>
        </w:rPr>
        <w:t>Our Credit Facility expires and our 2019 Notes mature in June and October 2019, respectively. We utilize proceeds from the Credit Facility and our 2019 Notes to make investments in our portfolio companies. The duration of many of our investments exceeds the duration of our indebtedness under our Credit Facility and 2019 Notes. This means that we will have to extend the maturity of our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extend or refinance our Credit Facility and 2019 Notes on terms as favorable as those in our existing indebtedness.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right="100" w:firstLine="571"/>
        <w:spacing w:after="0" w:line="285"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47"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63"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63"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our Notes,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and our Notes. This is expected to mitigate volatility in our earnings and NAV. As a result of these factors, results for any period should not be relied upon as being indicative of performance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that we may issue will have the right to elect members of the board of directors and have class voting rights on certain matters.</w:t>
      </w:r>
    </w:p>
    <w:p>
      <w:pPr>
        <w:spacing w:after="0" w:line="12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ability to be subject to tax as a RIC for U.S. federal income tax purposes, which could have a material adverse effect on our business, financial condition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3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we issue preferred stock, other debt securities, convertible debt securities or units, the NAV and market value of our common stock may become more volatile.</w:t>
      </w:r>
    </w:p>
    <w:p>
      <w:pPr>
        <w:spacing w:after="0" w:line="51"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39"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convertible debt or risk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business.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If we publicly issue debt or convertible debt securities, such as the 2025 Notes,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90" w:lineRule="exact"/>
        <w:rPr>
          <w:sz w:val="20"/>
          <w:szCs w:val="20"/>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90" w:lineRule="exact"/>
        <w:rPr>
          <w:sz w:val="20"/>
          <w:szCs w:val="20"/>
          <w:color w:val="auto"/>
        </w:rPr>
      </w:pPr>
    </w:p>
    <w:p>
      <w:pPr>
        <w:ind w:right="40"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62"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90" w:lineRule="exact"/>
        <w:rPr>
          <w:sz w:val="20"/>
          <w:szCs w:val="20"/>
          <w:color w:val="auto"/>
        </w:rPr>
      </w:pPr>
    </w:p>
    <w:p>
      <w:pPr>
        <w:jc w:val="both"/>
        <w:ind w:right="540" w:firstLine="571"/>
        <w:spacing w:after="0" w:line="335" w:lineRule="auto"/>
        <w:rPr>
          <w:sz w:val="20"/>
          <w:szCs w:val="20"/>
          <w:color w:val="auto"/>
        </w:rPr>
      </w:pPr>
      <w:r>
        <w:rPr>
          <w:rFonts w:ascii="Arial" w:cs="Arial" w:eastAsia="Arial" w:hAnsi="Arial"/>
          <w:sz w:val="15"/>
          <w:szCs w:val="15"/>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6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40" w:firstLine="8"/>
        <w:spacing w:after="0" w:line="290" w:lineRule="auto"/>
        <w:tabs>
          <w:tab w:leader="none" w:pos="35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37"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64"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All of our investments were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26"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3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 region, can reverberate and have materially negative consequences for other market, economic or regional sectors in a manner that may not be foreseen and which may materially harm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jc w:val="both"/>
        <w:ind w:right="260" w:firstLine="571"/>
        <w:spacing w:after="0" w:line="323" w:lineRule="auto"/>
        <w:rPr>
          <w:sz w:val="20"/>
          <w:szCs w:val="20"/>
          <w:color w:val="auto"/>
        </w:rPr>
      </w:pPr>
      <w:r>
        <w:rPr>
          <w:rFonts w:ascii="Arial" w:cs="Arial" w:eastAsia="Arial" w:hAnsi="Arial"/>
          <w:sz w:val="15"/>
          <w:szCs w:val="15"/>
          <w:color w:val="auto"/>
        </w:rPr>
        <w:t>We are susceptible to the risk of significant loss if we are forced to discount the value of our investments in order to provide liquidity to meet our debt maturities. Our borrowings under our Credit Facility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over-the-counter securities, which have and may continue to face liquidity constraints, to provide us with liquidity.</w:t>
      </w:r>
    </w:p>
    <w:p>
      <w:pPr>
        <w:spacing w:after="0" w:line="90" w:lineRule="exact"/>
        <w:rPr>
          <w:sz w:val="20"/>
          <w:szCs w:val="20"/>
          <w:color w:val="auto"/>
        </w:rPr>
      </w:pPr>
    </w:p>
    <w:p>
      <w:pPr>
        <w:ind w:right="260" w:firstLine="571"/>
        <w:spacing w:after="0" w:line="330"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We intend to invest primarily in senior secured debt, mezzanine debt and selected equity investments issued by U.S. and foreign middle-market companies.</w:t>
      </w:r>
    </w:p>
    <w:p>
      <w:pPr>
        <w:spacing w:after="0" w:line="51" w:lineRule="exact"/>
        <w:rPr>
          <w:sz w:val="20"/>
          <w:szCs w:val="20"/>
          <w:color w:val="auto"/>
        </w:rPr>
      </w:pPr>
    </w:p>
    <w:p>
      <w:pPr>
        <w:ind w:left="1380" w:hanging="575"/>
        <w:spacing w:after="0" w:line="287"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Debt: </w:t>
      </w:r>
      <w:r>
        <w:rPr>
          <w:rFonts w:ascii="Arial" w:cs="Arial" w:eastAsia="Arial" w:hAnsi="Arial"/>
          <w:sz w:val="16"/>
          <w:szCs w:val="16"/>
          <w:color w:val="auto"/>
        </w:rPr>
        <w:t>When we extend senior secured debt, which we define to include first lien debt, we will generally take a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in the 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debts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41" w:lineRule="exact"/>
        <w:rPr>
          <w:rFonts w:ascii="Arial" w:cs="Arial" w:eastAsia="Arial" w:hAnsi="Arial"/>
          <w:sz w:val="16"/>
          <w:szCs w:val="16"/>
          <w:color w:val="auto"/>
        </w:rPr>
      </w:pPr>
    </w:p>
    <w:p>
      <w:pPr>
        <w:ind w:left="1380" w:right="40" w:hanging="575"/>
        <w:spacing w:after="0" w:line="290"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37" w:lineRule="exact"/>
        <w:rPr>
          <w:rFonts w:ascii="Arial" w:cs="Arial" w:eastAsia="Arial" w:hAnsi="Arial"/>
          <w:sz w:val="16"/>
          <w:szCs w:val="16"/>
          <w:color w:val="auto"/>
        </w:rPr>
      </w:pPr>
    </w:p>
    <w:p>
      <w:pPr>
        <w:ind w:left="1380" w:right="180" w:hanging="575"/>
        <w:spacing w:after="0" w:line="288"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addition, when we invest in 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investments, we may pay taxes at regular corporate tax rates, which will reduce the amount on gains or dividends available for distributions to our stockholders.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1460" w:right="40" w:hanging="655"/>
        <w:spacing w:after="0" w:line="259"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1460" w:right="260" w:hanging="655"/>
        <w:spacing w:after="0" w:line="259"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59" w:lineRule="exact"/>
        <w:rPr>
          <w:rFonts w:ascii="Arial" w:cs="Arial" w:eastAsia="Arial" w:hAnsi="Arial"/>
          <w:sz w:val="18"/>
          <w:szCs w:val="18"/>
          <w:color w:val="auto"/>
        </w:rPr>
      </w:pPr>
    </w:p>
    <w:p>
      <w:pPr>
        <w:ind w:left="1460" w:right="80" w:hanging="655"/>
        <w:spacing w:after="0" w:line="370" w:lineRule="auto"/>
        <w:tabs>
          <w:tab w:leader="none" w:pos="1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340" w:hanging="655"/>
        <w:spacing w:after="0" w:line="255"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61" w:lineRule="exact"/>
        <w:rPr>
          <w:rFonts w:ascii="Arial" w:cs="Arial" w:eastAsia="Arial" w:hAnsi="Arial"/>
          <w:sz w:val="18"/>
          <w:szCs w:val="18"/>
          <w:color w:val="auto"/>
        </w:rPr>
      </w:pPr>
    </w:p>
    <w:p>
      <w:pPr>
        <w:ind w:left="1460" w:right="20" w:hanging="655"/>
        <w:spacing w:after="0" w:line="268"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5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4" w:lineRule="exact"/>
        <w:rPr>
          <w:sz w:val="20"/>
          <w:szCs w:val="20"/>
          <w:color w:val="auto"/>
        </w:rPr>
      </w:pP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62"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the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3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3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1460" w:hanging="655"/>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3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51" w:lineRule="exact"/>
        <w:rPr>
          <w:sz w:val="20"/>
          <w:szCs w:val="20"/>
          <w:color w:val="auto"/>
        </w:rPr>
      </w:pPr>
    </w:p>
    <w:p>
      <w:pPr>
        <w:ind w:right="160" w:firstLine="571"/>
        <w:spacing w:after="0" w:line="310" w:lineRule="auto"/>
        <w:rPr>
          <w:sz w:val="20"/>
          <w:szCs w:val="20"/>
          <w:color w:val="auto"/>
        </w:rPr>
      </w:pPr>
      <w:r>
        <w:rPr>
          <w:rFonts w:ascii="Arial" w:cs="Arial" w:eastAsia="Arial" w:hAnsi="Arial"/>
          <w:sz w:val="15"/>
          <w:szCs w:val="15"/>
          <w:color w:val="auto"/>
        </w:rPr>
        <w:t>We invest primarily in senior secured debt, mezzanine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39"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our Investment Adviser incentive compensation for a fiscal quarter even if there is a decline in the value of our portfolio, NAV or we incur a net loss for that quarter.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39"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35"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have in the past obtained the approval of our stockholders to issue shares of our common stock at prices below the then current NAV per share of our common stock in one or more offerings for a twelve-month period, and we may attempt to obtain such approval in the future. Such approval has allowed, and may again allow, us to access the capital markets in a way that we typically are unable to do as a result of restrictions that, absent stockholder approval, apply to BDCs under the 1940 Act.</w:t>
      </w:r>
    </w:p>
    <w:p>
      <w:pPr>
        <w:spacing w:after="0" w:line="62"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37"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right="220" w:firstLine="571"/>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$7.66 and $7.52 on December 31, 2016 and September 30, 2016, respectively. Our NAV per share was $9.11 and $9.05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1460" w:hanging="655"/>
        <w:spacing w:after="0" w:line="268"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1460" w:right="100" w:hanging="655"/>
        <w:spacing w:after="0" w:line="268"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90"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90" w:lineRule="exact"/>
        <w:rPr>
          <w:sz w:val="20"/>
          <w:szCs w:val="20"/>
          <w:color w:val="auto"/>
        </w:rPr>
      </w:pPr>
    </w:p>
    <w:p>
      <w:pPr>
        <w:ind w:left="1460" w:right="60" w:hanging="655"/>
        <w:spacing w:after="0" w:line="268"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50" w:lineRule="exact"/>
        <w:rPr>
          <w:rFonts w:ascii="Arial" w:cs="Arial" w:eastAsia="Arial" w:hAnsi="Arial"/>
          <w:sz w:val="18"/>
          <w:szCs w:val="18"/>
          <w:color w:val="auto"/>
        </w:rPr>
      </w:pPr>
    </w:p>
    <w:p>
      <w:pPr>
        <w:ind w:left="1460" w:right="140" w:hanging="655"/>
        <w:spacing w:after="0" w:line="268"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1460" w:hanging="655"/>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6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280" w:firstLine="571"/>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or the Exchange Act, as well as additional corporate governance requirements, including requirements under the Sarbanes-Oxley Act of 2002, or the Sarbanes-Oxley Act, and other rules implemented by the SEC and the listing standards of the NASDAQ Stock Market LLC and NYSE.</w:t>
      </w:r>
    </w:p>
    <w:p>
      <w:pPr>
        <w:spacing w:after="0" w:line="6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39"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or the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39"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 See “Description of our Capital Stock—Provisions of the Maryland General Corporation Law and our Charter and Bylaws.”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Notes are unsecured and therefore are effectively subordinated to any secured indebtedness we have currently incurred or may incur in the future.</w:t>
      </w:r>
    </w:p>
    <w:p>
      <w:pPr>
        <w:spacing w:after="0" w:line="125"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Our Notes are not secured by any of our assets or any of the assets of our subsidiaries. As a result, our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Effective subordination means that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our Notes. As of December 31, 2016 and September 30, 2016, we had $148.1 million and $50.3 million, respectively, outstanding under the Credit Facility. The Credit Facility is secured by substantially all of the assets in our portfolio (other than assets held by our SBIC Funds), and the indebtedness under the Credit Facility is therefore effectively senior in right of payment to our Notes to the extent of the value of such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Notes are structurally subordinated to the indebtedness and other liabilities of our subsidiaries.</w:t>
      </w:r>
    </w:p>
    <w:p>
      <w:pPr>
        <w:spacing w:after="0" w:line="90" w:lineRule="exact"/>
        <w:rPr>
          <w:sz w:val="20"/>
          <w:szCs w:val="20"/>
          <w:color w:val="auto"/>
        </w:rPr>
      </w:pPr>
    </w:p>
    <w:p>
      <w:pPr>
        <w:jc w:val="both"/>
        <w:ind w:right="260" w:firstLine="571"/>
        <w:spacing w:after="0" w:line="256" w:lineRule="auto"/>
        <w:rPr>
          <w:sz w:val="20"/>
          <w:szCs w:val="20"/>
          <w:color w:val="auto"/>
        </w:rPr>
      </w:pPr>
      <w:r>
        <w:rPr>
          <w:rFonts w:ascii="Arial" w:cs="Arial" w:eastAsia="Arial" w:hAnsi="Arial"/>
          <w:sz w:val="18"/>
          <w:szCs w:val="18"/>
          <w:color w:val="auto"/>
        </w:rPr>
        <w:t>Our Notes are obligations exclusively of PennantPark Investment Corporation and not of any of our subsidiaries. None of our subsidiaries are or act as guarantors of our Notes and neither the 2019 Notes nor the 2025 Notes is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our Notes.</w:t>
      </w:r>
    </w:p>
    <w:p>
      <w:pPr>
        <w:spacing w:after="0" w:line="62"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our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our Notes are structurally subordinated to all indebtedness and other liabilities (including trade payables) of our subsidiaries and any subsidiaries that we may in the future acquire or establish as financing vehicles or otherwise. As of December 31, 2016 and September 30, 2016, our SBIC Funds had $225.0 million in debt commitments, of which $197.5 million was drawn. All of such indebtedness is structurally senior to our Notes. In addition, our subsidiaries may incur substantial additional indebtedness in the future, all of which would be structurally senior to our Notes.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our Notes were issued contains limited protection for their respective holders.</w:t>
      </w:r>
    </w:p>
    <w:p>
      <w:pPr>
        <w:spacing w:after="0" w:line="90"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 indenture under which our Notes were issued offers limited protection to their respective holders. The terms of the indenture and our Notes do not restrict our or any of our subsidiaries’ ability to engage in, or otherwise be a party to, a variety of corporate transactions, circumstances or events that could have an adverse impact on an investment in our Notes. In particular, the terms of the indentures and our Notes do not place any restrictions on our or our subsidiaries’ ability to:</w:t>
      </w:r>
    </w:p>
    <w:p>
      <w:pPr>
        <w:spacing w:after="0" w:line="62" w:lineRule="exact"/>
        <w:rPr>
          <w:sz w:val="20"/>
          <w:szCs w:val="20"/>
          <w:color w:val="auto"/>
        </w:rPr>
      </w:pPr>
    </w:p>
    <w:p>
      <w:pPr>
        <w:ind w:left="1460" w:hanging="655"/>
        <w:spacing w:after="0" w:line="289"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our Notes, (2) any indebtedness or other obligations that would be secured and therefore rank effectively senior in right of payment to our Notes to the extent of the values of the assets securing such debt, (3) indebtedness of ours that is guaranteed by one or more of our subsidiaries and which therefore would rank structurally senior to our Notes and (4) securities, indebtedness or other obligations issued or incurred by our subsidiaries that would be senior in right of payment to our equity interests in our subsidiaries and therefore would rank structurally senior in right of payment to our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37" w:lineRule="exact"/>
        <w:rPr>
          <w:rFonts w:ascii="Arial" w:cs="Arial" w:eastAsia="Arial" w:hAnsi="Arial"/>
          <w:sz w:val="16"/>
          <w:szCs w:val="16"/>
          <w:color w:val="auto"/>
        </w:rPr>
      </w:pPr>
    </w:p>
    <w:p>
      <w:pPr>
        <w:ind w:left="1460" w:right="300" w:hanging="655"/>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our Notes;</w:t>
      </w:r>
    </w:p>
    <w:p>
      <w:pPr>
        <w:spacing w:after="0" w:line="50" w:lineRule="exact"/>
        <w:rPr>
          <w:rFonts w:ascii="Arial" w:cs="Arial" w:eastAsia="Arial" w:hAnsi="Arial"/>
          <w:sz w:val="18"/>
          <w:szCs w:val="18"/>
          <w:color w:val="auto"/>
        </w:rPr>
      </w:pPr>
    </w:p>
    <w:p>
      <w:pPr>
        <w:ind w:left="1460" w:hanging="655"/>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 assets (other than certain limited restrictions on our ability to consolidate, merge or sell all or substantially all of our assets);</w:t>
      </w:r>
    </w:p>
    <w:p>
      <w:pPr>
        <w:spacing w:after="0" w:line="113" w:lineRule="exact"/>
        <w:rPr>
          <w:rFonts w:ascii="Arial" w:cs="Arial" w:eastAsia="Arial" w:hAnsi="Arial"/>
          <w:sz w:val="16"/>
          <w:szCs w:val="16"/>
          <w:color w:val="auto"/>
        </w:rPr>
      </w:pPr>
    </w:p>
    <w:p>
      <w:pPr>
        <w:ind w:left="1460" w:hanging="655"/>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571"/>
        <w:spacing w:after="0" w:line="306" w:lineRule="auto"/>
        <w:rPr>
          <w:sz w:val="20"/>
          <w:szCs w:val="20"/>
          <w:color w:val="auto"/>
        </w:rPr>
      </w:pPr>
      <w:r>
        <w:rPr>
          <w:rFonts w:ascii="Arial" w:cs="Arial" w:eastAsia="Arial" w:hAnsi="Arial"/>
          <w:sz w:val="16"/>
          <w:szCs w:val="16"/>
          <w:color w:val="auto"/>
        </w:rPr>
        <w:t>Furthermore, the terms of the indenture and our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26"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our Notes may have important consequences for their holders, including making it more difficult for us to satisfy our obligations with respect to our Notes or negatively affecting their trading value.</w:t>
      </w:r>
    </w:p>
    <w:p>
      <w:pPr>
        <w:spacing w:after="0" w:line="59"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Certain of our current debt instruments include more protections for their respective holders than the indenture and our Notes. In addition, other debt we issue or incur in the future could contain more protections for its holders than the indenture and our Notes, including additional covenants and events of default. The issuance or incurrence of any such debt with incremental protections could affect the market for and trading levels and prices of our Notes.</w:t>
      </w:r>
    </w:p>
    <w:p>
      <w:pPr>
        <w:spacing w:after="0" w:line="26"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b w:val="1"/>
          <w:bCs w:val="1"/>
          <w:i w:val="1"/>
          <w:iCs w:val="1"/>
          <w:color w:val="auto"/>
        </w:rPr>
        <w:t>An active trading market for our Notes may not develop, which could limit their market price or the ability of their respective holders to sell them. If a rating agency assigns our Notes a non-investment grade rating, they may be subject to greater price volatility than similar securities without such a rating.</w:t>
      </w:r>
    </w:p>
    <w:p>
      <w:pPr>
        <w:ind w:right="20" w:firstLine="571"/>
        <w:spacing w:after="0" w:line="289" w:lineRule="auto"/>
        <w:rPr>
          <w:sz w:val="20"/>
          <w:szCs w:val="20"/>
          <w:color w:val="auto"/>
        </w:rPr>
      </w:pPr>
      <w:r>
        <w:rPr>
          <w:rFonts w:ascii="Arial" w:cs="Arial" w:eastAsia="Arial" w:hAnsi="Arial"/>
          <w:sz w:val="16"/>
          <w:szCs w:val="16"/>
          <w:color w:val="auto"/>
        </w:rPr>
        <w:t>We have not and do not intend to list the 2019 Notes on any securities exchange or for quotation on any automated dealer quotation system. We have listed the 2025 Notes on the NYSE. However, we cannot provide any assurances that an active trading market will develop for the 2019 Notes and 2025 Notes or that their holders will be able to sell them. Our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our Notes a non-investment grade rating, they may be subject to greater price volatility than securities of similar maturity without such a non-investment grade rating. We cannot assure holders of our Notes that a liquid trading market will develop for them, that holders will be able to sell their 2019 Notes and 2025 Notes at a particular time or that the price holders receive upon such sale will be favorable. To the extent an active trading market does not develop, the liquidity and trading price for our Notes may be harmed. Accordingly, holders of our Notes may be required to bear the financial risk for an indefinite period of time.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our Notes.</w:t>
      </w:r>
    </w:p>
    <w:p>
      <w:pPr>
        <w:spacing w:after="0" w:line="9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our Notes and substantially decrease their market value.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will have, customary cross-default provisions, if the indebtedness thereunder or under any future credit facility is accelerated, we may be unable to repay or finance the amounts due.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90"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Payments made under our Notes to a foreign financial institution or non-financial foreign entity (including such an institution or entity acting as an intermediary) may be subject to a U.S. withholding tax of 30% under a U.S. federal tax law (commonly known as “FATCA”). This tax may apply to certain payments of interest as well as payments made upon maturity, redemption, or sale of our Notes, unless the foreign financial institution or non-financial foreign entity complies with certain information reporting, withholding, identification, certification and related requirements imposed by FATCA. Holders of our Notes should consult their own tax advisors regarding FATCA and how it may affect their investment in our Notes.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49"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6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43"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2019 Notes, 2025 Notes and/or the SBA debentures, to invest in new or existing portfolio companies or for other general corporate or strategic purposes. Any supplements to this prospectus relating to an offering may more fully identify the use of the proceeds from such offering.</w:t>
      </w:r>
    </w:p>
    <w:p>
      <w:pPr>
        <w:spacing w:after="0" w:line="10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As of December 31, 2016, we had $396.9 million of unused borrowing capacity, subject to maintenance of the applicable total assets to debt ratio, as set forth in the 1940 Act, and $148.1 million in borrowings outstanding under our $545.0 million Credit Facility. Borrowings under our Credit Facility bear interest at an annual rate equal to the London Interbank Offered Rate, or LIBOR or “L,” plus 225 basis points per annum. At December 31, 2016, the weighted average interest rate on the Credit Facility was 2.63%. The Credit Facility is a revolving facility with a stated maturity date of June 25, 2019 and is secured by substantially all of the assets in our investment portfolio, excluding assets of our SBIC Funds. Amounts repaid under our Credit Facility remain available for future borrowings.</w:t>
      </w:r>
    </w:p>
    <w:p>
      <w:pPr>
        <w:spacing w:after="0" w:line="144"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As of December 31, 2016,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13"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As of December 31, 2016, we had $71.3 million in aggregate principal amount of 2025 Notes outstanding.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As of December 31, 2016, our SBIC Funds had $225.0 million in debt commitments, of which $197.5 million was drawn. The interest rate of SBA debentures is fixed at the time of issuance, often referred to as pooling, at a market-driven spread over 10-year U.S. Treasury Notes. At December 31, 2016, the SBA debentures’ had a weighted average interest rate of 3.44%. The SBA debentures mature between September 2020 and September 2026. The SBA debentures are secured by all the investment portfolio assets of our SBIC Funds and have a priority claim over such assets relative to all other creditors.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“Management’s Discussion and Analysis of Financial Condition and Results of Operations” for more information.</w:t>
      </w:r>
    </w:p>
    <w:p>
      <w:pPr>
        <w:spacing w:after="0" w:line="171" w:lineRule="exact"/>
        <w:rPr>
          <w:sz w:val="20"/>
          <w:szCs w:val="20"/>
          <w:color w:val="auto"/>
        </w:rPr>
      </w:pPr>
    </w:p>
    <w:p>
      <w:pPr>
        <w:ind w:right="240" w:firstLine="571"/>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2019 Notes, 2025 Notes and/or the SBA debentures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have derived the data below from our audited and unaudited financial data. The Consolidated Statement of Operations data, Per share data, Consolidated Statement of Assets and Liabilities data and Total returns data presented are derived from our audited and unaudited Consolidated Financial Statements. These selected financial data should be read in conjunction with our Consolidated Financial Statements and related notes thereto and “Management’s Discussion and Analysis of Financial Condition and Results of Operations” in the accompanying prospectus.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For the three months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508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ended 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3"/>
              </w:rPr>
              <w:t>For the years ended September 30,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82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5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w w:val="93"/>
              </w:rPr>
              <w:t>$   31,869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35,263</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142,071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161,629</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7"/>
              </w:rPr>
              <w:t>$  147,936</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  129,187</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113,392</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20" w:type="dxa"/>
            <w:vAlign w:val="bottom"/>
          </w:tcPr>
          <w:p>
            <w:pPr>
              <w:jc w:val="right"/>
              <w:ind w:right="13"/>
              <w:spacing w:after="0" w:line="149" w:lineRule="exact"/>
              <w:rPr>
                <w:sz w:val="20"/>
                <w:szCs w:val="20"/>
                <w:color w:val="auto"/>
              </w:rPr>
            </w:pPr>
            <w:r>
              <w:rPr>
                <w:rFonts w:ascii="Arial" w:cs="Arial" w:eastAsia="Arial" w:hAnsi="Arial"/>
                <w:sz w:val="11"/>
                <w:szCs w:val="11"/>
                <w:color w:val="auto"/>
              </w:rPr>
              <w:t>18,372</w:t>
            </w:r>
            <w:r>
              <w:rPr>
                <w:rFonts w:ascii="Arial" w:cs="Arial" w:eastAsia="Arial" w:hAnsi="Arial"/>
                <w:sz w:val="17"/>
                <w:szCs w:val="17"/>
                <w:color w:val="auto"/>
                <w:vertAlign w:val="superscript"/>
              </w:rPr>
              <w:t>(1)</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20,080</w:t>
            </w:r>
            <w:r>
              <w:rPr>
                <w:rFonts w:ascii="Arial" w:cs="Arial" w:eastAsia="Arial" w:hAnsi="Arial"/>
                <w:sz w:val="17"/>
                <w:szCs w:val="17"/>
                <w:color w:val="auto"/>
                <w:vertAlign w:val="superscript"/>
              </w:rPr>
              <w:t>(1)</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77,997</w:t>
            </w:r>
            <w:r>
              <w:rPr>
                <w:rFonts w:ascii="Arial" w:cs="Arial" w:eastAsia="Arial" w:hAnsi="Arial"/>
                <w:sz w:val="17"/>
                <w:szCs w:val="17"/>
                <w:color w:val="auto"/>
                <w:vertAlign w:val="superscript"/>
              </w:rPr>
              <w:t>(1)</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79,371</w:t>
            </w:r>
          </w:p>
        </w:tc>
        <w:tc>
          <w:tcPr>
            <w:tcW w:w="3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76,608</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62,189</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56,323</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15,041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16,832</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70,615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82,258</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71,329</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66,998</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57,069</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9,008</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(57,587)</w:t>
            </w: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(51,878)</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(92,504)</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39,655</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24,780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6,284</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24,049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(40,755)</w:t>
            </w: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18,737</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(10,246)</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110,983</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91,778</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63,353</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9.11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11.03</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10.49</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10.22</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(2)</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0.21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0.23</w:t>
            </w:r>
          </w:p>
        </w:tc>
        <w:tc>
          <w:tcPr>
            <w:tcW w:w="24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0.99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3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1.08</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realized and unrealized gain (loss) </w:t>
            </w:r>
            <w:r>
              <w:rPr>
                <w:rFonts w:ascii="Arial" w:cs="Arial" w:eastAsia="Arial" w:hAnsi="Arial"/>
                <w:sz w:val="17"/>
                <w:szCs w:val="17"/>
                <w:color w:val="auto"/>
                <w:vertAlign w:val="superscript"/>
              </w:rPr>
              <w:t>(2)</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0.13</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(0.79)</w:t>
            </w:r>
          </w:p>
        </w:tc>
        <w:tc>
          <w:tcPr>
            <w:tcW w:w="10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(0.73)</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(1.24)</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0.60</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0.38</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1"/>
                <w:szCs w:val="11"/>
                <w:color w:val="auto"/>
              </w:rPr>
              <w:t xml:space="preserve">Net increase (decrease) in net assets resulting from operations </w:t>
            </w:r>
            <w:r>
              <w:rPr>
                <w:rFonts w:ascii="Arial" w:cs="Arial" w:eastAsia="Arial" w:hAnsi="Arial"/>
                <w:sz w:val="17"/>
                <w:szCs w:val="17"/>
                <w:color w:val="auto"/>
                <w:vertAlign w:val="superscript"/>
              </w:rPr>
              <w:t>(2)</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0.34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(0.56)</w:t>
            </w: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0.26</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(0.14)</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1.20</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Distributions declared </w:t>
            </w:r>
            <w:r>
              <w:rPr>
                <w:rFonts w:ascii="Arial" w:cs="Arial" w:eastAsia="Arial" w:hAnsi="Arial"/>
                <w:sz w:val="17"/>
                <w:szCs w:val="17"/>
                <w:color w:val="auto"/>
                <w:vertAlign w:val="superscript"/>
              </w:rPr>
              <w:t>(2), (3)</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0.28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0.28</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w w:val="93"/>
              </w:rPr>
              <w:t>1,385,612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1,299,520</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1,238,936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1,368,778</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1,411,827</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1,153,327</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1,018,968</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93"/>
              </w:rPr>
              <w:t>1,325,544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1,261,884</w:t>
            </w:r>
          </w:p>
        </w:tc>
        <w:tc>
          <w:tcPr>
            <w:tcW w:w="24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1,153,680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1,299,048</w:t>
            </w:r>
          </w:p>
        </w:tc>
        <w:tc>
          <w:tcPr>
            <w:tcW w:w="3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1,318,055</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1,078,176</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990,480</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Borrowings outstanding </w:t>
            </w:r>
            <w:r>
              <w:rPr>
                <w:rFonts w:ascii="Arial" w:cs="Arial" w:eastAsia="Arial" w:hAnsi="Arial"/>
                <w:sz w:val="17"/>
                <w:szCs w:val="17"/>
                <w:color w:val="auto"/>
                <w:vertAlign w:val="superscript"/>
              </w:rPr>
              <w:t>(4)</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651,706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601,479</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559,589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602,865</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526,668</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363,900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294,452</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647,519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647,309</w:t>
            </w:r>
          </w:p>
        </w:tc>
        <w:tc>
          <w:tcPr>
            <w:tcW w:w="24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643,367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716,591</w:t>
            </w:r>
          </w:p>
        </w:tc>
        <w:tc>
          <w:tcPr>
            <w:tcW w:w="3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828,010</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697,506</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669,717</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5.51%</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(0.28)%</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36.64%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(32.51)%</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6.76%</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17.37%</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28.71%</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w:t>
            </w:r>
            <w:r>
              <w:rPr>
                <w:rFonts w:ascii="Arial" w:cs="Arial" w:eastAsia="Arial" w:hAnsi="Arial"/>
                <w:sz w:val="17"/>
                <w:szCs w:val="17"/>
                <w:color w:val="auto"/>
                <w:vertAlign w:val="superscript"/>
              </w:rPr>
              <w:t>(6)</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w:t>
            </w:r>
          </w:p>
        </w:tc>
      </w:tr>
      <w:tr>
        <w:trPr>
          <w:trHeight w:val="293"/>
        </w:trPr>
        <w:tc>
          <w:tcPr>
            <w:tcW w:w="508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22"/>
                <w:szCs w:val="22"/>
                <w:color w:val="auto"/>
                <w:vertAlign w:val="superscript"/>
              </w:rPr>
              <w:t>(6)</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11.9%</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12.2%</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11.9%</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12.1%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12.5%</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13.0%</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13.2%</w:t>
            </w:r>
          </w:p>
        </w:tc>
      </w:tr>
    </w:tbl>
    <w:p>
      <w:pPr>
        <w:spacing w:after="0" w:line="142" w:lineRule="exact"/>
        <w:rPr>
          <w:sz w:val="20"/>
          <w:szCs w:val="20"/>
          <w:color w:val="auto"/>
        </w:rPr>
      </w:pPr>
    </w:p>
    <w:p>
      <w:pPr>
        <w:ind w:left="580" w:right="180" w:hanging="572"/>
        <w:spacing w:after="0" w:line="189" w:lineRule="auto"/>
        <w:tabs>
          <w:tab w:leader="none" w:pos="58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Expenses net of base management fee and incentive fee waivers were for the three months ended December 31, 2016 and 2015, $16,828 and $18,432, respectively, and for the year ended September 30, 2016, $71,456.</w:t>
      </w:r>
    </w:p>
    <w:p>
      <w:pPr>
        <w:spacing w:after="0" w:line="1" w:lineRule="exact"/>
        <w:rPr>
          <w:rFonts w:ascii="Arial" w:cs="Arial" w:eastAsia="Arial" w:hAnsi="Arial"/>
          <w:sz w:val="21"/>
          <w:szCs w:val="21"/>
          <w:color w:val="auto"/>
          <w:vertAlign w:val="superscript"/>
        </w:rPr>
      </w:pPr>
    </w:p>
    <w:p>
      <w:pPr>
        <w:ind w:left="580" w:hanging="572"/>
        <w:spacing w:after="0" w:line="182" w:lineRule="auto"/>
        <w:tabs>
          <w:tab w:leader="none" w:pos="58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Based on the weighted average shares outstanding for the respective periods.</w:t>
      </w:r>
    </w:p>
    <w:p>
      <w:pPr>
        <w:ind w:left="580" w:right="140" w:hanging="572"/>
        <w:spacing w:after="0" w:line="182" w:lineRule="auto"/>
        <w:tabs>
          <w:tab w:leader="none" w:pos="58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The tax status of our distributions is calculated in accordance with income tax regulations, which may differ from amounts determined under GAAP and is reported on Form 1099-DIV each calendar year.</w:t>
      </w:r>
    </w:p>
    <w:p>
      <w:pPr>
        <w:ind w:left="580" w:hanging="572"/>
        <w:spacing w:after="0" w:line="182" w:lineRule="auto"/>
        <w:tabs>
          <w:tab w:leader="none" w:pos="58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At fair value, excluding our SBA debentures.</w:t>
      </w:r>
    </w:p>
    <w:p>
      <w:pPr>
        <w:ind w:left="580" w:hanging="572"/>
        <w:spacing w:after="0" w:line="182" w:lineRule="auto"/>
        <w:tabs>
          <w:tab w:leader="none" w:pos="58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periods and takes into account distributions, if any, reinvested in accordance with our dividend reinvestment plan.</w:t>
      </w:r>
    </w:p>
    <w:p>
      <w:pPr>
        <w:ind w:left="580" w:hanging="572"/>
        <w:spacing w:after="0" w:line="185" w:lineRule="auto"/>
        <w:tabs>
          <w:tab w:leader="none" w:pos="58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Unaudited,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1886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142"/>
        </w:trPr>
        <w:tc>
          <w:tcPr>
            <w:tcW w:w="10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6"/>
              </w:rPr>
              <w:t>Q1</w:t>
            </w:r>
          </w:p>
        </w:tc>
        <w:tc>
          <w:tcPr>
            <w:tcW w:w="40" w:type="dxa"/>
            <w:vAlign w:val="bottom"/>
            <w:tcBorders>
              <w:bottom w:val="single" w:sz="8" w:color="CCEEFF"/>
            </w:tcBorders>
          </w:tcPr>
          <w:p>
            <w:pPr>
              <w:spacing w:after="0"/>
              <w:rPr>
                <w:sz w:val="12"/>
                <w:szCs w:val="12"/>
                <w:color w:val="auto"/>
              </w:rPr>
            </w:pPr>
          </w:p>
        </w:tc>
      </w:tr>
      <w:tr>
        <w:trPr>
          <w:trHeight w:val="210"/>
        </w:trPr>
        <w:tc>
          <w:tcPr>
            <w:tcW w:w="10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31,869</w:t>
            </w:r>
          </w:p>
        </w:tc>
        <w:tc>
          <w:tcPr>
            <w:tcW w:w="40" w:type="dxa"/>
            <w:vAlign w:val="bottom"/>
            <w:shd w:val="clear" w:color="auto" w:fill="CCEEFF"/>
          </w:tcPr>
          <w:p>
            <w:pPr>
              <w:spacing w:after="0"/>
              <w:rPr>
                <w:sz w:val="18"/>
                <w:szCs w:val="18"/>
                <w:color w:val="auto"/>
              </w:rPr>
            </w:pP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15,041</w:t>
            </w:r>
          </w:p>
        </w:tc>
        <w:tc>
          <w:tcPr>
            <w:tcW w:w="40" w:type="dxa"/>
            <w:vAlign w:val="bottom"/>
          </w:tcPr>
          <w:p>
            <w:pPr>
              <w:spacing w:after="0"/>
              <w:rPr>
                <w:sz w:val="18"/>
                <w:szCs w:val="18"/>
                <w:color w:val="auto"/>
              </w:rPr>
            </w:pPr>
          </w:p>
        </w:tc>
      </w:t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40" w:type="dxa"/>
            <w:vAlign w:val="bottom"/>
            <w:shd w:val="clear" w:color="auto" w:fill="CCEEFF"/>
          </w:tcPr>
          <w:p>
            <w:pPr>
              <w:spacing w:after="0"/>
              <w:rPr>
                <w:sz w:val="18"/>
                <w:szCs w:val="18"/>
                <w:color w:val="auto"/>
              </w:rPr>
            </w:pP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24,049</w:t>
            </w:r>
          </w:p>
        </w:tc>
        <w:tc>
          <w:tcPr>
            <w:tcW w:w="40" w:type="dxa"/>
            <w:vAlign w:val="bottom"/>
          </w:tcPr>
          <w:p>
            <w:pPr>
              <w:spacing w:after="0"/>
              <w:rPr>
                <w:sz w:val="18"/>
                <w:szCs w:val="18"/>
                <w:color w:val="auto"/>
              </w:rPr>
            </w:pPr>
          </w:p>
        </w:tc>
      </w:t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 w:type="dxa"/>
            <w:vAlign w:val="bottom"/>
            <w:shd w:val="clear" w:color="auto" w:fill="CCEEFF"/>
          </w:tcPr>
          <w:p>
            <w:pPr>
              <w:spacing w:after="0"/>
              <w:rPr>
                <w:sz w:val="18"/>
                <w:szCs w:val="18"/>
                <w:color w:val="auto"/>
              </w:rPr>
            </w:pP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18"/>
                <w:szCs w:val="18"/>
                <w:color w:val="auto"/>
              </w:rPr>
            </w:pPr>
          </w:p>
        </w:tc>
      </w:t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0" w:type="dxa"/>
            <w:vAlign w:val="bottom"/>
            <w:shd w:val="clear" w:color="auto" w:fill="CCEEFF"/>
          </w:tcPr>
          <w:p>
            <w:pPr>
              <w:spacing w:after="0"/>
              <w:rPr>
                <w:sz w:val="18"/>
                <w:szCs w:val="18"/>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Q4</w:t>
            </w: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Q3</w:t>
            </w:r>
          </w:p>
        </w:tc>
        <w:tc>
          <w:tcPr>
            <w:tcW w:w="16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b w:val="1"/>
                <w:bCs w:val="1"/>
                <w:color w:val="auto"/>
              </w:rPr>
              <w:t>Q1</w:t>
            </w:r>
          </w:p>
        </w:tc>
        <w:tc>
          <w:tcPr>
            <w:tcW w:w="100" w:type="dxa"/>
            <w:vAlign w:val="bottom"/>
          </w:tcPr>
          <w:p>
            <w:pPr>
              <w:spacing w:after="0"/>
              <w:rPr>
                <w:sz w:val="18"/>
                <w:szCs w:val="18"/>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15,157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17,794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20,832</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16,832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12,552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(16,882)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(57,587)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27,709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27,833</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(40,755)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net assets resulting from operations per common share *</w:t>
            </w: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9.05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Q4</w:t>
            </w:r>
          </w:p>
        </w:tc>
        <w:tc>
          <w:tcPr>
            <w:tcW w:w="16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Q3</w:t>
            </w:r>
          </w:p>
        </w:tc>
        <w:tc>
          <w:tcPr>
            <w:tcW w:w="16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b w:val="1"/>
                <w:bCs w:val="1"/>
                <w:color w:val="auto"/>
              </w:rPr>
              <w:t>Q1</w:t>
            </w:r>
          </w:p>
        </w:tc>
        <w:tc>
          <w:tcPr>
            <w:tcW w:w="100" w:type="dxa"/>
            <w:vAlign w:val="bottom"/>
          </w:tcPr>
          <w:p>
            <w:pPr>
              <w:spacing w:after="0"/>
              <w:rPr>
                <w:sz w:val="18"/>
                <w:szCs w:val="18"/>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20,031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20,654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22,096</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19,477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(18,646)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(15,718)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(14,717)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(43,423)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1,385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4,936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7,379</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(23,946)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net assets resulting from operations per common share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9.82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63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5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 regions.</w:t>
      </w:r>
    </w:p>
    <w:p>
      <w:pPr>
        <w:spacing w:after="0" w:line="39"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62"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liabilities, which we do not fair value, are capitalized and accreted or amortized using the effective interest method as interest income or, in the case of deferred financing cost, as interest expenses. We record prepayment penalties on loans and debt securities as income. Dividend income, if any, is recognized on an accrual basis on the ex-dividend date to the extent that we expect to collect such amounts.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660" w:right="200" w:hanging="314"/>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the 1958 Act and applicable federal and state securities laws; and</w:t>
      </w:r>
    </w:p>
    <w:p>
      <w:pPr>
        <w:spacing w:after="0" w:line="113" w:lineRule="exact"/>
        <w:rPr>
          <w:rFonts w:ascii="Arial" w:cs="Arial" w:eastAsia="Arial" w:hAnsi="Arial"/>
          <w:sz w:val="16"/>
          <w:szCs w:val="16"/>
          <w:color w:val="auto"/>
        </w:rPr>
      </w:pPr>
    </w:p>
    <w:p>
      <w:pPr>
        <w:ind w:left="660" w:right="20" w:hanging="314"/>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“Total Estimated Annual Expenses” as a percentage of average total assets:</w:t>
      </w:r>
    </w:p>
    <w:p>
      <w:pPr>
        <w:spacing w:after="0" w:line="107"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80" w:type="dxa"/>
            <w:vAlign w:val="bottom"/>
          </w:tcPr>
          <w:p>
            <w:pPr>
              <w:ind w:left="118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1"/>
                <w:szCs w:val="11"/>
                <w:b w:val="1"/>
                <w:bCs w:val="1"/>
                <w:color w:val="auto"/>
                <w:w w:val="91"/>
              </w:rPr>
              <w:t>(1)</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1.68%</w:t>
            </w:r>
            <w:r>
              <w:rPr>
                <w:rFonts w:ascii="Arial" w:cs="Arial" w:eastAsia="Arial" w:hAnsi="Arial"/>
                <w:sz w:val="11"/>
                <w:szCs w:val="11"/>
                <w:color w:val="auto"/>
                <w:w w:val="96"/>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90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0.92%</w:t>
            </w:r>
            <w:r>
              <w:rPr>
                <w:rFonts w:ascii="Arial" w:cs="Arial" w:eastAsia="Arial" w:hAnsi="Arial"/>
                <w:sz w:val="11"/>
                <w:szCs w:val="11"/>
                <w:color w:val="auto"/>
                <w:w w:val="96"/>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2.19%</w:t>
            </w:r>
            <w:r>
              <w:rPr>
                <w:rFonts w:ascii="Arial" w:cs="Arial" w:eastAsia="Arial" w:hAnsi="Arial"/>
                <w:sz w:val="11"/>
                <w:szCs w:val="11"/>
                <w:color w:val="auto"/>
                <w:w w:val="96"/>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0.65%</w:t>
            </w:r>
            <w:r>
              <w:rPr>
                <w:rFonts w:ascii="Arial" w:cs="Arial" w:eastAsia="Arial" w:hAnsi="Arial"/>
                <w:sz w:val="11"/>
                <w:szCs w:val="11"/>
                <w:color w:val="auto"/>
                <w:w w:val="96"/>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5.44%</w:t>
            </w:r>
            <w:r>
              <w:rPr>
                <w:rFonts w:ascii="Arial" w:cs="Arial" w:eastAsia="Arial" w:hAnsi="Arial"/>
                <w:sz w:val="11"/>
                <w:szCs w:val="11"/>
                <w:color w:val="auto"/>
                <w:w w:val="96"/>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Total Assets equals average adjusted gross assets as of December 31, 2016.</w:t>
      </w:r>
    </w:p>
    <w:p>
      <w:pPr>
        <w:spacing w:after="0" w:line="68" w:lineRule="exact"/>
        <w:rPr>
          <w:rFonts w:ascii="Arial" w:cs="Arial" w:eastAsia="Arial" w:hAnsi="Arial"/>
          <w:sz w:val="14"/>
          <w:szCs w:val="14"/>
          <w:color w:val="auto"/>
        </w:rPr>
      </w:pPr>
    </w:p>
    <w:p>
      <w:pPr>
        <w:ind w:left="340" w:right="80" w:hanging="332"/>
        <w:spacing w:after="0" w:line="233"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Since December 31, 2015 and through December 31, 2017, the Investment Adviser has voluntarily agreed, in consultation with the board of directors, to waive 16% of base management fees, correlated to our 16% energy cost exposure (oil &amp; gas and energy &amp; utilities industries) at cost as of December 31, 2015. See “Certain Relationships and Transactions—Investment Management Agreement” for more information.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65"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December 31, 2016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years, if any, may be substantially different than the fee earned during the three months ended December 31, 2016. Since December 31, 2015 and through December 31, 2017, the Investment Adviser has voluntarily agreed, in consultation with the board of directors, to waive 16% of base management fees, correlated to our 16% energy cost exposure (oil &amp; gas and energy &amp; utilities industries) at cost as of December 31, 2015. For the three months ended December 31, 2016, the incentive fee ratio before the waiver was 1.10%. For more detailed information about the incentive fee, please see “Certain Relationships and Transactions—Investment Management Agreement” for more information.</w:t>
      </w:r>
    </w:p>
    <w:p>
      <w:pPr>
        <w:spacing w:after="0" w:line="15" w:lineRule="exact"/>
        <w:rPr>
          <w:rFonts w:ascii="Arial" w:cs="Arial" w:eastAsia="Arial" w:hAnsi="Arial"/>
          <w:sz w:val="12"/>
          <w:szCs w:val="12"/>
          <w:color w:val="auto"/>
        </w:rPr>
      </w:pPr>
    </w:p>
    <w:p>
      <w:pPr>
        <w:ind w:left="340" w:right="60" w:hanging="332"/>
        <w:spacing w:after="0" w:line="266"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As of December 31, 2016, we had $396.9 million of unused borrowing capacity, subject to maintenance of the applicable total assets to debt ratio, under the 1940 Act. As of such date, we had $148.1 million in borrowings outstanding under our $545.0 million Credit Facility, $71.3 million in aggregate principal of 2025 Notes at an annual interest rate of 6.25% and $250.0 million in aggregate principal of 2019 Notes at an annual interest rate of 4.50%. As of December 31, 2016, our SBIC Funds had debenture commitments from the SBA in the amount of $225.0 million had $197.5 million outstanding with a weighted average interest rate of 3.44%, exclusive of the 3.43% of upfront fees, and had $27.5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incurred for the quarter ended December 31, 2016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67" w:lineRule="exact"/>
        <w:rPr>
          <w:rFonts w:ascii="Arial" w:cs="Arial" w:eastAsia="Arial" w:hAnsi="Arial"/>
          <w:sz w:val="12"/>
          <w:szCs w:val="12"/>
          <w:color w:val="auto"/>
        </w:rPr>
      </w:pPr>
    </w:p>
    <w:p>
      <w:pPr>
        <w:ind w:left="340" w:right="180" w:hanging="332"/>
        <w:spacing w:after="0" w:line="233"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30"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December 31, 2016.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As of December 31, 2016, our portfolio totaled $1,325.5 million and consisted of $522.2 million of senior secured debt, $442.9 million of second lien secured debt, $206.7 million of subordinated debt and $153.7 million of preferred and common equity.Our debt portfolio consisted of 81% variable-rate investments (including 74% with a floor) and 19% fixed-rate investments. As of December 31, 2016, we had two companies on non-accrual, representing 1.1% and 0.3% of our overall portfolio on a cost and fair value basis, respectively. Overall, the portfolio had net unrealized depreciation of $74.9 million as of December 31, 2016. Our overall portfolio consisted of 60 companies with an average investment size of $22.1 million, had a weighted average yield on interest bearing debt investments of 11.9% and was invested 39% in senior secured debt, 33% in second lien secured debt, 16% in subordinated debt and 12% in preferred and common equity.</w:t>
      </w:r>
    </w:p>
    <w:p>
      <w:pPr>
        <w:spacing w:after="0" w:line="66"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with a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pacing w:after="0" w:line="66" w:lineRule="exact"/>
        <w:rPr>
          <w:sz w:val="20"/>
          <w:szCs w:val="20"/>
          <w:color w:val="auto"/>
        </w:rPr>
      </w:pPr>
    </w:p>
    <w:p>
      <w:pPr>
        <w:ind w:right="100" w:firstLine="571"/>
        <w:spacing w:after="0" w:line="253" w:lineRule="auto"/>
        <w:rPr>
          <w:sz w:val="20"/>
          <w:szCs w:val="20"/>
          <w:color w:val="auto"/>
        </w:rPr>
      </w:pPr>
      <w:r>
        <w:rPr>
          <w:rFonts w:ascii="Arial" w:cs="Arial" w:eastAsia="Arial" w:hAnsi="Arial"/>
          <w:sz w:val="18"/>
          <w:szCs w:val="18"/>
          <w:color w:val="auto"/>
        </w:rPr>
        <w:t>As of December 31, 2015, our portfolio totaled $1,261.9 million and consisted of $477.2 million of senior secured debt, $481.6 million of second lien secured debt, $173.1 million of subordinated debt and $130.0 million of preferred and common equity. Our debt portfolio consisted of 75% variable-rate investments (including 69% with a floor) and 25% fixed-rate investments. As of December 31, 2015, we had three companies on non-accrual, representing 5.4% and 1.2% of our overall portfolio on a cost and fair value basis, respectively. Overall, the portfolio had net unrealized depreciation of $165.1 million as of December 31, 2015. Our overall portfolio consisted of 62 companies with an average investment size of $20.4 million, had a weighted average yield on debt investments of 12.2% and was invested 38% in senior secured debt, 38% in second lien secured debt, 14% in subordinated debt and 10% in preferred and common equity.</w:t>
      </w:r>
    </w:p>
    <w:p>
      <w:pPr>
        <w:spacing w:after="0" w:line="66"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interest bearing debt investments of 12.1% and was invested 31% in senior secured debt, 47% in second lien secured debt, 14% in subordinated debt and 8% in preferred and common equity.</w:t>
      </w:r>
    </w:p>
    <w:p>
      <w:pPr>
        <w:spacing w:after="0" w:line="66"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For the three months ended December 31, 2016, we invested $229.2 million in nine new and seven existing portfolio companies with a weighted average yield on debt investments of 11.2%. Sales and repayments of investments for the three months ended December 31, 2016 totaled $64.2 million.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For the three months ended December 31, 2015, we invested $130.3 million in four new and six existing portfolio companies with a weighted average yield on debt investments of 11.9%. Sales and repayments of investments for the three months ended December 31, 2015 totaled $108.1 million.</w:t>
      </w:r>
    </w:p>
    <w:p>
      <w:pPr>
        <w:spacing w:after="0" w:line="4" w:lineRule="exact"/>
        <w:rPr>
          <w:sz w:val="20"/>
          <w:szCs w:val="20"/>
          <w:color w:val="auto"/>
        </w:rPr>
      </w:pPr>
    </w:p>
    <w:p>
      <w:pPr>
        <w:ind w:right="560" w:firstLine="571"/>
        <w:spacing w:after="0" w:line="357" w:lineRule="auto"/>
        <w:rPr>
          <w:sz w:val="20"/>
          <w:szCs w:val="20"/>
          <w:color w:val="auto"/>
        </w:rPr>
      </w:pPr>
      <w:r>
        <w:rPr>
          <w:rFonts w:ascii="Arial" w:cs="Arial" w:eastAsia="Arial" w:hAnsi="Arial"/>
          <w:sz w:val="15"/>
          <w:szCs w:val="15"/>
          <w:color w:val="auto"/>
        </w:rPr>
        <w:t>For the fiscal year ended September 30, 2016, we invested $330.6 million of investments in four new and 25 existing portfolio companies with a weighted average yield on debt investments of 11.9%. Sales and repayments of investments for the year ended September 30, 2016 totaled $439.7 million.</w:t>
      </w:r>
    </w:p>
    <w:p>
      <w:pPr>
        <w:ind w:right="120" w:firstLine="571"/>
        <w:spacing w:after="0" w:line="332" w:lineRule="auto"/>
        <w:rPr>
          <w:sz w:val="20"/>
          <w:szCs w:val="20"/>
          <w:color w:val="auto"/>
        </w:rPr>
      </w:pPr>
      <w:r>
        <w:rPr>
          <w:rFonts w:ascii="Arial" w:cs="Arial" w:eastAsia="Arial" w:hAnsi="Arial"/>
          <w:sz w:val="16"/>
          <w:szCs w:val="16"/>
          <w:color w:val="auto"/>
        </w:rPr>
        <w:t>For the fiscal year ended September 30, 2015, we invested $461.3 million of investments in 11 new and 30 existing portfolio companies with a weighted average yield on debt investments of 12.1%. Sales and repayments of investments for the year ended September 30, 2015 totaled $390.5 million.</w:t>
      </w:r>
    </w:p>
    <w:p>
      <w:pPr>
        <w:spacing w:after="0" w:line="4"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2014, we invested $795.1 million of investments in 21 new and 30 existing portfolio companies with a weighted average yield on debt investments of 12.4%. Sales and repayments of investments for the year ended September 30, 2014 totaled $625.6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08"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9" w:lineRule="exact"/>
        <w:rPr>
          <w:sz w:val="20"/>
          <w:szCs w:val="20"/>
          <w:color w:val="auto"/>
        </w:rPr>
      </w:pPr>
    </w:p>
    <w:p>
      <w:pPr>
        <w:ind w:left="800" w:right="56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6"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220" w:right="480" w:hanging="742"/>
        <w:spacing w:after="0" w:line="259" w:lineRule="auto"/>
        <w:tabs>
          <w:tab w:leader="none" w:pos="120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220" w:right="520" w:hanging="742"/>
        <w:spacing w:after="0" w:line="268" w:lineRule="auto"/>
        <w:tabs>
          <w:tab w:leader="none" w:pos="120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incurred $0 relating to debt issuance costs during each of the three months ended December 31, 2016 and 2015 and $0, $0 and $8.3 million relating to debt issuance costs for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months ended December 31, 2016 and 2015, our Credit Facility and our Notes had a net change in unrealized depreciation of $5.8 million and $7.7 million, respectively. For the fiscal years ended September 30, 2016, 2015 and 2014, our Credit Facility and our Notes had a net change in unrealized depreciation (appreciation) of $3.7 million, $1.7 million and $(3.0) million, respectively. As of December 31, 2016, September 30, 2016 and 2015, net unrealized depreciation on our Credit Facility and our Notes totaled $11.1 million, $5.2 million and $1.5 million, respectively. We use a nationally recognized independent valuation service to fair value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our Notes during the reporting period, including any reversal of previously recorded unrealized appreciation or depreciation, when gains or losses are realized.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books and records are maintained in U.S. dollars. Any foreign currency amounts are translated into U.S. dollars on the following basis:</w:t>
      </w:r>
    </w:p>
    <w:p>
      <w:pPr>
        <w:spacing w:after="0" w:line="113" w:lineRule="exact"/>
        <w:rPr>
          <w:sz w:val="20"/>
          <w:szCs w:val="20"/>
          <w:color w:val="auto"/>
        </w:rPr>
      </w:pPr>
    </w:p>
    <w:p>
      <w:pPr>
        <w:ind w:left="800" w:hanging="225"/>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13" w:lineRule="exact"/>
        <w:rPr>
          <w:rFonts w:ascii="Arial" w:cs="Arial" w:eastAsia="Arial" w:hAnsi="Arial"/>
          <w:sz w:val="16"/>
          <w:szCs w:val="16"/>
          <w:color w:val="auto"/>
        </w:rPr>
      </w:pPr>
    </w:p>
    <w:p>
      <w:pPr>
        <w:ind w:left="800" w:hanging="225"/>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113"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jc w:val="both"/>
        <w:ind w:right="440" w:firstLine="571"/>
        <w:spacing w:after="0" w:line="256"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ability to be treated as a RIC for federal income tax purposes, substantially all of this income must be paid out to stockholders in the form of dividends for U.S. federal income tax purposes, even though we may not have collected any cash with respect to interest on PIK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jc w:val="both"/>
        <w:ind w:right="80" w:firstLine="436"/>
        <w:spacing w:after="0" w:line="294"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source-of-income and quarterly asset diversification requirements. We also must annually distribute dividends for U.S. federal income tax purposes to our stockholders out of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1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32"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three months ended December 31, 2016 and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Investment income for the three months ended December 31, 2016 was $31.9 million and was attributable to $13.2 million from senior secured debt,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$12.7 million from second lien secured debt, $4.9 million from subordinated debt and $1.1 million from preferred and common equity, respectively.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for the three months ended December 31, 2015 was $35.3 million and was attributable to $12.9 million from senior secured debt, $17.4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 secured debt and $5.0 million from subordinated debt, respectively. The decrease in investment income compared with the same period in the prior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was primarily due to a lower yielding portfolio.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Net expenses for the three months ended December 31, 2016 totaled $16.8 million. Base management fee for the same period totaled $5.3 million (after a base management fee waiver of $1.0 million), incentive fee totaled $2.9 million (after an incentive fee waiver of $0.5 million), debt related interest and expenses totaled $6.7 million, general and administrative expenses totaled $1.5 million and provision for taxes totaled $0.4 million. Net expenses for the three months ended December 31, 2015 totaled $18.4 million. Base management fee for the same period totaled $5.5 million (after a base management fee waiver of $1.0 million), incentive fee totaled $3.2 million (after an incentive fee waiver of $0.6 million), debt related interest and expenses totaled $6.7 million, general and administrative expenses totaled $1.7 million and provision for taxes totaled $1.3 million. The decrease in expenses compared with the same period in the prior year was primarily due to lower taxes.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Net investment income totaled $15.0 million, or $0.21 per share, for the three months ended December 31, 2016, and $16.8 million, or $0.23 per share, for the three months ended December 31, 2015. The decrease in net investment income compared to the same period in the prior year was primarily due to the lower yielding portfolio.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Sales and repayments of investments for the three months ended December 31, 2016 totaled $64.2 million and realized losses totaled $22.2 million. Sales and repayments of investments totaled $108.1 million and realized losses totaled $25.4 million for the three months ended December 31, 2015. The change in realized gains/losses was primarily due to changes in the market conditions of our investments and the values at which they were realized.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our Notes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the three months ended December 31, 2016 and 2015, we reported net unrealized appreciation (depreciation) on investments of $25.4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$(39.9) million, respectively. As of December 31, 2016 and September 30, 2016, our net unrealized depreciation on investments totaled $74.9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$100.3 million, respectively. The net change in unrealized appreciation (depreciation) on our investments was driven primarily by changes in the capital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the financial performance of certain portfolio companies and the reversal of unrealized depreciation (appreciation) of investments that were realized.</w:t>
      </w:r>
    </w:p>
    <w:p>
      <w:pPr>
        <w:spacing w:after="0" w:line="107"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For the three months ended December 31, 2016 and 2015, we reported net unrealized depreciation on our Credit Facility and our Notes of $5.8 million and $7.7 million, respectively. The change compared with the same period in the prior year was primarily due to changes in the capital markets.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right="360" w:firstLine="571"/>
        <w:spacing w:after="0" w:line="256" w:lineRule="auto"/>
        <w:rPr>
          <w:sz w:val="20"/>
          <w:szCs w:val="20"/>
          <w:color w:val="auto"/>
        </w:rPr>
      </w:pPr>
      <w:r>
        <w:rPr>
          <w:rFonts w:ascii="Arial" w:cs="Arial" w:eastAsia="Arial" w:hAnsi="Arial"/>
          <w:sz w:val="18"/>
          <w:szCs w:val="18"/>
          <w:color w:val="auto"/>
        </w:rPr>
        <w:t>Net change in net assets resulting from operations totaled $24.0 million, or $0.34 per share, for the three months ended December 31, 2016. This compares to a net change in net assets resulting from operations of $(40.8) million, or $(0.56) per share, for the three months ended December 31, 2015. The increase in the net change in net assets from operations compared with the same period in the prior year was primarily due to the continued growth of our portfolio and appreciation of our investments.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our results of operations for the fiscal years ended September 30, 2016, 2015 and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2016 was $142.1 million and was attributable to $59.9 million from senior secured debt, $60.5 million from second lien secured debt, $20.9 million from subordinated debt and $0.8 million from preferred and common equity. The decrease in investment income over the prior year was primarily due to a reduction of our portfolio at cost.</w:t>
      </w:r>
    </w:p>
    <w:p>
      <w:pPr>
        <w:spacing w:after="0" w:line="59"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2015 was $161.6 million and was attributable to $54.3 million from senior secured debt, $71.1 million from second lien secured debt, $29.8 million from subordinated debt and $6.4 million from preferred and common equity. The increase in investment income over the prior year was primarily due to the growth of our portfolio at cost.</w:t>
      </w:r>
    </w:p>
    <w:p>
      <w:pPr>
        <w:spacing w:after="0" w:line="59"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Investment income for the fiscal year ended September 30, 2014 was $147.9 million and was attributable to $43.0 million from senior secured debt, $55.2 million from second lien secured debt, $46.4 million from subordinated debt and $3.3 million from preferred and common equity.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Net expenses for the fiscal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 The decrease in expenses over the prior year was primarily due to the Management Fees waiver and a smaller portfolio size partially offset by higher taxes.</w:t>
      </w:r>
    </w:p>
    <w:p>
      <w:pPr>
        <w:spacing w:after="0" w:line="32" w:lineRule="exact"/>
        <w:rPr>
          <w:sz w:val="20"/>
          <w:szCs w:val="20"/>
          <w:color w:val="auto"/>
        </w:rPr>
      </w:pPr>
    </w:p>
    <w:p>
      <w:pPr>
        <w:ind w:right="100" w:firstLine="571"/>
        <w:spacing w:after="0" w:line="335" w:lineRule="auto"/>
        <w:rPr>
          <w:sz w:val="20"/>
          <w:szCs w:val="20"/>
          <w:color w:val="auto"/>
        </w:rPr>
      </w:pPr>
      <w:r>
        <w:rPr>
          <w:rFonts w:ascii="Arial" w:cs="Arial" w:eastAsia="Arial" w:hAnsi="Arial"/>
          <w:sz w:val="15"/>
          <w:szCs w:val="15"/>
          <w:color w:val="auto"/>
        </w:rPr>
        <w:t>Expenses for the fiscal year ended September 30, 2015 totaled $79.4 million. Base management fee for the same period totaled $26.7 million, incentive fee totaled $20.6 million, debt related interest and expenses totaled $26.4 million and general and administrative expenses totaled $5.7 million. The increase in expenses over the prior year was primarily due to increased borrowing costs, base management fee and incentive fee as a result from the growth of our portfolio.</w:t>
      </w:r>
    </w:p>
    <w:p>
      <w:pPr>
        <w:spacing w:after="0" w:line="7"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Expenses for the fiscal year ended September 30, 2014 totaled $76.6 million. Base management fee for the same period totaled $24.3 million, incentive fee totaled $17.8 million, debt related interest and expenses totaled $28.6 million (including $8.3 million associated with the 2019 Notes and expansion of our Credit Facility), general and administrative expenses totaled $5.8 million and taxes of $0.1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Net investment income totaled $70.6 million or $0.99 per share, $82.3 million or $1.10 per share and $71.3 million or $1.06 per share for the fiscal years ended September 30, 2016, 2015 and 2014, respectively. The decrease in net investment income per share for fiscal year ended September 30, 2016 compared to the prior year was primarily due to the repayments of higher yielding investments.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Sales and repayments of investments for the fiscal years ended September 30, 2016, 2015 and 2014 totaled $439.7 million, $390.5 million and $625.6 million, respectively, and net realized (losses) gains totaled $(80.5) million, $30.1 million and $30.2 million, respectively. The increase in realized losses for fiscal year ended September 30, 2016 compared to the prior year was primarily due to certain portfolio companies sales or restructurings.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our Notes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Net unrealized appreciation (depreciation) on investments totaled $24.9 million, $(124.3) million and $12.5 million for the fiscal years ended September 30, 2016, 2015 and 2014, respectively. Net unrealized depreciation (appreciation) on our Credit Facility and our Notes totaled $3.7 million, $1.7 million and $(3.0) million for the same periods,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 or restructured. The change in unrealized (appreciation) depreciation on the Credit Facility and our Notes for fiscal year ended September 30, 2016 compared to the prior year was due to the fluctuating interest rate environment.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Net change in net assets resulting from operations totaled $18.7 million or $0.26 per share, $(10.2) million or $(0.14) per share and $111.0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$1.66 per share for the fiscal years ended September 30, 2016, 2015 and 2014, respectively. The increase in the net change in net assets from operations for fiscal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year ended September 30, 2016 compared to the prior year was primarily due to the change in portfolio investment values offset by higher net investment income.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20" w:firstLine="571"/>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13"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As of December 31, 2016, we had a $545 million multi-currency Credit Facility with certain lenders and SunTrust Bank, acting as administrative agent, and JPMorgan Chase Bank, N.A., acting as syndication agent for the lenders. As of December 31, 2016, September 30, 2016 and 2015, there was $148.1 million, $50.3 million and $136.9 million (including a temporary draw of $30.0 million), respectively, in outstanding borrowings under the Credit Facility. The Credit Facility had a weighted average interest rate of 2.63%, 2.76% and 3.07% as of December 31, 2016, September 30, 2016 and 2015, respectively, exclusive of the fee on undrawn commitments. The annualized weighted average cost of debt for the three months ended December 31, 2016 and 2015, inclusive of the fee on the undrawn commitment on the Credit Facility and upfront fees on SBA debentures, was 4.51% and 4.50%, respectively. The annualized weighted average cost of debt for the years ended September 30, 2016, 2015 and 2014, inclusive of the fee on the undrawn commitment on the Credit Facility and upfront fees on SBA debentures was 4.35%, 4.54% and 3.85%, respectively. The Credit Facility is a five-year revolving facility with a stated maturity date of June 25, 2019, a one-year term-out period following its fourth year and pricing is set at 225 basis points over LIBOR. As of December 31, 2016, September 30, 2016 and 2015, we had $396.9 million, $494.7 million and $408.1 million of unused borrowing capacity under our Credit Facility, respectively, subject to the regulatory restrictions. The Credit Facility is secured by substantially all of our assets excluding assets held by our SBIC Funds.</w:t>
      </w:r>
    </w:p>
    <w:p>
      <w:pPr>
        <w:spacing w:after="0" w:line="127"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For a complete list of covenants contained in the Credit Facility, see our Form 8-K filed on June 30, 2014 and the Credit Facility agreement filed as Exhibit 99.2 thereto and incorporated by reference herein. As of December 31, 2016, we were in compliance with the terms of our Credit Facility.</w:t>
      </w:r>
    </w:p>
    <w:p>
      <w:pPr>
        <w:spacing w:after="0" w:line="8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base indenture filed as Exhibit (d)(8) to our post effective amendment filed on January 22, 2013, or the Base Indenture, and the supplemental indenture filed as Exhibit (d)(11) in our post-effective amendment filed on September 23, 2014, for more information.</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January 2013, we issued $71.3 million in aggregate principal amount of 2025 Notes. Interest on the 2025 Notes is paid quarterly on</w:t>
      </w:r>
    </w:p>
    <w:p>
      <w:pPr>
        <w:spacing w:after="0" w:line="15"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Please see our Base Indenture and the supplemental indenture filed as Exhibit (d)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 to our post-effective amendment filed on January 22, 2013 for more information.</w:t>
      </w:r>
    </w:p>
    <w:p>
      <w:pPr>
        <w:spacing w:after="0" w:line="165"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44"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On May 6, 2015, we announced a share repurchase plan which allowed us to repurchase up to $35.0 million of our outstanding common stock in the open market at prices below our net asset value as reported in our then most recently published consolidated financial statements. The program expired on May 6, 2016. For the three months ended December 31, 2016 and the fiscal years ended September 30, 2016 and 2015, we repurchased zero, 1.9 million and 2.1 million shares of common stock in open market transactions for an aggregate cost (including transaction costs) of zero, $12.2 and $17.9 million, respectively. For the fiscal year ended September 30, 2014, we did not have a repurchase plan in place.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For the three months ended December 31, 2016 and the fiscal years ended September 30, 2016 and 2015, we did not complete any equity offerings. This compares to the sale of 8.5 million shares of our common stock, resulting in net proceeds of $95.4 million for the fiscal year ended September 30, 2014.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16"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 million as of December 31, 2016. We have funded SBIC II with $52.5 million of equity capital and it had SBA debentures outstanding of $47.5 million and commitments from the SBA for another $27.5 million of debentures as of December 31, 2016. As of December 31, 2016, 5.4% and 3.8% of our assets were invested in SBIC LP and SBIC II,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a maximum of $150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As of December 31, 2016, September 30, 2016 and 2015, our SBIC Funds had $225.0 million in debt commitments, of which $197.5 million, $197.5 million and $150.0 million was drawn, respectively. As of December 31, 2016, September 30, 2016 and 2015, the unamortized fees on the SBA debentures was $4.1 million $4.3 million and $3.7 million, respectively. The SBA debentures’ upfront fees of 3.43% consist of a commitment fee of 1.00% and an issuance discount of 2.43%, which are being amortized.</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fixed-rate SBA debentures as of December 31, 2016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As of December 31, 2016</w:t>
            </w:r>
          </w:p>
        </w:tc>
        <w:tc>
          <w:tcPr>
            <w:tcW w:w="6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As of September 30,</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Fixed All-in</w:t>
            </w:r>
          </w:p>
        </w:tc>
        <w:tc>
          <w:tcPr>
            <w:tcW w:w="14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86"/>
              </w:rPr>
              <w:t>and September 30, 2016</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375"/>
              <w:spacing w:after="0" w:line="13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Issuance Dates</w:t>
            </w:r>
          </w:p>
        </w:tc>
        <w:tc>
          <w:tcPr>
            <w:tcW w:w="2520" w:type="dxa"/>
            <w:vAlign w:val="bottom"/>
          </w:tcPr>
          <w:p>
            <w:pPr>
              <w:spacing w:after="0"/>
              <w:rPr>
                <w:sz w:val="14"/>
                <w:szCs w:val="14"/>
                <w:color w:val="auto"/>
              </w:rPr>
            </w:pPr>
          </w:p>
        </w:tc>
        <w:tc>
          <w:tcPr>
            <w:tcW w:w="2000" w:type="dxa"/>
            <w:vAlign w:val="bottom"/>
            <w:gridSpan w:val="2"/>
          </w:tcPr>
          <w:p>
            <w:pPr>
              <w:ind w:left="420"/>
              <w:spacing w:after="0"/>
              <w:rPr>
                <w:sz w:val="20"/>
                <w:szCs w:val="20"/>
                <w:color w:val="auto"/>
              </w:rPr>
            </w:pPr>
            <w:r>
              <w:rPr>
                <w:rFonts w:ascii="Arial" w:cs="Arial" w:eastAsia="Arial" w:hAnsi="Arial"/>
                <w:sz w:val="14"/>
                <w:szCs w:val="14"/>
                <w:b w:val="1"/>
                <w:bCs w:val="1"/>
                <w:color w:val="auto"/>
              </w:rPr>
              <w:t>Maturity</w:t>
            </w:r>
          </w:p>
        </w:tc>
        <w:tc>
          <w:tcPr>
            <w:tcW w:w="176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rPr>
              <w:t>coupon rate</w:t>
            </w:r>
            <w:r>
              <w:rPr>
                <w:rFonts w:ascii="Arial" w:cs="Arial" w:eastAsia="Arial" w:hAnsi="Arial"/>
                <w:sz w:val="18"/>
                <w:szCs w:val="18"/>
                <w:b w:val="1"/>
                <w:bCs w:val="1"/>
                <w:color w:val="auto"/>
                <w:vertAlign w:val="superscript"/>
              </w:rPr>
              <w:t>(1), (2)</w:t>
            </w:r>
          </w:p>
        </w:tc>
        <w:tc>
          <w:tcPr>
            <w:tcW w:w="160" w:type="dxa"/>
            <w:vAlign w:val="bottom"/>
          </w:tcPr>
          <w:p>
            <w:pPr>
              <w:spacing w:after="0"/>
              <w:rPr>
                <w:sz w:val="14"/>
                <w:szCs w:val="14"/>
                <w:color w:val="auto"/>
              </w:rPr>
            </w:pPr>
          </w:p>
        </w:tc>
        <w:tc>
          <w:tcPr>
            <w:tcW w:w="1280" w:type="dxa"/>
            <w:vAlign w:val="bottom"/>
          </w:tcPr>
          <w:p>
            <w:pPr>
              <w:jc w:val="right"/>
              <w:ind w:right="115"/>
              <w:spacing w:after="0"/>
              <w:rPr>
                <w:sz w:val="20"/>
                <w:szCs w:val="20"/>
                <w:color w:val="auto"/>
              </w:rPr>
            </w:pPr>
            <w:r>
              <w:rPr>
                <w:rFonts w:ascii="Arial" w:cs="Arial" w:eastAsia="Arial" w:hAnsi="Arial"/>
                <w:sz w:val="14"/>
                <w:szCs w:val="14"/>
                <w:b w:val="1"/>
                <w:bCs w:val="1"/>
                <w:color w:val="auto"/>
                <w:w w:val="90"/>
              </w:rPr>
              <w:t>Principal Balance</w:t>
            </w:r>
          </w:p>
        </w:tc>
        <w:tc>
          <w:tcPr>
            <w:tcW w:w="62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3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gridSpan w:val="2"/>
            <w:vMerge w:val="continue"/>
            <w:shd w:val="clear" w:color="auto" w:fill="CCEEFF"/>
          </w:tcPr>
          <w:p>
            <w:pPr>
              <w:spacing w:after="0"/>
              <w:rPr>
                <w:sz w:val="17"/>
                <w:szCs w:val="17"/>
                <w:color w:val="auto"/>
              </w:rPr>
            </w:pP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September 1, 2020</w:t>
            </w:r>
          </w:p>
        </w:tc>
        <w:tc>
          <w:tcPr>
            <w:tcW w:w="620" w:type="dxa"/>
            <w:vAlign w:val="bottom"/>
            <w:vMerge w:val="continue"/>
            <w:shd w:val="clear" w:color="auto" w:fill="CCEEFF"/>
          </w:tcPr>
          <w:p>
            <w:pPr>
              <w:spacing w:after="0"/>
              <w:rPr>
                <w:sz w:val="17"/>
                <w:szCs w:val="17"/>
                <w:color w:val="auto"/>
              </w:rPr>
            </w:pPr>
          </w:p>
        </w:tc>
        <w:tc>
          <w:tcPr>
            <w:tcW w:w="1760" w:type="dxa"/>
            <w:vAlign w:val="bottom"/>
            <w:gridSpan w:val="2"/>
            <w:shd w:val="clear" w:color="auto" w:fill="CCEEFF"/>
          </w:tcPr>
          <w:p>
            <w:pPr>
              <w:ind w:left="700"/>
              <w:spacing w:after="0" w:line="203" w:lineRule="exact"/>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March 1, 2021</w:t>
            </w:r>
          </w:p>
        </w:tc>
        <w:tc>
          <w:tcPr>
            <w:tcW w:w="1000" w:type="dxa"/>
            <w:vAlign w:val="bottom"/>
          </w:tcPr>
          <w:p>
            <w:pPr>
              <w:ind w:left="700"/>
              <w:spacing w:after="0"/>
              <w:rPr>
                <w:sz w:val="20"/>
                <w:szCs w:val="20"/>
                <w:color w:val="auto"/>
              </w:rPr>
            </w:pPr>
            <w:r>
              <w:rPr>
                <w:rFonts w:ascii="Arial" w:cs="Arial" w:eastAsia="Arial" w:hAnsi="Arial"/>
                <w:sz w:val="18"/>
                <w:szCs w:val="18"/>
                <w:color w:val="auto"/>
                <w:w w:val="79"/>
              </w:rPr>
              <w:t>4.46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44,500,000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44,500,000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September 1, 2021</w:t>
            </w:r>
          </w:p>
        </w:tc>
        <w:tc>
          <w:tcPr>
            <w:tcW w:w="1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3.38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105,000,000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March 1, 2026</w:t>
            </w:r>
          </w:p>
        </w:tc>
        <w:tc>
          <w:tcPr>
            <w:tcW w:w="1000" w:type="dxa"/>
            <w:vAlign w:val="bottom"/>
          </w:tcPr>
          <w:p>
            <w:pPr>
              <w:ind w:left="700"/>
              <w:spacing w:after="0"/>
              <w:rPr>
                <w:sz w:val="20"/>
                <w:szCs w:val="20"/>
                <w:color w:val="auto"/>
              </w:rPr>
            </w:pPr>
            <w:r>
              <w:rPr>
                <w:rFonts w:ascii="Arial" w:cs="Arial" w:eastAsia="Arial" w:hAnsi="Arial"/>
                <w:sz w:val="18"/>
                <w:szCs w:val="18"/>
                <w:color w:val="auto"/>
                <w:w w:val="79"/>
              </w:rPr>
              <w:t>2.86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22,500,000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September 1, 2026</w:t>
            </w:r>
          </w:p>
        </w:tc>
        <w:tc>
          <w:tcPr>
            <w:tcW w:w="1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2.41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Rate / Total</w:t>
            </w: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4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60" w:type="dxa"/>
            <w:vAlign w:val="bottom"/>
            <w:gridSpan w:val="2"/>
          </w:tcPr>
          <w:p>
            <w:pPr>
              <w:ind w:left="70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197,500,000</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150,000,000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Excluding 3.43% of upfront fees.</w:t>
      </w:r>
    </w:p>
    <w:p>
      <w:pPr>
        <w:spacing w:after="0" w:line="7" w:lineRule="exact"/>
        <w:rPr>
          <w:rFonts w:ascii="Arial" w:cs="Arial" w:eastAsia="Arial" w:hAnsi="Arial"/>
          <w:sz w:val="22"/>
          <w:szCs w:val="22"/>
          <w:color w:val="auto"/>
          <w:vertAlign w:val="superscript"/>
        </w:rPr>
      </w:pPr>
    </w:p>
    <w:p>
      <w:pPr>
        <w:ind w:left="680" w:hanging="672"/>
        <w:spacing w:after="0" w:line="197" w:lineRule="auto"/>
        <w:tabs>
          <w:tab w:leader="none" w:pos="68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As of September 30, 2015, the fixed all-in coupon rate was 3.70%.</w:t>
      </w:r>
    </w:p>
    <w:p>
      <w:pPr>
        <w:spacing w:after="0" w:line="15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2016, our SBIC Funds were in compliance with their regulatory requirements.</w:t>
      </w:r>
    </w:p>
    <w:p>
      <w:pPr>
        <w:spacing w:after="0" w:line="120" w:lineRule="exact"/>
        <w:rPr>
          <w:sz w:val="20"/>
          <w:szCs w:val="20"/>
          <w:color w:val="auto"/>
        </w:rPr>
      </w:pPr>
    </w:p>
    <w:p>
      <w:pPr>
        <w:ind w:right="100" w:firstLine="571"/>
        <w:spacing w:after="0" w:line="318" w:lineRule="auto"/>
        <w:rPr>
          <w:sz w:val="20"/>
          <w:szCs w:val="20"/>
          <w:color w:val="auto"/>
        </w:rPr>
      </w:pPr>
      <w:r>
        <w:rPr>
          <w:rFonts w:ascii="Arial" w:cs="Arial" w:eastAsia="Arial" w:hAnsi="Arial"/>
          <w:sz w:val="15"/>
          <w:szCs w:val="15"/>
          <w:color w:val="auto"/>
        </w:rPr>
        <w:t>In accordance with the 1940 Act, with certain limited exceptions, PennantPark Investment is only allowed to borrow amounts such that our asset coverage ratio is met after such borrowing. As of December 31, 2016, September 30, 2016 and September 30, 2015,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0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At December 31, 2016, September 30, 2016 and September 30, 2015, we had cash and cash equivalents of $45.3 million, $75.6 million and $49.6 million, respectively, available for investing and general corporate purposes. We believe our liquidity and capital resources are sufficient to take advantage of market opportunities.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operating activities used cash of $108.3 million for the three months ended December 31, 2016, and our financing activities provided cash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$77.9 million for the same period. Our operating activities used cash primarily for our investment activities and our financing activities provided cash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net borrowings under our Credit Facility.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used cash of $0.9 million for the three months ended December 31, 2015, and our financing activities used cash of $22.7 million for the same period. Our operating activities used cash primarily for our investment activities and our financing activities used cash primarily for our stock repurchase plan.</w:t>
      </w:r>
    </w:p>
    <w:p>
      <w:pPr>
        <w:spacing w:after="0" w:line="14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provided cash of $157.7 million for the fiscal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140" w:lineRule="exact"/>
        <w:rPr>
          <w:sz w:val="20"/>
          <w:szCs w:val="20"/>
          <w:color w:val="auto"/>
        </w:rPr>
      </w:pPr>
    </w:p>
    <w:p>
      <w:pPr>
        <w:jc w:val="both"/>
        <w:ind w:right="280" w:firstLine="571"/>
        <w:spacing w:after="0" w:line="306" w:lineRule="auto"/>
        <w:rPr>
          <w:sz w:val="20"/>
          <w:szCs w:val="20"/>
          <w:color w:val="auto"/>
        </w:rPr>
      </w:pPr>
      <w:r>
        <w:rPr>
          <w:rFonts w:ascii="Arial" w:cs="Arial" w:eastAsia="Arial" w:hAnsi="Arial"/>
          <w:sz w:val="16"/>
          <w:szCs w:val="16"/>
          <w:color w:val="auto"/>
        </w:rPr>
        <w:t>Our operating activities provided cash of $3.0 million for the fiscal year ended September 30, 2015, and our financing activities used cash proceeds of $20.1 million for the same period. Our operating activities provided cash primarily from sales and repayments on our investments and our financing activities used cash primarily for our stock repurchase program and to repay certain amounts under our Credit Facility.</w:t>
      </w:r>
    </w:p>
    <w:p>
      <w:pPr>
        <w:spacing w:after="0" w:line="107" w:lineRule="exact"/>
        <w:rPr>
          <w:sz w:val="20"/>
          <w:szCs w:val="20"/>
          <w:color w:val="auto"/>
        </w:rPr>
      </w:pPr>
    </w:p>
    <w:p>
      <w:pPr>
        <w:jc w:val="both"/>
        <w:ind w:right="100" w:firstLine="571"/>
        <w:spacing w:after="0" w:line="259" w:lineRule="auto"/>
        <w:rPr>
          <w:sz w:val="20"/>
          <w:szCs w:val="20"/>
          <w:color w:val="auto"/>
        </w:rPr>
      </w:pPr>
      <w:r>
        <w:rPr>
          <w:rFonts w:ascii="Arial" w:cs="Arial" w:eastAsia="Arial" w:hAnsi="Arial"/>
          <w:sz w:val="18"/>
          <w:szCs w:val="18"/>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equity offering and net draws under the Credit Facility.</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8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2016, including borrowings under our various debt facilities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37"/>
              <w:spacing w:after="0"/>
              <w:rPr>
                <w:sz w:val="20"/>
                <w:szCs w:val="20"/>
                <w:color w:val="auto"/>
              </w:rPr>
            </w:pPr>
            <w:r>
              <w:rPr>
                <w:rFonts w:ascii="Arial" w:cs="Arial" w:eastAsia="Arial" w:hAnsi="Arial"/>
                <w:sz w:val="14"/>
                <w:szCs w:val="14"/>
                <w:b w:val="1"/>
                <w:bCs w:val="1"/>
                <w:color w:val="auto"/>
                <w:w w:val="89"/>
              </w:rPr>
              <w:t>Payments due by period (in millions)</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960" w:type="dxa"/>
            <w:vAlign w:val="bottom"/>
            <w:gridSpan w:val="2"/>
          </w:tcPr>
          <w:p>
            <w:pPr>
              <w:jc w:val="right"/>
              <w:ind w:right="76"/>
              <w:spacing w:after="0" w:line="129" w:lineRule="exact"/>
              <w:rPr>
                <w:sz w:val="20"/>
                <w:szCs w:val="20"/>
                <w:color w:val="auto"/>
              </w:rPr>
            </w:pPr>
            <w:r>
              <w:rPr>
                <w:rFonts w:ascii="Arial" w:cs="Arial" w:eastAsia="Arial" w:hAnsi="Arial"/>
                <w:sz w:val="14"/>
                <w:szCs w:val="14"/>
                <w:b w:val="1"/>
                <w:bCs w:val="1"/>
                <w:color w:val="auto"/>
              </w:rPr>
              <w:t>1-3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3-5</w:t>
            </w:r>
          </w:p>
        </w:tc>
        <w:tc>
          <w:tcPr>
            <w:tcW w:w="4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42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$148.1</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SBA debentures</w:t>
            </w:r>
          </w:p>
        </w:tc>
        <w:tc>
          <w:tcPr>
            <w:tcW w:w="3380" w:type="dxa"/>
            <w:vAlign w:val="bottom"/>
            <w:gridSpan w:val="3"/>
          </w:tcPr>
          <w:p>
            <w:pPr>
              <w:jc w:val="right"/>
              <w:ind w:right="460"/>
              <w:spacing w:after="0"/>
              <w:rPr>
                <w:sz w:val="20"/>
                <w:szCs w:val="20"/>
                <w:color w:val="auto"/>
              </w:rPr>
            </w:pPr>
            <w:r>
              <w:rPr>
                <w:rFonts w:ascii="Arial" w:cs="Arial" w:eastAsia="Arial" w:hAnsi="Arial"/>
                <w:sz w:val="18"/>
                <w:szCs w:val="18"/>
                <w:color w:val="auto"/>
              </w:rPr>
              <w:t>197.5</w:t>
            </w:r>
          </w:p>
        </w:tc>
        <w:tc>
          <w:tcPr>
            <w:tcW w:w="160" w:type="dxa"/>
            <w:vAlign w:val="bottom"/>
          </w:tcPr>
          <w:p>
            <w:pPr>
              <w:spacing w:after="0"/>
              <w:rPr>
                <w:sz w:val="18"/>
                <w:szCs w:val="18"/>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3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2025 Notes</w:t>
            </w:r>
          </w:p>
        </w:tc>
        <w:tc>
          <w:tcPr>
            <w:tcW w:w="24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8"/>
                <w:szCs w:val="18"/>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1"/>
                <w:szCs w:val="11"/>
                <w:color w:val="auto"/>
              </w:rPr>
              <w:t>(1)</w:t>
            </w:r>
          </w:p>
        </w:tc>
        <w:tc>
          <w:tcPr>
            <w:tcW w:w="2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666.9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(2)</w:t>
            </w:r>
          </w:p>
        </w:tc>
        <w:tc>
          <w:tcPr>
            <w:tcW w:w="24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663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31" w:lineRule="exact"/>
        <w:rPr>
          <w:sz w:val="20"/>
          <w:szCs w:val="20"/>
          <w:color w:val="auto"/>
        </w:rPr>
      </w:pPr>
    </w:p>
    <w:p>
      <w:pPr>
        <w:ind w:left="220" w:right="380" w:hanging="212"/>
        <w:spacing w:after="0" w:line="189" w:lineRule="auto"/>
        <w:tabs>
          <w:tab w:leader="none" w:pos="220" w:val="left"/>
        </w:tabs>
        <w:numPr>
          <w:ilvl w:val="0"/>
          <w:numId w:val="26"/>
        </w:numPr>
        <w:rPr>
          <w:rFonts w:ascii="Arial" w:cs="Arial" w:eastAsia="Arial" w:hAnsi="Arial"/>
          <w:sz w:val="21"/>
          <w:szCs w:val="21"/>
          <w:color w:val="auto"/>
          <w:vertAlign w:val="superscript"/>
        </w:rPr>
      </w:pPr>
      <w:r>
        <w:rPr>
          <w:rFonts w:ascii="Arial" w:cs="Arial" w:eastAsia="Arial" w:hAnsi="Arial"/>
          <w:sz w:val="13"/>
          <w:szCs w:val="13"/>
          <w:color w:val="auto"/>
        </w:rPr>
        <w:t>The annualized weighted average cost of debt as of December 31, 2016, excluding debt issuance costs, was 3.96% exclusive of the fee on the undrawn commitment on the Credit Facility and 3.43% of upfront fees on SBA debentures.</w:t>
      </w:r>
    </w:p>
    <w:p>
      <w:pPr>
        <w:spacing w:after="0" w:line="1" w:lineRule="exact"/>
        <w:rPr>
          <w:rFonts w:ascii="Arial" w:cs="Arial" w:eastAsia="Arial" w:hAnsi="Arial"/>
          <w:sz w:val="21"/>
          <w:szCs w:val="21"/>
          <w:color w:val="auto"/>
          <w:vertAlign w:val="superscript"/>
        </w:rPr>
      </w:pPr>
    </w:p>
    <w:p>
      <w:pPr>
        <w:ind w:left="220" w:hanging="212"/>
        <w:spacing w:after="0" w:line="185" w:lineRule="auto"/>
        <w:tabs>
          <w:tab w:leader="none" w:pos="22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Unfunded debt and equity investments are disclosed in the Consolidated Schedule of Investments and Note 11 of our Consolidated Financial Statements.</w:t>
      </w:r>
    </w:p>
    <w:p>
      <w:pPr>
        <w:spacing w:after="0" w:line="141" w:lineRule="exact"/>
        <w:rPr>
          <w:sz w:val="20"/>
          <w:szCs w:val="20"/>
          <w:color w:val="auto"/>
        </w:rPr>
      </w:pPr>
    </w:p>
    <w:p>
      <w:pPr>
        <w:ind w:right="220" w:firstLine="571"/>
        <w:spacing w:after="0" w:line="290"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2017,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18"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2017,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43"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44" w:lineRule="exact"/>
        <w:rPr>
          <w:sz w:val="20"/>
          <w:szCs w:val="20"/>
          <w:color w:val="auto"/>
        </w:rPr>
      </w:pPr>
    </w:p>
    <w:p>
      <w:pPr>
        <w:ind w:right="80" w:firstLine="571"/>
        <w:spacing w:after="0" w:line="314" w:lineRule="auto"/>
        <w:rPr>
          <w:sz w:val="20"/>
          <w:szCs w:val="20"/>
          <w:color w:val="auto"/>
        </w:rPr>
      </w:pPr>
      <w:r>
        <w:rPr>
          <w:rFonts w:ascii="Arial" w:cs="Arial" w:eastAsia="Arial" w:hAnsi="Arial"/>
          <w:sz w:val="15"/>
          <w:szCs w:val="15"/>
          <w:color w:val="auto"/>
        </w:rPr>
        <w:t>During the three months ended December 31, 2016 and 2015, we declared distributions of $0.28 per share for each period for total distributions of $19.9 million and $20.1 million, respectively. During the fiscal years ended September 30, 2016, 2015 and 2014, we declared distributions of $1.12 per share each year for total distributions of $79.8 million, $83.3 million and $76.9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the board of directors.</w:t>
      </w:r>
    </w:p>
    <w:p>
      <w:pPr>
        <w:spacing w:after="0" w:line="194"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December 31, 2016, our debt portfolio consisted of 81% variable-rate investments (including 74% with a floor) and 19%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5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Change In Interest</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7"/>
              </w:rPr>
              <w:t>Income, Net Of Interest</w:t>
            </w:r>
          </w:p>
        </w:tc>
        <w:tc>
          <w:tcPr>
            <w:tcW w:w="300" w:type="dxa"/>
            <w:vAlign w:val="bottom"/>
          </w:tcPr>
          <w:p>
            <w:pPr>
              <w:spacing w:after="0"/>
              <w:rPr>
                <w:sz w:val="12"/>
                <w:szCs w:val="12"/>
                <w:color w:val="auto"/>
              </w:rPr>
            </w:pPr>
          </w:p>
        </w:tc>
        <w:tc>
          <w:tcPr>
            <w:tcW w:w="14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9"/>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Change In Interest Rates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6"/>
              </w:rPr>
              <w:t>Expense (in</w:t>
            </w:r>
          </w:p>
        </w:tc>
        <w:tc>
          <w:tcPr>
            <w:tcW w:w="17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Income, Net Of Interest</w:t>
            </w: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84"/>
              </w:rPr>
              <w:t>thousands)</w:t>
            </w:r>
          </w:p>
        </w:tc>
        <w:tc>
          <w:tcPr>
            <w:tcW w:w="30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Expense Per Share</w:t>
            </w:r>
          </w:p>
        </w:tc>
        <w:tc>
          <w:tcPr>
            <w:tcW w:w="0" w:type="dxa"/>
            <w:vAlign w:val="bottom"/>
          </w:tcPr>
          <w:p>
            <w:pPr>
              <w:spacing w:after="0"/>
              <w:rPr>
                <w:sz w:val="1"/>
                <w:szCs w:val="1"/>
                <w:color w:val="auto"/>
              </w:rPr>
            </w:pPr>
          </w:p>
        </w:tc>
      </w:tr>
      <w:tr>
        <w:trPr>
          <w:trHeight w:val="210"/>
        </w:trPr>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Up 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66"/>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2"/>
              </w:rPr>
              <w:t>Up 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12,093</w:t>
            </w:r>
          </w:p>
        </w:tc>
        <w:tc>
          <w:tcPr>
            <w:tcW w:w="900" w:type="dxa"/>
            <w:vAlign w:val="bottom"/>
            <w:gridSpan w:val="2"/>
          </w:tcPr>
          <w:p>
            <w:pPr>
              <w:jc w:val="right"/>
              <w:ind w:right="36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Up 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w:t>
            </w:r>
          </w:p>
        </w:tc>
        <w:tc>
          <w:tcPr>
            <w:tcW w:w="900" w:type="dxa"/>
            <w:vAlign w:val="bottom"/>
            <w:gridSpan w:val="2"/>
            <w:shd w:val="clear" w:color="auto" w:fill="CCEEFF"/>
          </w:tcPr>
          <w:p>
            <w:pPr>
              <w:jc w:val="right"/>
              <w:ind w:right="36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92"/>
              </w:rPr>
              <w:t>Up 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28,281</w:t>
            </w:r>
          </w:p>
        </w:tc>
        <w:tc>
          <w:tcPr>
            <w:tcW w:w="900" w:type="dxa"/>
            <w:vAlign w:val="bottom"/>
            <w:gridSpan w:val="2"/>
          </w:tcPr>
          <w:p>
            <w:pPr>
              <w:jc w:val="right"/>
              <w:ind w:right="36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4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prospectus, we did not engage in interest rate hedging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Information about our senior securities is shown in the following table as of December 31, 2016 (unaudited) and September 30, 2016, 2015, 2014, 2013, 2012, 2011, 2010, 2009 and 2008 is from our Consolidated Financial Statements, which has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9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78"/>
              </w:rPr>
              <w:t>Asset</w:t>
            </w: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Market</w:t>
            </w:r>
          </w:p>
        </w:tc>
      </w:tr>
      <w:tr>
        <w:trPr>
          <w:trHeight w:val="134"/>
        </w:trPr>
        <w:tc>
          <w:tcPr>
            <w:tcW w:w="9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4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Total 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720"/>
              <w:spacing w:after="0" w:line="135" w:lineRule="exact"/>
              <w:rPr>
                <w:sz w:val="20"/>
                <w:szCs w:val="20"/>
                <w:color w:val="auto"/>
              </w:rPr>
            </w:pPr>
            <w:r>
              <w:rPr>
                <w:rFonts w:ascii="Arial" w:cs="Arial" w:eastAsia="Arial" w:hAnsi="Arial"/>
                <w:sz w:val="14"/>
                <w:szCs w:val="14"/>
                <w:b w:val="1"/>
                <w:bCs w:val="1"/>
                <w:color w:val="auto"/>
                <w:w w:val="84"/>
              </w:rPr>
              <w:t>Coverage</w:t>
            </w:r>
          </w:p>
        </w:tc>
        <w:tc>
          <w:tcPr>
            <w:tcW w:w="6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3"/>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40" w:type="dxa"/>
            <w:vAlign w:val="bottom"/>
            <w:gridSpan w:val="3"/>
          </w:tcPr>
          <w:p>
            <w:pPr>
              <w:jc w:val="center"/>
              <w:ind w:right="30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300" w:type="dxa"/>
            <w:vAlign w:val="bottom"/>
          </w:tcPr>
          <w:p>
            <w:pPr>
              <w:spacing w:after="0"/>
              <w:rPr>
                <w:sz w:val="15"/>
                <w:szCs w:val="15"/>
                <w:color w:val="auto"/>
              </w:rPr>
            </w:pPr>
          </w:p>
        </w:tc>
        <w:tc>
          <w:tcPr>
            <w:tcW w:w="142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(2),(3)</w:t>
            </w:r>
          </w:p>
        </w:tc>
        <w:tc>
          <w:tcPr>
            <w:tcW w:w="80" w:type="dxa"/>
            <w:vAlign w:val="bottom"/>
          </w:tcPr>
          <w:p>
            <w:pPr>
              <w:spacing w:after="0"/>
              <w:rPr>
                <w:sz w:val="15"/>
                <w:szCs w:val="15"/>
                <w:color w:val="auto"/>
              </w:rPr>
            </w:pPr>
          </w:p>
        </w:tc>
        <w:tc>
          <w:tcPr>
            <w:tcW w:w="54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9"/>
              </w:rPr>
              <w:t>Unit</w:t>
            </w:r>
            <w:r>
              <w:rPr>
                <w:rFonts w:ascii="Arial" w:cs="Arial" w:eastAsia="Arial" w:hAnsi="Arial"/>
                <w:sz w:val="18"/>
                <w:szCs w:val="18"/>
                <w:b w:val="1"/>
                <w:bCs w:val="1"/>
                <w:color w:val="auto"/>
                <w:w w:val="99"/>
                <w:vertAlign w:val="superscript"/>
              </w:rPr>
              <w:t>(4)</w:t>
            </w:r>
          </w:p>
        </w:tc>
      </w:tr>
      <w:tr>
        <w:trPr>
          <w:trHeight w:val="190"/>
        </w:trPr>
        <w:tc>
          <w:tcPr>
            <w:tcW w:w="5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2019 Notes and 2025 Notes</w:t>
            </w:r>
          </w:p>
        </w:tc>
        <w:tc>
          <w:tcPr>
            <w:tcW w:w="16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2017 (As of December 31, 2016; unaudited)</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469,369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2,412</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25.09</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371,590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458,114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2,569</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25.13</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376,476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24.51</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216,750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4,261</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24.79</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240,900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1"/>
                <w:szCs w:val="11"/>
                <w:color w:val="auto"/>
              </w:rPr>
              <w:t>(5)</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247,600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225,100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220" w:right="40" w:hanging="212"/>
        <w:spacing w:after="0" w:line="258" w:lineRule="auto"/>
        <w:tabs>
          <w:tab w:leader="none" w:pos="2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220" w:hanging="212"/>
        <w:spacing w:after="0"/>
        <w:tabs>
          <w:tab w:leader="none" w:pos="2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These amounts exclude SBIC LP’s SBA debentures from our total amount outstanding and asset coverage per unit computation pursuant to an exemptive relief letter provided by the SEC in June 2011.</w:t>
      </w:r>
    </w:p>
    <w:p>
      <w:pPr>
        <w:spacing w:after="0" w:line="10" w:lineRule="exact"/>
        <w:rPr>
          <w:rFonts w:ascii="Arial" w:cs="Arial" w:eastAsia="Arial" w:hAnsi="Arial"/>
          <w:sz w:val="12"/>
          <w:szCs w:val="12"/>
          <w:color w:val="auto"/>
        </w:rPr>
      </w:pPr>
    </w:p>
    <w:p>
      <w:pPr>
        <w:ind w:left="220" w:right="180" w:hanging="212"/>
        <w:spacing w:after="0" w:line="221"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amount includes SBIC LP’s SBA debentures in the total amount outstanding and our asset coverage per unit computation.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For the three months ended December 31, 2016 and for the years ended September 30, 2016, 2015, 2014, 2013 and 2012, the ratios of earnings to fixed charges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Ended December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2"/>
              </w:rPr>
              <w:t>For the Years Ended 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1"/>
                <w:szCs w:val="11"/>
                <w:b w:val="1"/>
                <w:bCs w:val="1"/>
                <w:color w:val="auto"/>
              </w:rPr>
              <w:t>(1)</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Net investment income (after taxes)</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15,041</w:t>
            </w: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$ 70,615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82,258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71,329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$ 66,998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realized gain (losses) gains on investments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(80,531)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30,235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w w:val="96"/>
              </w:rPr>
              <w:t>Add: Net change in unrealized appreciation (depreciation)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(122,615)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$ 18,737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110,983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$ 91,778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63,353</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debt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$ 27,601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11,681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(1) Earnings include net realized and unrealized gains or losses. Net realized and unrealized gains or losses can vary substantially from period to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50"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2014. On March 17, 2017, the last reported closing price of our common stock was $8.07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Premium</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Premium</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(Discount)</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(Discount)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6"/>
              </w:rPr>
              <w:t>Closing Sales Price</w:t>
            </w:r>
          </w:p>
        </w:tc>
        <w:tc>
          <w:tcPr>
            <w:tcW w:w="3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of High Sales</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of Low Sales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Borders>
              <w:bottom w:val="single" w:sz="8" w:color="auto"/>
            </w:tcBorders>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center"/>
              <w:ind w:right="480"/>
              <w:spacing w:after="0" w:line="114" w:lineRule="exact"/>
              <w:rPr>
                <w:sz w:val="20"/>
                <w:szCs w:val="20"/>
                <w:color w:val="auto"/>
              </w:rPr>
            </w:pPr>
            <w:r>
              <w:rPr>
                <w:rFonts w:ascii="Arial" w:cs="Arial" w:eastAsia="Arial" w:hAnsi="Arial"/>
                <w:sz w:val="12"/>
                <w:szCs w:val="12"/>
                <w:b w:val="1"/>
                <w:bCs w:val="1"/>
                <w:color w:val="auto"/>
                <w:w w:val="99"/>
              </w:rPr>
              <w:t>Price to</w:t>
            </w:r>
          </w:p>
        </w:tc>
        <w:tc>
          <w:tcPr>
            <w:tcW w:w="1200" w:type="dxa"/>
            <w:vAlign w:val="bottom"/>
            <w:gridSpan w:val="2"/>
          </w:tcPr>
          <w:p>
            <w:pPr>
              <w:jc w:val="center"/>
              <w:ind w:right="480"/>
              <w:spacing w:after="0" w:line="114" w:lineRule="exact"/>
              <w:rPr>
                <w:sz w:val="20"/>
                <w:szCs w:val="20"/>
                <w:color w:val="auto"/>
              </w:rPr>
            </w:pPr>
            <w:r>
              <w:rPr>
                <w:rFonts w:ascii="Arial" w:cs="Arial" w:eastAsia="Arial" w:hAnsi="Arial"/>
                <w:sz w:val="12"/>
                <w:szCs w:val="12"/>
                <w:b w:val="1"/>
                <w:bCs w:val="1"/>
                <w:color w:val="auto"/>
                <w:w w:val="99"/>
              </w:rPr>
              <w:t>Price to</w:t>
            </w:r>
          </w:p>
        </w:tc>
        <w:tc>
          <w:tcPr>
            <w:tcW w:w="94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Distributions</w:t>
            </w:r>
          </w:p>
        </w:tc>
        <w:tc>
          <w:tcPr>
            <w:tcW w:w="0" w:type="dxa"/>
            <w:vAlign w:val="bottom"/>
          </w:tcPr>
          <w:p>
            <w:pPr>
              <w:spacing w:after="0"/>
              <w:rPr>
                <w:sz w:val="1"/>
                <w:szCs w:val="1"/>
                <w:color w:val="auto"/>
              </w:rPr>
            </w:pPr>
          </w:p>
        </w:tc>
      </w:tr>
      <w:tr>
        <w:trPr>
          <w:trHeight w:val="156"/>
        </w:trPr>
        <w:tc>
          <w:tcPr>
            <w:tcW w:w="5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Period</w:t>
            </w:r>
          </w:p>
        </w:tc>
        <w:tc>
          <w:tcPr>
            <w:tcW w:w="840" w:type="dxa"/>
            <w:vAlign w:val="bottom"/>
            <w:gridSpan w:val="2"/>
          </w:tcPr>
          <w:p>
            <w:pPr>
              <w:jc w:val="center"/>
              <w:ind w:right="32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(1)</w:t>
            </w:r>
          </w:p>
        </w:tc>
        <w:tc>
          <w:tcPr>
            <w:tcW w:w="6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3"/>
                <w:szCs w:val="13"/>
                <w:color w:val="auto"/>
              </w:rPr>
            </w:pPr>
          </w:p>
        </w:tc>
        <w:tc>
          <w:tcPr>
            <w:tcW w:w="1240" w:type="dxa"/>
            <w:vAlign w:val="bottom"/>
            <w:gridSpan w:val="2"/>
          </w:tcPr>
          <w:p>
            <w:pPr>
              <w:jc w:val="center"/>
              <w:ind w:right="48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200" w:type="dxa"/>
            <w:vAlign w:val="bottom"/>
            <w:gridSpan w:val="2"/>
          </w:tcPr>
          <w:p>
            <w:pPr>
              <w:jc w:val="center"/>
              <w:ind w:right="48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0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quarter (As of March 17, 2017)</w:t>
            </w: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rPr>
              <w:t>$ N/A</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$ 8.58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3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5"/>
              </w:rPr>
              <w:t>N/A%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4"/>
              </w:rPr>
              <w:t>0.18</w:t>
            </w:r>
            <w:r>
              <w:rPr>
                <w:rFonts w:ascii="Arial" w:cs="Arial" w:eastAsia="Arial" w:hAnsi="Arial"/>
                <w:sz w:val="11"/>
                <w:szCs w:val="11"/>
                <w:color w:val="auto"/>
                <w:w w:val="94"/>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8.94</w:t>
            </w:r>
          </w:p>
        </w:tc>
        <w:tc>
          <w:tcPr>
            <w:tcW w:w="3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(32)</w:t>
            </w:r>
          </w:p>
        </w:tc>
        <w:tc>
          <w:tcPr>
            <w:tcW w:w="1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(33)</w:t>
            </w:r>
          </w:p>
        </w:tc>
        <w:tc>
          <w:tcPr>
            <w:tcW w:w="1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9.82</w:t>
            </w:r>
          </w:p>
        </w:tc>
        <w:tc>
          <w:tcPr>
            <w:tcW w:w="3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8.69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(20)</w:t>
            </w:r>
          </w:p>
        </w:tc>
        <w:tc>
          <w:tcPr>
            <w:tcW w:w="1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ind w:left="220" w:right="80" w:hanging="212"/>
        <w:spacing w:after="0" w:line="230" w:lineRule="auto"/>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less NAV per share, divided by the quarter-end NAV per share.</w:t>
      </w: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 dividend of $0.18 per share payable April 3, 2017 to stockholders of record as of March 22, 2017.</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$7.66 and $7.52 as of December 31, 2016 and September 30, 2016, respectively. Our NAV per share was $9.11 and $9.05 as of December 31, 2016 and September 30, 2016,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2016, we had 12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660" w:right="22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Price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public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offering proceeds per share to issuer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to NAV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shares outstanding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NAV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 to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Percentage held by stockholder 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 Values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NAV held by stockholder A</w:t>
      </w:r>
    </w:p>
    <w:p>
      <w:pPr>
        <w:spacing w:after="0" w:line="77"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Example 1</w:t>
            </w:r>
          </w:p>
        </w:tc>
        <w:tc>
          <w:tcPr>
            <w:tcW w:w="8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Example 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Example 3</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80" w:type="dxa"/>
            <w:vAlign w:val="bottom"/>
          </w:tcPr>
          <w:p>
            <w:pPr>
              <w:spacing w:after="0"/>
              <w:rPr>
                <w:sz w:val="12"/>
                <w:szCs w:val="12"/>
                <w:color w:val="auto"/>
              </w:rPr>
            </w:pPr>
          </w:p>
        </w:tc>
        <w:tc>
          <w:tcPr>
            <w:tcW w:w="17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Prior to Sale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at 10%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7"/>
              </w:rPr>
              <w:t>Following</w:t>
            </w:r>
          </w:p>
        </w:tc>
        <w:tc>
          <w:tcPr>
            <w:tcW w:w="64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Following</w:t>
            </w:r>
          </w:p>
        </w:tc>
        <w:tc>
          <w:tcPr>
            <w:tcW w:w="66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7"/>
              </w:rPr>
              <w:t>Following</w:t>
            </w:r>
          </w:p>
        </w:tc>
        <w:tc>
          <w:tcPr>
            <w:tcW w:w="70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Below NAV</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45"/>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1,050,000</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5.00 %</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w w:val="87"/>
              </w:rPr>
              <w:t>1,100,000</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10.00 %</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w w:val="87"/>
              </w:rPr>
              <w:t>1,250,000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8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(0.20)%</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0.95%</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700" w:type="dxa"/>
            <w:vAlign w:val="bottom"/>
          </w:tcPr>
          <w:p>
            <w:pPr>
              <w:jc w:val="right"/>
              <w:spacing w:after="0"/>
              <w:rPr>
                <w:sz w:val="20"/>
                <w:szCs w:val="20"/>
                <w:color w:val="auto"/>
              </w:rPr>
            </w:pPr>
            <w:r>
              <w:rPr>
                <w:rFonts w:ascii="Arial" w:cs="Arial" w:eastAsia="Arial" w:hAnsi="Arial"/>
                <w:sz w:val="18"/>
                <w:szCs w:val="18"/>
                <w:color w:val="auto"/>
                <w:w w:val="93"/>
              </w:rPr>
              <w:t>(20.00)%</w:t>
            </w:r>
          </w:p>
        </w:tc>
        <w:tc>
          <w:tcPr>
            <w:tcW w:w="0" w:type="dxa"/>
            <w:vAlign w:val="bottom"/>
          </w:tcPr>
          <w:p>
            <w:pPr>
              <w:spacing w:after="0"/>
              <w:rPr>
                <w:sz w:val="1"/>
                <w:szCs w:val="1"/>
                <w:color w:val="auto"/>
              </w:rPr>
            </w:pPr>
          </w:p>
        </w:tc>
      </w:tr>
      <w:tr>
        <w:trPr>
          <w:trHeight w:val="56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99,800</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(0.20)%</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99,100</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0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50</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-2527935</wp:posOffset>
            </wp:positionV>
            <wp:extent cx="724662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-2167890</wp:posOffset>
            </wp:positionV>
            <wp:extent cx="72466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-1807845</wp:posOffset>
            </wp:positionV>
            <wp:extent cx="724662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-1447165</wp:posOffset>
            </wp:positionV>
            <wp:extent cx="724662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-1087120</wp:posOffset>
            </wp:positionV>
            <wp:extent cx="72466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-727075</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2">
            <w:col w:w="4500" w:space="200"/>
            <w:col w:w="6660"/>
          </w:cols>
          <w:pgMar w:left="240" w:top="459" w:right="29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dilution to stockholder A (total NAV less total investment)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NAV per share held by stockholder A</w:t>
      </w:r>
    </w:p>
    <w:p>
      <w:pPr>
        <w:spacing w:after="0" w:line="77" w:lineRule="exact"/>
        <w:rPr>
          <w:sz w:val="20"/>
          <w:szCs w:val="20"/>
          <w:color w:val="auto"/>
        </w:rPr>
      </w:pPr>
    </w:p>
    <w:p>
      <w:pPr>
        <w:ind w:left="440" w:right="360"/>
        <w:spacing w:after="0" w:line="325" w:lineRule="auto"/>
        <w:rPr>
          <w:sz w:val="20"/>
          <w:szCs w:val="20"/>
          <w:color w:val="auto"/>
        </w:rPr>
      </w:pPr>
      <w:r>
        <w:rPr>
          <w:rFonts w:ascii="Arial" w:cs="Arial" w:eastAsia="Arial" w:hAnsi="Arial"/>
          <w:sz w:val="16"/>
          <w:szCs w:val="16"/>
          <w:color w:val="auto"/>
        </w:rPr>
        <w:t>Investment per share held by stockholder A (assumed to be $10.00 per share on shares held prior to sale)</w:t>
      </w:r>
    </w:p>
    <w:p>
      <w:pPr>
        <w:spacing w:after="0" w:line="1" w:lineRule="exact"/>
        <w:rPr>
          <w:sz w:val="20"/>
          <w:szCs w:val="20"/>
          <w:color w:val="auto"/>
        </w:rPr>
      </w:pPr>
    </w:p>
    <w:p>
      <w:pPr>
        <w:ind w:left="440" w:right="200"/>
        <w:spacing w:after="0" w:line="268" w:lineRule="auto"/>
        <w:rPr>
          <w:sz w:val="20"/>
          <w:szCs w:val="20"/>
          <w:color w:val="auto"/>
        </w:rPr>
      </w:pPr>
      <w:r>
        <w:rPr>
          <w:rFonts w:ascii="Arial" w:cs="Arial" w:eastAsia="Arial" w:hAnsi="Arial"/>
          <w:sz w:val="18"/>
          <w:szCs w:val="18"/>
          <w:color w:val="auto"/>
        </w:rPr>
        <w:t>Dilution per share held by stockholder A (NAV per share less investment per share)</w:t>
      </w:r>
    </w:p>
    <w:p>
      <w:pPr>
        <w:spacing w:after="0" w:line="37" w:lineRule="exact"/>
        <w:rPr>
          <w:sz w:val="20"/>
          <w:szCs w:val="20"/>
          <w:color w:val="auto"/>
        </w:rPr>
      </w:pPr>
    </w:p>
    <w:p>
      <w:pPr>
        <w:ind w:left="440" w:right="40"/>
        <w:spacing w:after="0" w:line="268" w:lineRule="auto"/>
        <w:rPr>
          <w:sz w:val="20"/>
          <w:szCs w:val="20"/>
          <w:color w:val="auto"/>
        </w:rPr>
      </w:pPr>
      <w:r>
        <w:rPr>
          <w:rFonts w:ascii="Arial" w:cs="Arial" w:eastAsia="Arial" w:hAnsi="Arial"/>
          <w:sz w:val="18"/>
          <w:szCs w:val="18"/>
          <w:color w:val="auto"/>
        </w:rPr>
        <w:t>Percentage dilution to stockholder A (dilution per share divided by investment per share)</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on Existing Stockholders who Participate in the Offering</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Example 1</w:t>
            </w:r>
          </w:p>
        </w:tc>
        <w:tc>
          <w:tcPr>
            <w:tcW w:w="120" w:type="dxa"/>
            <w:vAlign w:val="bottom"/>
          </w:tcPr>
          <w:p>
            <w:pPr>
              <w:spacing w:after="0"/>
              <w:rPr>
                <w:sz w:val="14"/>
                <w:szCs w:val="14"/>
                <w:color w:val="auto"/>
              </w:rPr>
            </w:pPr>
          </w:p>
        </w:tc>
        <w:tc>
          <w:tcPr>
            <w:tcW w:w="152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9"/>
              </w:rPr>
              <w:t>Example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20" w:type="dxa"/>
            <w:vAlign w:val="bottom"/>
          </w:tcPr>
          <w:p>
            <w:pPr>
              <w:spacing w:after="0"/>
              <w:rPr>
                <w:sz w:val="12"/>
                <w:szCs w:val="12"/>
                <w:color w:val="auto"/>
              </w:rPr>
            </w:pPr>
          </w:p>
        </w:tc>
        <w:tc>
          <w:tcPr>
            <w:tcW w:w="152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Prior to Sale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at 5% Discount</w:t>
            </w:r>
          </w:p>
        </w:tc>
        <w:tc>
          <w:tcPr>
            <w:tcW w:w="120" w:type="dxa"/>
            <w:vAlign w:val="bottom"/>
          </w:tcPr>
          <w:p>
            <w:pPr>
              <w:spacing w:after="0"/>
              <w:rPr>
                <w:sz w:val="14"/>
                <w:szCs w:val="14"/>
                <w:color w:val="auto"/>
              </w:rPr>
            </w:pPr>
          </w:p>
        </w:tc>
        <w:tc>
          <w:tcPr>
            <w:tcW w:w="1520" w:type="dxa"/>
            <w:vAlign w:val="bottom"/>
            <w:gridSpan w:val="3"/>
          </w:tcPr>
          <w:p>
            <w:pPr>
              <w:jc w:val="center"/>
              <w:ind w:right="38"/>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38"/>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58"/>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62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8"/>
              </w:rPr>
              <w:t>Below NAV</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Sale</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Sale</w:t>
            </w:r>
          </w:p>
        </w:tc>
        <w:tc>
          <w:tcPr>
            <w:tcW w:w="14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Sale</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2"/>
                <w:szCs w:val="22"/>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22"/>
                <w:szCs w:val="22"/>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2"/>
                <w:szCs w:val="22"/>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8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2"/>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2"/>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2"/>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2"/>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(0.20)%</w:t>
            </w:r>
          </w:p>
        </w:tc>
        <w:tc>
          <w:tcPr>
            <w:tcW w:w="12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w w:val="85"/>
              </w:rPr>
              <w:t>(0.90)%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-1490345</wp:posOffset>
            </wp:positionV>
            <wp:extent cx="724662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-1130300</wp:posOffset>
            </wp:positionV>
            <wp:extent cx="724662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-632460</wp:posOffset>
            </wp:positionV>
            <wp:extent cx="7246620" cy="317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4960" w:space="200"/>
            <w:col w:w="6260"/>
          </w:cols>
          <w:pgMar w:left="240" w:top="459" w:right="239" w:bottom="1440" w:gutter="0" w:footer="0" w:header="0"/>
          <w:type w:val="continuous"/>
        </w:sect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40" w:firstLine="8"/>
        <w:spacing w:after="0" w:line="261"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Prior to Sale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ind w:left="240"/>
              <w:spacing w:after="0"/>
              <w:rPr>
                <w:sz w:val="20"/>
                <w:szCs w:val="20"/>
                <w:color w:val="auto"/>
              </w:rPr>
            </w:pPr>
            <w:r>
              <w:rPr>
                <w:rFonts w:ascii="Arial" w:cs="Arial" w:eastAsia="Arial" w:hAnsi="Arial"/>
                <w:sz w:val="14"/>
                <w:szCs w:val="14"/>
                <w:b w:val="1"/>
                <w:bCs w:val="1"/>
                <w:color w:val="auto"/>
              </w:rPr>
              <w:t>50% Participation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Below NAV</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Sale</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2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2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400" w:type="dxa"/>
            <w:vAlign w:val="bottom"/>
          </w:tcPr>
          <w:p>
            <w:pPr>
              <w:spacing w:after="0"/>
              <w:rPr>
                <w:sz w:val="19"/>
                <w:szCs w:val="19"/>
                <w:color w:val="auto"/>
              </w:rPr>
            </w:pPr>
          </w:p>
        </w:tc>
        <w:tc>
          <w:tcPr>
            <w:tcW w:w="86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19"/>
                <w:szCs w:val="19"/>
                <w:color w:val="auto"/>
              </w:rPr>
            </w:pPr>
          </w:p>
        </w:tc>
        <w:tc>
          <w:tcPr>
            <w:tcW w:w="5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19"/>
                <w:szCs w:val="19"/>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40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9"/>
                <w:szCs w:val="19"/>
                <w:color w:val="auto"/>
              </w:rPr>
            </w:pPr>
          </w:p>
        </w:tc>
        <w:tc>
          <w:tcPr>
            <w:tcW w:w="6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2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00" w:type="dxa"/>
            <w:vAlign w:val="bottom"/>
          </w:tcPr>
          <w:p>
            <w:pPr>
              <w:jc w:val="right"/>
              <w:ind w:right="452"/>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80" w:type="dxa"/>
            <w:vAlign w:val="bottom"/>
          </w:tcPr>
          <w:p>
            <w:pPr>
              <w:spacing w:after="0"/>
              <w:rPr>
                <w:sz w:val="14"/>
                <w:szCs w:val="14"/>
                <w:color w:val="auto"/>
              </w:rPr>
            </w:pPr>
          </w:p>
        </w:tc>
        <w:tc>
          <w:tcPr>
            <w:tcW w:w="1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Sale</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Increases in Shares and Decrease to NAV</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w w:val="84"/>
              </w:rPr>
              <w:t>1,000,000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w w:val="87"/>
              </w:rPr>
              <w:t>1,250,000</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25.00 %</w:t>
            </w:r>
          </w:p>
        </w:tc>
        <w:tc>
          <w:tcPr>
            <w:tcW w:w="100" w:type="dxa"/>
            <w:vAlign w:val="bottom"/>
          </w:tcPr>
          <w:p>
            <w:pPr>
              <w:spacing w:after="0"/>
              <w:rPr>
                <w:sz w:val="18"/>
                <w:szCs w:val="18"/>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w w:val="84"/>
              </w:rPr>
              <w:t>1,250,000</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25.00 %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11,250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13,750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37.50 %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Total NAV held by stockholder A</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106,875</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6.88 %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130,625</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30.63 %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Total investment by stockholder A (assumed to be $10.00 per share on shares held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to sale)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109,863</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129,588</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29.59 %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Total (dilution)/accretion to stockholder A (total NAV less total 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(2,988)</w:t>
            </w: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Investment per share held by stockholder A (assumed to be $10.00 per share 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held prior to sale)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w w:val="90"/>
              </w:rPr>
              <w:t>(Dilution)/accretion per share held by stockholder A (NAV per share less 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Percentage (dilution)/accretion to stockholder A (dilution)/accretion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divided by investment per share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right="55"/>
              <w:spacing w:after="0"/>
              <w:rPr>
                <w:sz w:val="20"/>
                <w:szCs w:val="20"/>
                <w:color w:val="auto"/>
              </w:rPr>
            </w:pPr>
            <w:r>
              <w:rPr>
                <w:rFonts w:ascii="Arial" w:cs="Arial" w:eastAsia="Arial" w:hAnsi="Arial"/>
                <w:sz w:val="14"/>
                <w:szCs w:val="14"/>
                <w:b w:val="1"/>
                <w:bCs w:val="1"/>
                <w:color w:val="auto"/>
                <w:w w:val="89"/>
              </w:rPr>
              <w:t>Example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Example 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5% Offering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right="55"/>
              <w:spacing w:after="0"/>
              <w:rPr>
                <w:sz w:val="20"/>
                <w:szCs w:val="20"/>
                <w:color w:val="auto"/>
              </w:rPr>
            </w:pPr>
            <w:r>
              <w:rPr>
                <w:rFonts w:ascii="Arial" w:cs="Arial" w:eastAsia="Arial" w:hAnsi="Arial"/>
                <w:sz w:val="14"/>
                <w:szCs w:val="14"/>
                <w:b w:val="1"/>
                <w:bCs w:val="1"/>
                <w:color w:val="auto"/>
                <w:w w:val="89"/>
              </w:rPr>
              <w:t>at 5% Discount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Following</w:t>
            </w:r>
          </w:p>
        </w:tc>
        <w:tc>
          <w:tcPr>
            <w:tcW w:w="66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Sale</w:t>
            </w:r>
          </w:p>
        </w:tc>
        <w:tc>
          <w:tcPr>
            <w:tcW w:w="640" w:type="dxa"/>
            <w:vAlign w:val="bottom"/>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9"/>
                <w:szCs w:val="19"/>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1,050,000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6"/>
              </w:rPr>
              <w:t>10.00 %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3"/>
              </w:rPr>
              <w:t>25.00 %</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60" w:type="dxa"/>
            <w:vAlign w:val="bottom"/>
            <w:gridSpan w:val="3"/>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NAV per share</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(0.20)%</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(0.90)%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9"/>
                <w:szCs w:val="19"/>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8"/>
              </w:rPr>
              <w:t>(5.00)%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Shares held by</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stockholder A</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 A</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4,990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9,470</w:t>
            </w:r>
          </w:p>
        </w:tc>
        <w:tc>
          <w:tcPr>
            <w:tcW w:w="220" w:type="dxa"/>
            <w:vAlign w:val="bottom"/>
          </w:tcPr>
          <w:p>
            <w:pPr>
              <w:spacing w:after="0"/>
              <w:rPr>
                <w:sz w:val="19"/>
                <w:szCs w:val="19"/>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19,725</w:t>
            </w:r>
          </w:p>
        </w:tc>
        <w:tc>
          <w:tcPr>
            <w:tcW w:w="22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(dilution)/accretion to stockholder A (total NAV</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total investment)</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9.98</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9"/>
                <w:szCs w:val="19"/>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(Dilution)/accretion per share held by stockholder A</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less investment per share)</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Percentage (dilution)/accretion to stockholder A</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w w:val="93"/>
              </w:rPr>
              <w:t>(dilution)/ accretion per share divided by investment per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share</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restart"/>
          </w:tcPr>
          <w:p>
            <w:pPr>
              <w:jc w:val="center"/>
              <w:ind w:left="18"/>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(0.20)%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restart"/>
          </w:tcPr>
          <w:p>
            <w:pPr>
              <w:jc w:val="center"/>
              <w:ind w:left="58"/>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4.65 %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vMerge w:val="restart"/>
          </w:tcPr>
          <w:p>
            <w:pPr>
              <w:jc w:val="center"/>
              <w:ind w:left="78"/>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53</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2014:</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Record Dates</w:t>
            </w:r>
          </w:p>
        </w:tc>
        <w:tc>
          <w:tcPr>
            <w:tcW w:w="3700" w:type="dxa"/>
            <w:vAlign w:val="bottom"/>
            <w:gridSpan w:val="3"/>
            <w:vMerge w:val="restart"/>
          </w:tcPr>
          <w:p>
            <w:pPr>
              <w:jc w:val="right"/>
              <w:ind w:right="660"/>
              <w:spacing w:after="0"/>
              <w:rPr>
                <w:sz w:val="20"/>
                <w:szCs w:val="20"/>
                <w:color w:val="auto"/>
              </w:rPr>
            </w:pPr>
            <w:r>
              <w:rPr>
                <w:rFonts w:ascii="Arial" w:cs="Arial" w:eastAsia="Arial" w:hAnsi="Arial"/>
                <w:sz w:val="18"/>
                <w:szCs w:val="18"/>
                <w:b w:val="1"/>
                <w:bCs w:val="1"/>
                <w:color w:val="auto"/>
              </w:rPr>
              <w:t>Payment Dates</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1"/>
              </w:rPr>
              <w:t>Distributions</w:t>
            </w:r>
          </w:p>
        </w:tc>
        <w:tc>
          <w:tcPr>
            <w:tcW w:w="0" w:type="dxa"/>
            <w:vAlign w:val="bottom"/>
          </w:tcPr>
          <w:p>
            <w:pPr>
              <w:spacing w:after="0"/>
              <w:rPr>
                <w:sz w:val="1"/>
                <w:szCs w:val="1"/>
                <w:color w:val="auto"/>
              </w:rPr>
            </w:pPr>
          </w:p>
        </w:tc>
      </w:tr>
      <w:tr>
        <w:trPr>
          <w:trHeight w:val="217"/>
        </w:trPr>
        <w:tc>
          <w:tcPr>
            <w:tcW w:w="4840" w:type="dxa"/>
            <w:vAlign w:val="bottom"/>
            <w:gridSpan w:val="2"/>
            <w:vMerge w:val="continue"/>
          </w:tcPr>
          <w:p>
            <w:pPr>
              <w:spacing w:after="0"/>
              <w:rPr>
                <w:sz w:val="18"/>
                <w:szCs w:val="18"/>
                <w:color w:val="auto"/>
              </w:rPr>
            </w:pPr>
          </w:p>
        </w:tc>
        <w:tc>
          <w:tcPr>
            <w:tcW w:w="37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Declared</w:t>
            </w: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1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March 22, 2017</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April 3,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22, 2016</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January 3, 2017</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September 21, 2016</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October 3, 2016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2016</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July 1, 2016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March 18, 2016</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April 1, 2016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2015</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January 4, 2016</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September 21, 2015</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October 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15, 2015</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July 1, 2015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March 20, 2015</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April 1, 2015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19, 2014</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January 2, 2015</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In January 2017, a Form 1099-DIV was sent to stockholders subject to information reporting that will state the amount and composition of distributions and provide information with respect to appropriate tax treatment of our distributions.</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tax characteristics of distributions declared, in accordance with Section 19(a) of the 1940 Act, during the fiscal years ended September 30, 2016 and 2015 from ordinary income totaled $58.1 million and $83.3 million, or $0.81 and $1.11 per share, respectively, based on weighted average shares outstanding for the respective periods. Additionally, for the fiscal year ended September 30, 2016, we had long-term capital gain distributions of $21.7 million, or $0.30 per share, based on weighted average shares outstanding.</w:t>
      </w:r>
    </w:p>
    <w:p>
      <w:pPr>
        <w:spacing w:after="0" w:line="143"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4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We did not engage in any sales of unregistered securities during the three months ended December 31, 2016 and the fiscal years ended September 30, 2016, 2015 and 2014, respectively.</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240" w:top="459" w:right="5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5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 regions.</w:t>
      </w:r>
    </w:p>
    <w:p>
      <w:pPr>
        <w:spacing w:after="0" w:line="39"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Our wholly owned subsidiaries, SBIC LP and SBIC II, were organized as Delaware limited partnerships in May 2010 and July 2012, respectively. SBIC LP and SBIC II received licenses from the SBA to operate as SBICs, under Section 301(c) of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$3.0 billion in debt and equity capital and has invested $6.0 billion in 430 companies with over 170 different financial sponsors through its managed funds.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jc w:val="both"/>
        <w:ind w:left="660" w:right="160" w:hanging="314"/>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becomes difficult at times when institutional investors seek to invest in larger, more liquid offerings. We believe this has made it harder for middle-market companies to raise funds by issuing high-yield debt securities from time to time.</w:t>
      </w:r>
    </w:p>
    <w:p>
      <w:pPr>
        <w:spacing w:after="0" w:line="55" w:lineRule="exact"/>
        <w:rPr>
          <w:rFonts w:ascii="Arial" w:cs="Arial" w:eastAsia="Arial" w:hAnsi="Arial"/>
          <w:sz w:val="18"/>
          <w:szCs w:val="18"/>
          <w:color w:val="auto"/>
        </w:rPr>
      </w:pPr>
    </w:p>
    <w:p>
      <w:pPr>
        <w:ind w:left="660" w:right="220" w:hanging="314"/>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 hedge</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CLO funds have withdrawn, and may again withdraw, capital from the middle-market, resulting in opportunities for alternative funding sources.</w:t>
      </w:r>
    </w:p>
    <w:p>
      <w:pPr>
        <w:spacing w:after="0" w:line="51" w:lineRule="exact"/>
        <w:rPr>
          <w:rFonts w:ascii="Arial" w:cs="Arial" w:eastAsia="Arial" w:hAnsi="Arial"/>
          <w:sz w:val="18"/>
          <w:szCs w:val="18"/>
          <w:color w:val="auto"/>
        </w:rPr>
      </w:pPr>
    </w:p>
    <w:p>
      <w:pPr>
        <w:ind w:left="660" w:right="20" w:hanging="314"/>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have reduced lending to middle-market and non-investment grade borrowers. As a result, there is less competition in our market, more conservative capital structures, higher yields and stronger covenants.</w:t>
      </w:r>
    </w:p>
    <w:p>
      <w:pPr>
        <w:spacing w:after="0" w:line="51" w:lineRule="exact"/>
        <w:rPr>
          <w:rFonts w:ascii="Arial" w:cs="Arial" w:eastAsia="Arial" w:hAnsi="Arial"/>
          <w:sz w:val="18"/>
          <w:szCs w:val="18"/>
          <w:color w:val="auto"/>
        </w:rPr>
      </w:pPr>
    </w:p>
    <w:p>
      <w:pPr>
        <w:ind w:left="660" w:right="140" w:hanging="314"/>
        <w:spacing w:after="0" w:line="30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hanging="314"/>
        <w:spacing w:after="0" w:line="29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lack of demand offers attractive risk-reward to investors.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25"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8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jc w:val="both"/>
        <w:ind w:right="100" w:firstLine="571"/>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71"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58"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25" w:lineRule="exact"/>
        <w:rPr>
          <w:sz w:val="20"/>
          <w:szCs w:val="20"/>
          <w:color w:val="auto"/>
        </w:rPr>
      </w:pPr>
    </w:p>
    <w:p>
      <w:pPr>
        <w:ind w:left="1140" w:hanging="335"/>
        <w:spacing w:after="0"/>
        <w:tabs>
          <w:tab w:leader="none" w:pos="1140"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97" w:lineRule="exact"/>
        <w:rPr>
          <w:sz w:val="20"/>
          <w:szCs w:val="20"/>
          <w:color w:val="auto"/>
        </w:rPr>
      </w:pPr>
    </w:p>
    <w:p>
      <w:pPr>
        <w:ind w:left="1140" w:hanging="335"/>
        <w:spacing w:after="0"/>
        <w:tabs>
          <w:tab w:leader="none" w:pos="11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risk-reward. We can invest in all parts of a capital structure and our Investment Adviser has extensive experience in a wide variety of securities for leveraged companies throughout economic and market cycles.</w:t>
      </w:r>
    </w:p>
    <w:p>
      <w:pPr>
        <w:spacing w:after="0" w:line="113"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05"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which we believe has resulted in a less competitive environment for making new investments.</w:t>
      </w:r>
    </w:p>
    <w:p>
      <w:pPr>
        <w:spacing w:after="0" w:line="111"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maintain a multi-currency $545.0 million Credit Facility which matures in June 2019, and is secured by substantially all of our investment portfolio assets (excluding the assets of our SBIC Funds), under which we had $148.1 million and $50.3 million, respectively, outstanding borrowings with a weighted average interest rate of 2.63% and 2.76% as of December 31, 2016 and September 30, 2016, respectively, excluding the undrawn commitment fees of 0.375%. Pricing of borrowings under our current Credit Facility is set at 225 basis points over LIBOR. As of December 31, 2016 and September 30, 2016, we had $396.9 million and $494.7 million, respectively, of unused borrowing capacity under our Credit Facility subject to regulatory restrictions. We believe that our capital resources will provide us with the flexibility to take advantage of market opportunities when they arise. Our use of leverage, as calculated under the asset coverage requirements of the 1940 Act, may generally range between 60% and 80% of our net assets.</w:t>
      </w:r>
    </w:p>
    <w:p>
      <w:pPr>
        <w:spacing w:after="0" w:line="9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of December 31, 2016 and September 30, 2016, our SBIC Funds had $225 million in debt commitments, of which $197.5 million was drawn, with a weighted average interest rate of 3.44% for each period, exclusive of 3.43% of upfront fees. The SBA debentures mature between September 2020 and September 2026.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our SBIC Funds and have a priority claim over such assets relative to all other creditors. See “Regulation” for more information.</w:t>
      </w:r>
    </w:p>
    <w:p>
      <w:pPr>
        <w:spacing w:after="0" w:line="89"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As of December 31, 2016 and September 30, 2016, we had $250.0 million in aggregate principal amount of 2019 Notes outstanding.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86"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As of December 31, 2016 and September 30, 2016, we had $71.3 million in aggregate principal amount of 2025 Notes outstanding. Interest on the 2025 Notes accrues at a rate of 6.25% per year and is paid quarterly.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seek to create a diversified portfolio that includes senior secured debt, mezzanine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20" w:lineRule="exact"/>
        <w:rPr>
          <w:sz w:val="20"/>
          <w:szCs w:val="20"/>
          <w:color w:val="auto"/>
        </w:rPr>
      </w:pPr>
    </w:p>
    <w:p>
      <w:pPr>
        <w:ind w:right="160" w:firstLine="565"/>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senior secured debt, mezzanine debt and, to a lesser extent, equity investments in qualifying assets such as private, or thinly traded or small market-capitalization, U.S. middle 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Selection Criteria” for more information.</w:t>
      </w:r>
    </w:p>
    <w:p>
      <w:pPr>
        <w:spacing w:after="0" w:line="117"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securities. Nevertheless, the effects of changes to our operating policies and strategies may adversely affect our business, our ability to make distributions and the value of our securities.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debt.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84" w:lineRule="exact"/>
        <w:rPr>
          <w:sz w:val="20"/>
          <w:szCs w:val="20"/>
          <w:color w:val="auto"/>
        </w:rPr>
      </w:pPr>
    </w:p>
    <w:p>
      <w:pPr>
        <w:ind w:left="1120" w:hanging="437"/>
        <w:spacing w:after="0"/>
        <w:tabs>
          <w:tab w:leader="none" w:pos="11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84" w:lineRule="exact"/>
        <w:rPr>
          <w:sz w:val="20"/>
          <w:szCs w:val="20"/>
          <w:color w:val="auto"/>
        </w:rPr>
      </w:pPr>
    </w:p>
    <w:p>
      <w:pPr>
        <w:ind w:left="1120" w:hanging="437"/>
        <w:spacing w:after="0"/>
        <w:tabs>
          <w:tab w:leader="none" w:pos="11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20" w:hanging="437"/>
        <w:spacing w:after="0"/>
        <w:tabs>
          <w:tab w:leader="none" w:pos="11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20" w:hanging="437"/>
        <w:spacing w:after="0"/>
        <w:tabs>
          <w:tab w:leader="none" w:pos="11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20" w:hanging="437"/>
        <w:spacing w:after="0"/>
        <w:tabs>
          <w:tab w:leader="none" w:pos="11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industries and geographies</w:t>
      </w:r>
    </w:p>
    <w:p>
      <w:pPr>
        <w:spacing w:after="0" w:line="9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Investment Adviser seeks to invest our assets broadly among portfolio companies, across industries and geographic regions. The Investment Adviser believes that this approach may reduce the risk that a downturn in any one portfolio company, industry or geographic region will have a disproportionate impact on the value of our portfolio, although we are permitted to be non-diversified under the 1940 Act.</w:t>
      </w:r>
    </w:p>
    <w:p>
      <w:pPr>
        <w:spacing w:after="0" w:line="181" w:lineRule="exact"/>
        <w:rPr>
          <w:sz w:val="20"/>
          <w:szCs w:val="20"/>
          <w:color w:val="auto"/>
        </w:rPr>
      </w:pPr>
    </w:p>
    <w:p>
      <w:pPr>
        <w:ind w:left="1120" w:hanging="437"/>
        <w:spacing w:after="0"/>
        <w:tabs>
          <w:tab w:leader="none" w:pos="11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158"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44"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0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3" w:lineRule="exact"/>
        <w:rPr>
          <w:sz w:val="20"/>
          <w:szCs w:val="20"/>
          <w:color w:val="auto"/>
        </w:rPr>
      </w:pPr>
    </w:p>
    <w:p>
      <w:pPr>
        <w:ind w:right="140" w:firstLine="571"/>
        <w:spacing w:after="0" w:line="370" w:lineRule="auto"/>
        <w:rPr>
          <w:sz w:val="20"/>
          <w:szCs w:val="20"/>
          <w:color w:val="auto"/>
        </w:rPr>
      </w:pPr>
      <w:r>
        <w:rPr>
          <w:rFonts w:ascii="Arial" w:cs="Arial" w:eastAsia="Arial" w:hAnsi="Arial"/>
          <w:sz w:val="15"/>
          <w:szCs w:val="15"/>
          <w:color w:val="auto"/>
        </w:rPr>
        <w:t>We expect our senior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35" w:lineRule="exact"/>
        <w:rPr>
          <w:sz w:val="20"/>
          <w:szCs w:val="20"/>
          <w:color w:val="auto"/>
        </w:rPr>
      </w:pPr>
    </w:p>
    <w:p>
      <w:pPr>
        <w:ind w:right="40" w:firstLine="571"/>
        <w:spacing w:after="0" w:line="323" w:lineRule="auto"/>
        <w:rPr>
          <w:sz w:val="20"/>
          <w:szCs w:val="20"/>
          <w:color w:val="auto"/>
        </w:rPr>
      </w:pPr>
      <w:r>
        <w:rPr>
          <w:rFonts w:ascii="Arial" w:cs="Arial" w:eastAsia="Arial" w:hAnsi="Arial"/>
          <w:sz w:val="15"/>
          <w:szCs w:val="15"/>
          <w:color w:val="auto"/>
        </w:rPr>
        <w:t>Typically, our mezzanine debt investments have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71" w:lineRule="exact"/>
        <w:rPr>
          <w:sz w:val="20"/>
          <w:szCs w:val="20"/>
          <w:color w:val="auto"/>
        </w:rPr>
      </w:pPr>
    </w:p>
    <w:p>
      <w:pPr>
        <w:ind w:firstLine="342"/>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5" w:lineRule="exact"/>
        <w:rPr>
          <w:sz w:val="20"/>
          <w:szCs w:val="20"/>
          <w:color w:val="auto"/>
        </w:rPr>
      </w:pPr>
    </w:p>
    <w:p>
      <w:pPr>
        <w:ind w:left="900" w:right="220" w:hanging="67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57" w:lineRule="exact"/>
        <w:rPr>
          <w:rFonts w:ascii="Arial" w:cs="Arial" w:eastAsia="Arial" w:hAnsi="Arial"/>
          <w:sz w:val="18"/>
          <w:szCs w:val="18"/>
          <w:color w:val="auto"/>
        </w:rPr>
      </w:pPr>
    </w:p>
    <w:p>
      <w:pPr>
        <w:jc w:val="both"/>
        <w:ind w:left="900" w:right="320" w:hanging="676"/>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8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58"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118" w:lineRule="exact"/>
        <w:rPr>
          <w:sz w:val="20"/>
          <w:szCs w:val="20"/>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57" w:lineRule="exact"/>
        <w:rPr>
          <w:rFonts w:ascii="Arial" w:cs="Arial" w:eastAsia="Arial" w:hAnsi="Arial"/>
          <w:sz w:val="18"/>
          <w:szCs w:val="18"/>
          <w:color w:val="auto"/>
        </w:rPr>
      </w:pPr>
    </w:p>
    <w:p>
      <w:pPr>
        <w:ind w:left="900" w:right="200" w:hanging="67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144"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principal investment focus is to provide senior secured debt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 Aerospace and Defense</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Energy/Utilities</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 Auto Sector</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Building Materials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High Tech Industries</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 Business Services</w:t>
            </w:r>
          </w:p>
        </w:tc>
        <w:tc>
          <w:tcPr>
            <w:tcW w:w="5420" w:type="dxa"/>
            <w:vAlign w:val="bottom"/>
            <w:gridSpan w:val="2"/>
          </w:tcPr>
          <w:p>
            <w:pPr>
              <w:ind w:left="800"/>
              <w:spacing w:after="0"/>
              <w:rPr>
                <w:sz w:val="20"/>
                <w:szCs w:val="20"/>
                <w:color w:val="auto"/>
              </w:rPr>
            </w:pPr>
            <w:r>
              <w:rPr>
                <w:rFonts w:ascii="Arial" w:cs="Arial" w:eastAsia="Arial" w:hAnsi="Arial"/>
                <w:sz w:val="18"/>
                <w:szCs w:val="18"/>
                <w:color w:val="auto"/>
                <w:w w:val="90"/>
              </w:rPr>
              <w:t>• Home &amp; Office Furnishings, Housewares &amp; Durable Consumer</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90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Leisure, Amusement, Motion Picture, 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Consumer Products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 Consumer Services</w:t>
            </w:r>
          </w:p>
        </w:tc>
        <w:tc>
          <w:tcPr>
            <w:tcW w:w="5420" w:type="dxa"/>
            <w:vAlign w:val="bottom"/>
            <w:gridSpan w:val="2"/>
          </w:tcPr>
          <w:p>
            <w:pPr>
              <w:ind w:left="80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Containers Packaging &amp; Glass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Mining, Steel, Iron and Non-Precious Metals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Retail</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Wholesale</w:t>
            </w:r>
          </w:p>
        </w:tc>
      </w:tr>
    </w:tbl>
    <w:p>
      <w:pPr>
        <w:spacing w:after="0" w:line="142"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236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98"/>
              </w:rPr>
              <w:t>December 31, 2016</w:t>
            </w:r>
          </w:p>
        </w:tc>
        <w:tc>
          <w:tcPr>
            <w:tcW w:w="340" w:type="dxa"/>
            <w:vAlign w:val="bottom"/>
          </w:tcPr>
          <w:p>
            <w:pPr>
              <w:spacing w:after="0"/>
              <w:rPr>
                <w:sz w:val="20"/>
                <w:szCs w:val="20"/>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230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30, 2016</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Parq Holdings Limited Partnership</w:t>
            </w: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Parq Holdings Limited Partnership</w:t>
            </w: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vMerge w:val="continue"/>
            <w:shd w:val="clear" w:color="auto" w:fill="CCEEFF"/>
          </w:tcPr>
          <w:p>
            <w:pPr>
              <w:spacing w:after="0"/>
              <w:rPr>
                <w:sz w:val="17"/>
                <w:szCs w:val="17"/>
                <w:color w:val="auto"/>
              </w:rPr>
            </w:pPr>
          </w:p>
        </w:tc>
        <w:tc>
          <w:tcPr>
            <w:tcW w:w="1620" w:type="dxa"/>
            <w:vAlign w:val="bottom"/>
            <w:gridSpan w:val="2"/>
            <w:shd w:val="clear" w:color="auto" w:fill="CCEEFF"/>
          </w:tcPr>
          <w:p>
            <w:pPr>
              <w:ind w:left="1340"/>
              <w:spacing w:after="0" w:line="203" w:lineRule="exact"/>
              <w:rPr>
                <w:sz w:val="20"/>
                <w:szCs w:val="20"/>
                <w:color w:val="auto"/>
              </w:rPr>
            </w:pPr>
            <w:r>
              <w:rPr>
                <w:rFonts w:ascii="Arial" w:cs="Arial" w:eastAsia="Arial" w:hAnsi="Arial"/>
                <w:sz w:val="18"/>
                <w:szCs w:val="18"/>
                <w:color w:val="auto"/>
                <w:w w:val="99"/>
              </w:rPr>
              <w:t>6%</w:t>
            </w:r>
          </w:p>
        </w:tc>
        <w:tc>
          <w:tcPr>
            <w:tcW w:w="340" w:type="dxa"/>
            <w:vAlign w:val="bottom"/>
            <w:vMerge w:val="continue"/>
          </w:tcPr>
          <w:p>
            <w:pPr>
              <w:spacing w:after="0"/>
              <w:rPr>
                <w:sz w:val="17"/>
                <w:szCs w:val="17"/>
                <w:color w:val="auto"/>
              </w:rPr>
            </w:pPr>
          </w:p>
        </w:tc>
        <w:tc>
          <w:tcPr>
            <w:tcW w:w="3800" w:type="dxa"/>
            <w:vAlign w:val="bottom"/>
            <w:gridSpan w:val="2"/>
            <w:vMerge w:val="continue"/>
            <w:shd w:val="clear" w:color="auto" w:fill="CCEEFF"/>
          </w:tcPr>
          <w:p>
            <w:pPr>
              <w:spacing w:after="0"/>
              <w:rPr>
                <w:sz w:val="17"/>
                <w:szCs w:val="17"/>
                <w:color w:val="auto"/>
              </w:rPr>
            </w:pPr>
          </w:p>
        </w:tc>
        <w:tc>
          <w:tcPr>
            <w:tcW w:w="1680" w:type="dxa"/>
            <w:vAlign w:val="bottom"/>
            <w:gridSpan w:val="2"/>
            <w:shd w:val="clear" w:color="auto" w:fill="CCEEFF"/>
          </w:tcPr>
          <w:p>
            <w:pPr>
              <w:ind w:left="1400"/>
              <w:spacing w:after="0" w:line="203"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RAM Energy LLC</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RAM Energy LLC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Legal Services, Inc.</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Affinion Group Holdings, Inc.</w:t>
            </w:r>
          </w:p>
        </w:tc>
        <w:tc>
          <w:tcPr>
            <w:tcW w:w="16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Affinion Group Holdings, Inc.</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Pre-Paid Legal Services, Inc.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Jacobs Entertainment, Inc.</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Jacobs Entertainment, Inc.</w:t>
            </w:r>
          </w:p>
        </w:tc>
        <w:tc>
          <w:tcPr>
            <w:tcW w:w="16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ETX Energy, LLC</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Novitex Acquisition, LLC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Novitex Acquisition, LLC</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Cascade Environmental LLC</w:t>
            </w:r>
          </w:p>
        </w:tc>
        <w:tc>
          <w:tcPr>
            <w:tcW w:w="16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Sunborn Oy, Sunborn Saga Oy</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w w:val="93"/>
              </w:rPr>
              <w:t>ETX Energy, LLC (f/k/a New Gulf Resources, LLC)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Cascade Environmental LLC</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Howard Berger Co. LLC</w:t>
            </w:r>
          </w:p>
        </w:tc>
        <w:tc>
          <w:tcPr>
            <w:tcW w:w="16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Acre Operating Company, LLC</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LSF9 Atlantis Holdings, LLC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Industry</w:t>
            </w:r>
          </w:p>
        </w:tc>
        <w:tc>
          <w:tcPr>
            <w:tcW w:w="3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December 31, 2016</w:t>
            </w:r>
          </w:p>
        </w:tc>
        <w:tc>
          <w:tcPr>
            <w:tcW w:w="340" w:type="dxa"/>
            <w:vAlign w:val="bottom"/>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Industry</w:t>
            </w:r>
          </w:p>
        </w:tc>
        <w:tc>
          <w:tcPr>
            <w:tcW w:w="312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September 30, 2016</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vMerge w:val="continue"/>
            <w:shd w:val="clear" w:color="auto" w:fill="CCEEFF"/>
          </w:tcPr>
          <w:p>
            <w:pPr>
              <w:spacing w:after="0"/>
              <w:rPr>
                <w:sz w:val="17"/>
                <w:szCs w:val="17"/>
                <w:color w:val="auto"/>
              </w:rPr>
            </w:pPr>
          </w:p>
        </w:tc>
        <w:tc>
          <w:tcPr>
            <w:tcW w:w="1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w:t>
            </w:r>
          </w:p>
        </w:tc>
        <w:tc>
          <w:tcPr>
            <w:tcW w:w="340" w:type="dxa"/>
            <w:vAlign w:val="bottom"/>
            <w:vMerge w:val="continue"/>
          </w:tcPr>
          <w:p>
            <w:pPr>
              <w:spacing w:after="0"/>
              <w:rPr>
                <w:sz w:val="17"/>
                <w:szCs w:val="17"/>
                <w:color w:val="auto"/>
              </w:rPr>
            </w:pPr>
          </w:p>
        </w:tc>
        <w:tc>
          <w:tcPr>
            <w:tcW w:w="3800" w:type="dxa"/>
            <w:vAlign w:val="bottom"/>
            <w:gridSpan w:val="2"/>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Consumer Products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Consumer Products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Personal, Food and Miscellaneous Services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Personal, Food and Miscellaneous Services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Business Services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Aerospace and Defense</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Energy/Utilities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Energy/Utilities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Aerospace and Defense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Environmental Services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Electronics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Media</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Oil and Gas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Oil and Gas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05"/>
        </w:trPr>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571"/>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2016.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2016 Consolidated Financial Statements included elsewhere in this prospectus.</w:t>
      </w:r>
    </w:p>
    <w:p>
      <w:pPr>
        <w:spacing w:after="0" w:line="14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Type of Investment,</w:t>
            </w: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40" w:type="dxa"/>
            <w:vAlign w:val="bottom"/>
            <w:gridSpan w:val="2"/>
            <w:vMerge w:val="continue"/>
          </w:tcPr>
          <w:p>
            <w:pPr>
              <w:spacing w:after="0"/>
              <w:rPr>
                <w:sz w:val="11"/>
                <w:szCs w:val="11"/>
                <w:color w:val="auto"/>
              </w:rPr>
            </w:pPr>
          </w:p>
        </w:tc>
        <w:tc>
          <w:tcPr>
            <w:tcW w:w="13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4"/>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Addrdss of Portfolio Company</w:t>
            </w:r>
          </w:p>
        </w:tc>
        <w:tc>
          <w:tcPr>
            <w:tcW w:w="1720" w:type="dxa"/>
            <w:vAlign w:val="bottom"/>
          </w:tcPr>
          <w:p>
            <w:pPr>
              <w:spacing w:after="0"/>
              <w:rPr>
                <w:sz w:val="15"/>
                <w:szCs w:val="15"/>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Nature of Business</w:t>
            </w:r>
          </w:p>
        </w:tc>
        <w:tc>
          <w:tcPr>
            <w:tcW w:w="2540" w:type="dxa"/>
            <w:vAlign w:val="bottom"/>
            <w:gridSpan w:val="2"/>
          </w:tcPr>
          <w:p>
            <w:pPr>
              <w:jc w:val="center"/>
              <w:ind w:right="36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300" w:type="dxa"/>
            <w:vAlign w:val="bottom"/>
            <w:gridSpan w:val="2"/>
          </w:tcPr>
          <w:p>
            <w:pPr>
              <w:jc w:val="center"/>
              <w:ind w:right="540"/>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90"/>
        </w:trPr>
        <w:tc>
          <w:tcPr>
            <w:tcW w:w="4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Companies Less than 5% Owned</w:t>
            </w:r>
          </w:p>
        </w:tc>
        <w:tc>
          <w:tcPr>
            <w:tcW w:w="20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Acre Operating Company</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Electronics</w:t>
            </w: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Second Lien Secured Debt,</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   38,121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300 State Street</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L+950, 12/12/2023</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New London, CT 06320</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 Holdings, Inc.</w:t>
            </w:r>
          </w:p>
        </w:tc>
        <w:tc>
          <w:tcPr>
            <w:tcW w:w="2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Healthcare, Education and</w:t>
            </w: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Preferred Equity</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10039 Bissonnet Street, Ste. 250</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Childcare</w:t>
            </w: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4"/>
              </w:rPr>
              <w:t>Warrants</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77036</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Alegeus Technologies, LLC</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Financial Services</w:t>
            </w: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Subordinated Debt,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0.5%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(Alegeus Technologies Holdings Corp.)</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L+1,200, 02/15/2019</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1601 Trapelo Rd.</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Preferred Equity</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Waltham, MA 02451</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Common Equity</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 Gaming I, LLC</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Hotels, Motels, Inns and</w:t>
            </w: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First Lien Secured Debt,</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23,118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6680 Amelia Earhart Court</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Gaming</w:t>
            </w: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L+825, 12/21/2020</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NV 89119</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ASP LCG Holdings, Inc.</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Education</w:t>
            </w: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Warrants</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21333 Haggerty Road, Ste. 300</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Novi, MI 48375</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Autumn Games, LLC</w:t>
            </w:r>
          </w:p>
        </w:tc>
        <w:tc>
          <w:tcPr>
            <w:tcW w:w="2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Broadcasting and</w:t>
            </w: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Common Equity</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 Thompson St.</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Entertainment</w:t>
            </w: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10012</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Balboa Capital Corporation</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Financial Services</w:t>
            </w: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Second Lien Secured Debt,</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28,500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2010 Main Street, Suite 1100</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13.75% fixed, 03/04/2022</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Irvine, CA 92614</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Broder Bros., Co.</w:t>
            </w:r>
          </w:p>
        </w:tc>
        <w:tc>
          <w:tcPr>
            <w:tcW w:w="2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Consumer Products</w:t>
            </w: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First Lien Secured Debt,</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18,281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Neshaminy Interplex, 6 Floor</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Tranche A (L+575,</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Trevose, PA 19053</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06/03/2021),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Tranche B (L+1,225,</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06/03/2021)</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Cardinal Logistics Holdings LLC</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Cargo Transport</w:t>
            </w: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Second Lien Secured Debt,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0.4%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(Intermediate Transportation 100, LLC)</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 03/01/2017</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12404 Park Central Dr., Ste. 300</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Common Equity</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Dallas, TX 75251</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Cascade Environmental LLC</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Environmental Services</w:t>
            </w: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Subordinated Debt,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38,431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17270 Woodinville-Redmond Road</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12.0% fixed, 08/20/2021</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Woodinville, WA 98072</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Common Equity</w:t>
            </w: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80" w:type="dxa"/>
            <w:vAlign w:val="bottom"/>
          </w:tcPr>
          <w:p>
            <w:pPr>
              <w:jc w:val="right"/>
              <w:ind w:right="454"/>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Type of Investment,</w:t>
            </w:r>
          </w:p>
        </w:tc>
        <w:tc>
          <w:tcPr>
            <w:tcW w:w="124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87"/>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1240" w:type="dxa"/>
            <w:vAlign w:val="bottom"/>
            <w:gridSpan w:val="2"/>
          </w:tcPr>
          <w:p>
            <w:pPr>
              <w:jc w:val="center"/>
              <w:ind w:right="392"/>
              <w:spacing w:after="0" w:line="135" w:lineRule="exact"/>
              <w:rPr>
                <w:sz w:val="20"/>
                <w:szCs w:val="20"/>
                <w:color w:val="auto"/>
              </w:rPr>
            </w:pPr>
            <w:r>
              <w:rPr>
                <w:rFonts w:ascii="Arial" w:cs="Arial" w:eastAsia="Arial" w:hAnsi="Arial"/>
                <w:sz w:val="14"/>
                <w:szCs w:val="14"/>
                <w:b w:val="1"/>
                <w:bCs w:val="1"/>
                <w:color w:val="auto"/>
                <w:w w:val="84"/>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Addrdss of Portfolio Company</w:t>
            </w:r>
          </w:p>
        </w:tc>
        <w:tc>
          <w:tcPr>
            <w:tcW w:w="1760" w:type="dxa"/>
            <w:vAlign w:val="bottom"/>
          </w:tcPr>
          <w:p>
            <w:pPr>
              <w:spacing w:after="0"/>
              <w:rPr>
                <w:sz w:val="15"/>
                <w:szCs w:val="15"/>
                <w:color w:val="auto"/>
              </w:rPr>
            </w:pP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Nature of Business</w:t>
            </w:r>
          </w:p>
        </w:tc>
        <w:tc>
          <w:tcPr>
            <w:tcW w:w="264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240" w:type="dxa"/>
            <w:vAlign w:val="bottom"/>
            <w:gridSpan w:val="2"/>
          </w:tcPr>
          <w:p>
            <w:pPr>
              <w:jc w:val="center"/>
              <w:ind w:right="392"/>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81"/>
        </w:trPr>
        <w:tc>
          <w:tcPr>
            <w:tcW w:w="43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CI (Galls) Prime Investment Holdings, LLC</w:t>
            </w:r>
          </w:p>
        </w:tc>
        <w:tc>
          <w:tcPr>
            <w:tcW w:w="20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Distribution</w:t>
            </w:r>
          </w:p>
        </w:tc>
        <w:tc>
          <w:tcPr>
            <w:tcW w:w="28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Common Equity</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60"/>
              <w:spacing w:after="0" w:line="182" w:lineRule="exact"/>
              <w:rPr>
                <w:sz w:val="20"/>
                <w:szCs w:val="20"/>
                <w:color w:val="auto"/>
              </w:rPr>
            </w:pPr>
            <w:r>
              <w:rPr>
                <w:rFonts w:ascii="Arial" w:cs="Arial" w:eastAsia="Arial" w:hAnsi="Arial"/>
                <w:sz w:val="18"/>
                <w:szCs w:val="18"/>
                <w:color w:val="auto"/>
                <w:w w:val="71"/>
              </w:rPr>
              <w:t>3.1</w:t>
            </w:r>
          </w:p>
        </w:tc>
        <w:tc>
          <w:tcPr>
            <w:tcW w:w="480" w:type="dxa"/>
            <w:vAlign w:val="bottom"/>
            <w:tcBorders>
              <w:top w:val="single" w:sz="8" w:color="CCEEFF"/>
            </w:tcBorders>
            <w:shd w:val="clear" w:color="auto" w:fill="CCEEFF"/>
          </w:tcPr>
          <w:p>
            <w:pPr>
              <w:jc w:val="right"/>
              <w:ind w:right="232"/>
              <w:spacing w:after="0" w:line="182" w:lineRule="exact"/>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4,002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1340 Russell Cave Road</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Lexington, KY 40505</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8"/>
                <w:szCs w:val="18"/>
                <w:color w:val="auto"/>
              </w:rPr>
              <w:t>Convergint Technologies Holdings, LLC</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Electronics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Preferred Equity</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1651 Wilkening Rd.</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Schaumburg, IL 60173</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Infonet, Inc.</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Personal, Food and</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10,789</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4540 Honeywell Court</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Miscelleneous Services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13.25% fixed (PIK 2.00%),</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Dayton, OH 45424</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10/26/2018</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8"/>
                <w:szCs w:val="18"/>
                <w:color w:val="auto"/>
              </w:rPr>
              <w:t>East Valley Tourist Development Authority</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Hotels, Motels, Inns and</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First Lien Secured Debt,</w:t>
            </w: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84-245 Indio Springs Parkway</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Gaming</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L+800, 01/17/2022</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Indio, CA 92203</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e.l.f. Beauty, Inc.</w:t>
            </w:r>
          </w:p>
        </w:tc>
        <w:tc>
          <w:tcPr>
            <w:tcW w:w="23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Consumer Products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26,371</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J. A. Cosmetics US, Inc.)</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345 California Street, Ste. 3300</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Francisco, CA 94104</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8"/>
                <w:szCs w:val="18"/>
                <w:color w:val="auto"/>
              </w:rPr>
              <w:t>Goldsun Trading Limited</w:t>
            </w:r>
            <w:r>
              <w:rPr>
                <w:rFonts w:ascii="Arial" w:cs="Arial" w:eastAsia="Arial" w:hAnsi="Arial"/>
                <w:sz w:val="11"/>
                <w:szCs w:val="11"/>
                <w:color w:val="auto"/>
              </w:rPr>
              <w:t>(6)</w:t>
            </w:r>
          </w:p>
        </w:tc>
        <w:tc>
          <w:tcPr>
            <w:tcW w:w="23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Healthcare, Education and</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First Floor, Millennium House</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Childcare</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L+1,000 (PIK 6.00%),</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Victoria Road, Douglas, Isle of Man</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8"/>
              </w:rPr>
              <w:t>02/19/2018</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IM2 4RW</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Harbortouch Payments, LLC</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Financial Services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22,163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2202 N. Irving Street</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L+950, 10/11/2024</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Allentown, PA 18109</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8"/>
                <w:szCs w:val="18"/>
                <w:color w:val="auto"/>
              </w:rPr>
              <w:t>Hollander Sleep Products, LLC</w:t>
            </w:r>
          </w:p>
        </w:tc>
        <w:tc>
          <w:tcPr>
            <w:tcW w:w="23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Consumer Products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First Lien Secured Debt,</w:t>
            </w: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6501 Congress Avenue, Ste. 300</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L+800, 10/21/2020</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Boca Raton, FL 33487</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Berger Co. LLC</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Distribution</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36,713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324 Half Acre Road #A</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L+1,000, 09/30/2020</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Cranbury, NJ 08512</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8"/>
                <w:szCs w:val="18"/>
                <w:color w:val="auto"/>
              </w:rPr>
              <w:t>HW Holdco, LLC</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Other Media</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Preferred Equity</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One Thomas Circle, NW, Ste. 600</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Washington, DC 20005</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Interior Specialists, Inc.</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Building Materials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First Lien Secured Debt,</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(Faraday Holdings, LLC)</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L+800, 06/30/2020</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1630 Faraday Avenue</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Carlsbad, CA 92008</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8"/>
                <w:szCs w:val="18"/>
                <w:color w:val="auto"/>
              </w:rPr>
              <w:t>Jacobs Entertainment, Inc.</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Hotels, Motels, Inns and</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50,740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17301 W. Colfax Ave., Ste. 250</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Gaming</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L+1,175, 10/29/2019</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Golden, CO 80401</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Juniper Landscaping of Florida, LLC</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Personal, Food and</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14,910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(ZS Juniper L.P.)</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Miscelleneous Services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L+950, 12/22/2021</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5880 Staley Road</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Myers, FL 33905</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8"/>
                <w:szCs w:val="18"/>
                <w:color w:val="auto"/>
              </w:rPr>
              <w:t>Kadmon Holdings, Inc.</w:t>
            </w:r>
          </w:p>
        </w:tc>
        <w:tc>
          <w:tcPr>
            <w:tcW w:w="23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Healthcare, Education and</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Alexandria Center for Life Sciences</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Childcare</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450 East 29 Street, 5 Floor</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23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Chemicals, Plastics and</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First Lien Secured Debt,</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14,251</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3515 Massillion Road, Ste. 290</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Rubber</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L+900, 02/19/2021</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Uniontown, OH 44685</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8"/>
                <w:szCs w:val="18"/>
                <w:color w:val="auto"/>
              </w:rPr>
              <w:t>LaMi Acquistion, LLC</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Distribution</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860 Welsh Road</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Huntingdon Valley, PA 19006</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Lariat ecoserv Co-invest Holdings, LLC</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Environmental Services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1331 17th Street, Ste. 812</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Denver, CO 80202</w:t>
            </w:r>
          </w:p>
        </w:tc>
        <w:tc>
          <w:tcPr>
            <w:tcW w:w="2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Type of Investment,</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13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4"/>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Addrdss of Portfolio Company</w:t>
            </w:r>
          </w:p>
        </w:tc>
        <w:tc>
          <w:tcPr>
            <w:tcW w:w="1740" w:type="dxa"/>
            <w:vAlign w:val="bottom"/>
          </w:tcPr>
          <w:p>
            <w:pPr>
              <w:spacing w:after="0"/>
              <w:rPr>
                <w:sz w:val="15"/>
                <w:szCs w:val="15"/>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Nature of Business</w:t>
            </w:r>
          </w:p>
        </w:tc>
        <w:tc>
          <w:tcPr>
            <w:tcW w:w="256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32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81"/>
        </w:trPr>
        <w:tc>
          <w:tcPr>
            <w:tcW w:w="42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LSF9 Atlantis Holdings, LLC</w:t>
            </w:r>
          </w:p>
        </w:tc>
        <w:tc>
          <w:tcPr>
            <w:tcW w:w="2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Retail</w:t>
            </w:r>
          </w:p>
        </w:tc>
        <w:tc>
          <w:tcPr>
            <w:tcW w:w="34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First Lien Secured Debt,</w:t>
            </w: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00"/>
              <w:spacing w:after="0" w:line="18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37,899</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775 Prairie Center Drive, Suite 420</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L+900, 01/15/2021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MailSouth, Inc.</w:t>
            </w: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Printing and Publishing</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Second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26,425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5901 Highway 52 East</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L+1,050, 10/22/2021</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Helena, AL 35080</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Montreign Operating Company, LLC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Hotels, Motels, Inns and</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23,979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204 State Route 17b</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Gaming</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L+825, 01/24/2023</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Monticello, NY 12701</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Business Services</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Second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 Elmcroft Road</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L+1,100, 07/07/2021</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Stamford, CT 06926</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Parq Holdings Limited Partnership</w:t>
            </w:r>
            <w:r>
              <w:rPr>
                <w:rFonts w:ascii="Arial" w:cs="Arial" w:eastAsia="Arial" w:hAnsi="Arial"/>
                <w:sz w:val="11"/>
                <w:szCs w:val="11"/>
                <w:color w:val="auto"/>
              </w:rPr>
              <w:t>(6)</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Hotels, Motels, Inns and</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Second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77,624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Paragon Gaming, Inc.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Gaming</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L+1,200, 12/17/2021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6650 Via Austi Parkway, Suite 150</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NV 89119</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Patriot National, Inc.</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Insurance</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Common Equity</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0.4%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401 E. Las Olas Blvd., Ste. 1650</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Fort Lauderdale, FL 33301</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Personal, Food and</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Second Lien Secured Debt,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70,362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(MidOcean PPL Holdings, Inc.)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Miscellaneous Services</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L+900, 07/01/2020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Pre-Paid Way</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 OK 74820</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Prince Mineral Holdings Corp.</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Mining, Steel, Iron and</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14 East 44th Street</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Non-Precious Metals</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11.50% fixed, 12/16/2019</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New York, NY 10020</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Randall-Reilly, LLC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Other Media</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Subordinated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3200 Rice Mine Road NE</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12.50% fixed, 04/15/2020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Tuscaloosa, AL 35406</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Robertshaw US Holding Corp.</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Electronics</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15,711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191 East North Avenue</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L+700, 06/18/2019</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Carol Stream, IL 60188</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Roto Holdings, Inc.</w:t>
            </w:r>
          </w:p>
        </w:tc>
        <w:tc>
          <w:tcPr>
            <w:tcW w:w="23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Manufacturing /</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Subordinated Debt,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800 Howerton Lane</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Basic Industries</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11.00% fixed, 05/13/2021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Eureka, MO 63025</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Preferred Equity</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Sonny’s Enterprises, LLC</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Manufacturing / Basic</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Subordinated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5605 Hiatus Road</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Industries</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11.00% fixed, 06/01/2023</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Tamarac, FL 33321</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Sotera Defense Solutions, Inc.</w:t>
            </w:r>
          </w:p>
        </w:tc>
        <w:tc>
          <w:tcPr>
            <w:tcW w:w="23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5"/>
              </w:rPr>
              <w:t>Aerospace and Defense</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36,981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2121 Cooperative Way, Ste. 400</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L+750, 04/21/2017</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Herndon, VA 20171</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Sunborn Oy, Sunborn Saga Oy</w:t>
            </w:r>
            <w:r>
              <w:rPr>
                <w:rFonts w:ascii="Arial" w:cs="Arial" w:eastAsia="Arial" w:hAnsi="Arial"/>
                <w:sz w:val="11"/>
                <w:szCs w:val="11"/>
                <w:color w:val="auto"/>
              </w:rPr>
              <w:t>(6)</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Hotels, Motels, Inns and</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39,993</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Juhana Herttuan puistokatu 23, FI-20100</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Gaming</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L+1,050 (PIK 350),</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Turku, Finland</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07/01/2019</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Triad Manufacturing, Inc.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Manufacturing / Basic</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27,036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4321 Semple Avenue</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Industries</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L+1,075</w:t>
            </w:r>
            <w:r>
              <w:rPr>
                <w:rFonts w:ascii="Arial" w:cs="Arial" w:eastAsia="Arial" w:hAnsi="Arial"/>
                <w:sz w:val="11"/>
                <w:szCs w:val="11"/>
                <w:color w:val="auto"/>
                <w:w w:val="90"/>
              </w:rPr>
              <w:t>(5)</w:t>
            </w:r>
            <w:r>
              <w:rPr>
                <w:rFonts w:ascii="Arial" w:cs="Arial" w:eastAsia="Arial" w:hAnsi="Arial"/>
                <w:sz w:val="18"/>
                <w:szCs w:val="18"/>
                <w:color w:val="auto"/>
                <w:w w:val="90"/>
              </w:rPr>
              <w:t xml:space="preserve"> , 12/28/2020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Louis, MO 63120</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Trust Inns Limited</w:t>
            </w: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Buildings and Real Estate</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27,220</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Blenheim House Foxhole Road</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L+1,050</w:t>
            </w:r>
            <w:r>
              <w:rPr>
                <w:rFonts w:ascii="Arial" w:cs="Arial" w:eastAsia="Arial" w:hAnsi="Arial"/>
                <w:sz w:val="11"/>
                <w:szCs w:val="11"/>
                <w:color w:val="auto"/>
                <w:w w:val="90"/>
              </w:rPr>
              <w:t>(5)</w:t>
            </w:r>
            <w:r>
              <w:rPr>
                <w:rFonts w:ascii="Arial" w:cs="Arial" w:eastAsia="Arial" w:hAnsi="Arial"/>
                <w:sz w:val="18"/>
                <w:szCs w:val="18"/>
                <w:color w:val="auto"/>
                <w:w w:val="90"/>
              </w:rPr>
              <w:t xml:space="preserve"> , 02/12/2020</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Ackhurst Park Chorley</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Lancashire PR7 1NY</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Med Acquisition, Inc.</w:t>
            </w:r>
          </w:p>
        </w:tc>
        <w:tc>
          <w:tcPr>
            <w:tcW w:w="23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Healthcare, Education and</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8260 NW 27th Street, Suite 401</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Childcare</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L+900, 08/13/2021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Doral, FL 33122</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Type of Investment,</w:t>
            </w: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136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4"/>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Addrdss of Portfolio Company</w:t>
            </w:r>
          </w:p>
        </w:tc>
        <w:tc>
          <w:tcPr>
            <w:tcW w:w="1540" w:type="dxa"/>
            <w:vAlign w:val="bottom"/>
          </w:tcPr>
          <w:p>
            <w:pPr>
              <w:spacing w:after="0"/>
              <w:rPr>
                <w:sz w:val="15"/>
                <w:szCs w:val="15"/>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Nature of Business</w:t>
            </w:r>
          </w:p>
        </w:tc>
        <w:tc>
          <w:tcPr>
            <w:tcW w:w="264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360" w:type="dxa"/>
            <w:vAlign w:val="bottom"/>
            <w:gridSpan w:val="2"/>
          </w:tcPr>
          <w:p>
            <w:pPr>
              <w:jc w:val="center"/>
              <w:ind w:right="600"/>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81"/>
        </w:trPr>
        <w:tc>
          <w:tcPr>
            <w:tcW w:w="40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U.S. Well Services, LLC</w:t>
            </w:r>
          </w:p>
        </w:tc>
        <w:tc>
          <w:tcPr>
            <w:tcW w:w="21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Oil and Gas</w:t>
            </w:r>
          </w:p>
        </w:tc>
        <w:tc>
          <w:tcPr>
            <w:tcW w:w="28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00"/>
              <w:spacing w:after="0" w:line="182"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13,193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770 South Post Oak Lane, Ste. 405</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L+1,350</w:t>
            </w:r>
            <w:r>
              <w:rPr>
                <w:rFonts w:ascii="Arial" w:cs="Arial" w:eastAsia="Arial" w:hAnsi="Arial"/>
                <w:sz w:val="11"/>
                <w:szCs w:val="11"/>
                <w:color w:val="auto"/>
                <w:w w:val="90"/>
              </w:rPr>
              <w:t>(5)</w:t>
            </w:r>
            <w:r>
              <w:rPr>
                <w:rFonts w:ascii="Arial" w:cs="Arial" w:eastAsia="Arial" w:hAnsi="Arial"/>
                <w:sz w:val="18"/>
                <w:szCs w:val="18"/>
                <w:color w:val="auto"/>
                <w:w w:val="90"/>
              </w:rPr>
              <w:t xml:space="preserve"> PIK, 05/02/2019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VT Buyer Acquisition Corp.</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Business Services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12,863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290 West Mount Pleasant Avenue,</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L+975, 01/30/2023</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Suite 3200</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Livingston, NJ 07039</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WD Wolverine Holdings, LLC</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Healthcare, Education and</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 Eagle Landing Drive</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Childcare</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L+950, 10/17/2024</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Lakeland, FL 33810</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Companies 5% to 24% Owned</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Consumer Products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61,101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Inc.)</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L+700, 10/31/2018</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International Holdings</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Limited)</w:t>
            </w:r>
            <w:r>
              <w:rPr>
                <w:rFonts w:ascii="Arial" w:cs="Arial" w:eastAsia="Arial" w:hAnsi="Arial"/>
                <w:sz w:val="11"/>
                <w:szCs w:val="11"/>
                <w:color w:val="auto"/>
              </w:rPr>
              <w:t>(6)</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7.50% fixed (PIK 4.00%),</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High Ridge Park</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07/30/2018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CT 06850</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American Gilsonite Company</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Diversified Natural Resources,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First Lien Secured Debt,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18,131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29950 South Bonanza Highway</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Precious Metals and Minerals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15.00% PIK fixed, 12/31/2021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Bonanza, UT 84008</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17.00% PIK fixed, 12/31/2021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Cano Health, LLC</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Healthcare, Education and</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(ITC Rumba, LLC)</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Childcare</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L+1,000, 12/23/2021</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680 N. University Drive</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Pembroke Pines, FL 33024</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Corfin Industries LLC</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Aerospace and Defense</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First Lien Secured Debt</w:t>
            </w:r>
            <w:r>
              <w:rPr>
                <w:rFonts w:ascii="Arial" w:cs="Arial" w:eastAsia="Arial" w:hAnsi="Arial"/>
                <w:sz w:val="11"/>
                <w:szCs w:val="11"/>
                <w:color w:val="auto"/>
                <w:w w:val="90"/>
              </w:rPr>
              <w:t>(4)</w:t>
            </w:r>
            <w:r>
              <w:rPr>
                <w:rFonts w:ascii="Arial" w:cs="Arial" w:eastAsia="Arial" w:hAnsi="Arial"/>
                <w:sz w:val="18"/>
                <w:szCs w:val="18"/>
                <w:color w:val="auto"/>
                <w:w w:val="90"/>
              </w:rPr>
              <w:t xml:space="preserve"> ,</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26,069</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(Corfin InvestCo, L.P.)</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L+975, 11/25/2020</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7B Raymond Avenue</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r>
              <w:rPr>
                <w:rFonts w:ascii="Arial" w:cs="Arial" w:eastAsia="Arial" w:hAnsi="Arial"/>
                <w:sz w:val="11"/>
                <w:szCs w:val="11"/>
                <w:color w:val="auto"/>
                <w:w w:val="90"/>
              </w:rPr>
              <w:t>(4)</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Salem, NH 03079</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DirectBuy Holdings, Inc.</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Consumer Products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8450 Broadway</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 11/05/2019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Merrillville, IN 46410</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Warrants</w:t>
            </w: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EnviroSolutions Real Property Holdings, Inc.</w:t>
            </w: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Environmental Services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22,761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(EnviroSolutions Holdings, Inc.)</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L+800, 12/26/2017</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11220 Asset Loop, Ste. 201</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Manassas, VA 20109</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ETX Energy, LLC</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Oil and Gas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r>
              <w:rPr>
                <w:rFonts w:ascii="Arial" w:cs="Arial" w:eastAsia="Arial" w:hAnsi="Arial"/>
                <w:sz w:val="11"/>
                <w:szCs w:val="11"/>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45,743</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(ETX Energy Management Company, LLC)</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12.50% PIK fixed, 05/03/2021</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10441 S. Regal Blvd. Ste. 210</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Tulsa, OK 74133</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PAS International Holdings, Inc.</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Aerospace and Defense</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First Lien Secured Debt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15,524</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(PAS Technologies, Inc.)</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L+500, (PIK 1.00%), 03/21/2017</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1234 Atlantic Street</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Preferred Equity</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North Kansas City, MO 64116</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jc w:val="right"/>
              <w:ind w:right="373"/>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Type of Investment,</w:t>
            </w:r>
          </w:p>
        </w:tc>
        <w:tc>
          <w:tcPr>
            <w:tcW w:w="1380" w:type="dxa"/>
            <w:vAlign w:val="bottom"/>
            <w:gridSpan w:val="2"/>
          </w:tcPr>
          <w:p>
            <w:pPr>
              <w:jc w:val="center"/>
              <w:ind w:right="552"/>
              <w:spacing w:after="0"/>
              <w:rPr>
                <w:sz w:val="20"/>
                <w:szCs w:val="20"/>
                <w:color w:val="auto"/>
              </w:rPr>
            </w:pPr>
            <w:r>
              <w:rPr>
                <w:rFonts w:ascii="Arial" w:cs="Arial" w:eastAsia="Arial" w:hAnsi="Arial"/>
                <w:sz w:val="14"/>
                <w:szCs w:val="14"/>
                <w:b w:val="1"/>
                <w:bCs w:val="1"/>
                <w:color w:val="auto"/>
                <w:w w:val="87"/>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1380" w:type="dxa"/>
            <w:vAlign w:val="bottom"/>
            <w:gridSpan w:val="2"/>
          </w:tcPr>
          <w:p>
            <w:pPr>
              <w:jc w:val="center"/>
              <w:ind w:right="512"/>
              <w:spacing w:after="0" w:line="135" w:lineRule="exact"/>
              <w:rPr>
                <w:sz w:val="20"/>
                <w:szCs w:val="20"/>
                <w:color w:val="auto"/>
              </w:rPr>
            </w:pPr>
            <w:r>
              <w:rPr>
                <w:rFonts w:ascii="Arial" w:cs="Arial" w:eastAsia="Arial" w:hAnsi="Arial"/>
                <w:sz w:val="14"/>
                <w:szCs w:val="14"/>
                <w:b w:val="1"/>
                <w:bCs w:val="1"/>
                <w:color w:val="auto"/>
                <w:w w:val="82"/>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Name and Addrdss of Portfolio Company</w:t>
            </w:r>
          </w:p>
        </w:tc>
        <w:tc>
          <w:tcPr>
            <w:tcW w:w="2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Nature of Business</w:t>
            </w:r>
          </w:p>
        </w:tc>
        <w:tc>
          <w:tcPr>
            <w:tcW w:w="266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380" w:type="dxa"/>
            <w:vAlign w:val="bottom"/>
            <w:gridSpan w:val="2"/>
          </w:tcPr>
          <w:p>
            <w:pPr>
              <w:jc w:val="center"/>
              <w:ind w:right="512"/>
              <w:spacing w:after="0" w:line="162" w:lineRule="exact"/>
              <w:rPr>
                <w:sz w:val="20"/>
                <w:szCs w:val="20"/>
                <w:color w:val="auto"/>
              </w:rPr>
            </w:pPr>
            <w:r>
              <w:rPr>
                <w:rFonts w:ascii="Arial" w:cs="Arial" w:eastAsia="Arial" w:hAnsi="Arial"/>
                <w:sz w:val="12"/>
                <w:szCs w:val="12"/>
                <w:b w:val="1"/>
                <w:bCs w:val="1"/>
                <w:color w:val="auto"/>
              </w:rPr>
              <w:t>Ownership</w:t>
            </w:r>
            <w:r>
              <w:rPr>
                <w:rFonts w:ascii="Arial" w:cs="Arial" w:eastAsia="Arial" w:hAnsi="Arial"/>
                <w:sz w:val="18"/>
                <w:szCs w:val="18"/>
                <w:b w:val="1"/>
                <w:bCs w:val="1"/>
                <w:color w:val="auto"/>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Service Champ, Inc.</w:t>
            </w:r>
          </w:p>
        </w:tc>
        <w:tc>
          <w:tcPr>
            <w:tcW w:w="158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Auto Sector</w:t>
            </w:r>
          </w:p>
        </w:tc>
        <w:tc>
          <w:tcPr>
            <w:tcW w:w="28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Subordinated Debt,</w:t>
            </w: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7.7</w:t>
            </w:r>
          </w:p>
        </w:tc>
        <w:tc>
          <w:tcPr>
            <w:tcW w:w="600" w:type="dxa"/>
            <w:vAlign w:val="bottom"/>
            <w:tcBorders>
              <w:top w:val="single" w:sz="8" w:color="CCEEFF"/>
            </w:tcBorders>
            <w:shd w:val="clear" w:color="auto" w:fill="CCEEFF"/>
          </w:tcPr>
          <w:p>
            <w:pPr>
              <w:jc w:val="right"/>
              <w:ind w:right="372"/>
              <w:spacing w:after="0" w:line="182" w:lineRule="exact"/>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35,537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Service Champ Holdings, Inc.)</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12.50% fixed, 10/02/2017</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180 New Britain Blvd.</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Chalfont, PA 18914</w:t>
            </w:r>
          </w:p>
        </w:tc>
        <w:tc>
          <w:tcPr>
            <w:tcW w:w="2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TRAK Acquisition Corp.</w:t>
            </w:r>
          </w:p>
        </w:tc>
        <w:tc>
          <w:tcPr>
            <w:tcW w:w="238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Business Services</w:t>
            </w: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First Lien Secured Debt,</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28,456</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1001 Brickell Bay Drive, 27 Floor</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L+1,050, 04/30/2018</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Miami, FL 33131</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Companies 25% or More Owned</w:t>
            </w:r>
          </w:p>
        </w:tc>
        <w:tc>
          <w:tcPr>
            <w:tcW w:w="2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MidOcean JF Holdings Corp.</w:t>
            </w:r>
          </w:p>
        </w:tc>
        <w:tc>
          <w:tcPr>
            <w:tcW w:w="23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Distribution</w:t>
            </w: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Preferred Equity</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35.7%</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1330 St. Mary’s Street, Ste. 210</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Raleigh, NC 27605</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Energy LLC</w:t>
            </w:r>
          </w:p>
        </w:tc>
        <w:tc>
          <w:tcPr>
            <w:tcW w:w="23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Energy and Utilities</w:t>
            </w:r>
          </w:p>
        </w:tc>
        <w:tc>
          <w:tcPr>
            <w:tcW w:w="2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First Lien Secured Debt,</w:t>
            </w:r>
          </w:p>
        </w:tc>
        <w:tc>
          <w:tcPr>
            <w:tcW w:w="13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Energy Holdings LLC)</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L+800 PIK, 07/18/2019</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2100 South Utica Avenue, Ste. 165</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Tulsa, OK 74114</w:t>
            </w:r>
          </w:p>
        </w:tc>
        <w:tc>
          <w:tcPr>
            <w:tcW w:w="2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Superior Digital Displays, LLC</w:t>
            </w:r>
          </w:p>
        </w:tc>
        <w:tc>
          <w:tcPr>
            <w:tcW w:w="23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Media</w:t>
            </w: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First Lien Secured Debt,</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57.7%</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32,436</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(Superior Digital Displays Holdings, Inc)</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L+1,300 PIK, 12/31/2018</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125 Park Ave. 25th Floor</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Second Lien Secured Debt,</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New York, NY 10017</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L+1,500 PIK, 07/01/2019</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Preferred Equity</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$ 1,325,544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120" w:hanging="572"/>
        <w:spacing w:after="0" w:line="284"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basis point spread above index for floating rate instruments, or fixed rate for instruments if no index is indicated, that accrue interest at a predetermined spread relative to an index, typically the applicable LIBOR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Voting ownership percentage refers only to common equity, preferred equity and warrants held, if any, were we to have voting rights.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than 0.1% voting ownership percentage</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Coupon is not subject to a LIBOR or Prime rate floor.</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that we hold voting seats on portfolio companies’ boards of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December 31,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Parq Holdings Limited Partnership (Hotels, Motels, Inns and Gaming)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Parq Holdings Limited Partnership is constructing a gaming and hotel complex in downtown Vancouver, Canada.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Pre-Paid Legal Services, Inc. (Personal, Food and Miscellaneous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Legal Services, Inc. provides legal services and identity theft monitoring and protection to its members.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RAM Energy LLC (Energy and Utilities)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RAM Energy LLC is an exploration and production company focused on operations in the Arkansas-Louisiana-Texas and Permian regions.</w:t>
      </w:r>
    </w:p>
    <w:p>
      <w:pPr>
        <w:spacing w:after="0" w:line="194"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Industry Classification</w:t>
            </w:r>
          </w:p>
        </w:tc>
        <w:tc>
          <w:tcPr>
            <w:tcW w:w="1740" w:type="dxa"/>
            <w:vAlign w:val="bottom"/>
          </w:tcPr>
          <w:p>
            <w:pPr>
              <w:spacing w:after="0"/>
              <w:rPr>
                <w:sz w:val="20"/>
                <w:szCs w:val="20"/>
                <w:color w:val="auto"/>
              </w:rPr>
            </w:pPr>
          </w:p>
        </w:tc>
        <w:tc>
          <w:tcPr>
            <w:tcW w:w="3040" w:type="dxa"/>
            <w:vAlign w:val="bottom"/>
            <w:gridSpan w:val="2"/>
          </w:tcPr>
          <w:p>
            <w:pPr>
              <w:jc w:val="right"/>
              <w:ind w:right="1620"/>
              <w:spacing w:after="0"/>
              <w:rPr>
                <w:sz w:val="20"/>
                <w:szCs w:val="20"/>
                <w:color w:val="auto"/>
              </w:rPr>
            </w:pPr>
            <w:r>
              <w:rPr>
                <w:rFonts w:ascii="Arial" w:cs="Arial" w:eastAsia="Arial" w:hAnsi="Arial"/>
                <w:sz w:val="18"/>
                <w:szCs w:val="18"/>
                <w:b w:val="1"/>
                <w:bCs w:val="1"/>
                <w:color w:val="auto"/>
                <w:w w:val="86"/>
              </w:rPr>
              <w:t>December 31, 2016</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September 30,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Hotels, Motels, Inns and Gaming</w:t>
            </w:r>
          </w:p>
        </w:tc>
        <w:tc>
          <w:tcPr>
            <w:tcW w:w="174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jc w:val="right"/>
              <w:ind w:right="1480"/>
              <w:spacing w:after="0" w:line="203" w:lineRule="exact"/>
              <w:rPr>
                <w:sz w:val="20"/>
                <w:szCs w:val="20"/>
                <w:color w:val="auto"/>
              </w:rPr>
            </w:pPr>
            <w:r>
              <w:rPr>
                <w:rFonts w:ascii="Arial" w:cs="Arial" w:eastAsia="Arial" w:hAnsi="Arial"/>
                <w:sz w:val="18"/>
                <w:szCs w:val="18"/>
                <w:color w:val="auto"/>
              </w:rPr>
              <w:t>17%</w:t>
            </w:r>
          </w:p>
        </w:tc>
        <w:tc>
          <w:tcPr>
            <w:tcW w:w="1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8</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7</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6</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6</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Energy and Utilities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5</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5</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5</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4</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4</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4</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4</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Media</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1</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3"/>
            <w:shd w:val="clear" w:color="auto" w:fill="CCEEFF"/>
          </w:tcPr>
          <w:p>
            <w:pPr>
              <w:jc w:val="right"/>
              <w:ind w:right="148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40" w:type="dxa"/>
            <w:vAlign w:val="bottom"/>
            <w:vMerge w:val="restart"/>
          </w:tcPr>
          <w:p>
            <w:pPr>
              <w:jc w:val="right"/>
              <w:ind w:right="812"/>
              <w:spacing w:after="0"/>
              <w:rPr>
                <w:sz w:val="20"/>
                <w:szCs w:val="20"/>
                <w:color w:val="auto"/>
              </w:rPr>
            </w:pPr>
            <w:r>
              <w:rPr>
                <w:rFonts w:ascii="Arial" w:cs="Arial" w:eastAsia="Arial" w:hAnsi="Arial"/>
                <w:sz w:val="18"/>
                <w:szCs w:val="18"/>
                <w:color w:val="auto"/>
              </w:rPr>
              <w:t>71</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or directors,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Director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Since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of Term</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Chairman of the Board and Chief Executive Officer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 Corporation.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 Corporation.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address for each director and executive officer is c/o PennantPark Investment Corporation, 590 Madison Avenue, 15th Floor,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registered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29"/>
        <w:spacing w:after="0" w:line="294" w:lineRule="auto"/>
        <w:rPr>
          <w:sz w:val="20"/>
          <w:szCs w:val="20"/>
          <w:color w:val="auto"/>
        </w:rPr>
      </w:pPr>
      <w:r>
        <w:rPr>
          <w:rFonts w:ascii="Arial" w:cs="Arial" w:eastAsia="Arial" w:hAnsi="Arial"/>
          <w:sz w:val="16"/>
          <w:szCs w:val="16"/>
          <w:color w:val="auto"/>
        </w:rPr>
        <w:t>Adam K. Bernstein (53), Director. Mr. Bernstein became a Director of PennantPark Investment and PennantPark Floating Rate Capital Ltd. in February 2007 and October 2010,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Marshall Brozost (49), Director. Mr. Brozost became a Director of PennantPark Investment Corporation and PennantPark Floating Rate Capital Ltd. in February 2007 and October 2010,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3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Jeffrey Flug (54), Director. Mr. Flug became a Director of PennantPark Investment and PennantPark Floating Rate Capital Ltd. in February 2007 and October 2010,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Samuel L. Katz (51), Director. Mr. Katz became a Director of PennantPark Investment and PennantPark Floating Rate Capital Ltd. in February 2007 and October 2010,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Arthur H. Penn (53), Founder, Chief Executive Officer and Chairman of the board of directors. Mr. Penn became the Chief Executive Officer and a Director of PennantPark Investment and PennantPark Floating Rate Capital Ltd. at their inception in 2007 and 2010, respectively. He also founded and became Managing Member of PennantPark Investment Advisers in January 2007. Mr. Penn co-founded Apollo Investment Management in 2004, where he was a Managing Partner from 2004 to 2007.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Aviv Efrat (52),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Guy F. Talarico (61), Chief Compliance Officer. Mr. Talarico became Chief Compliance Officer of PennantPark Investment and PennantPark Floating Rate Capital Ltd. in May 2008 and March 2011, respectively. Mr. Talarico has held the position of Chief Compliance Officer for a number of investment advisers, private funds and investment companies from 2004 when he founded Alaric Compliance Services,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For the fiscal year ended September 30, 2016, we held five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2016, four of the directors attended the annual stockholders’ meeting.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6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p>
    <w:p>
      <w:pPr>
        <w:spacing w:after="0" w:line="3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J.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37"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2016. No compensation is paid directly by us to any interested director or executive officer of the Company.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PennantPark Investment Corporation</w:t>
            </w:r>
          </w:p>
        </w:tc>
        <w:tc>
          <w:tcPr>
            <w:tcW w:w="100" w:type="dxa"/>
            <w:vAlign w:val="bottom"/>
          </w:tcPr>
          <w:p>
            <w:pPr>
              <w:spacing w:after="0"/>
              <w:rPr>
                <w:sz w:val="14"/>
                <w:szCs w:val="14"/>
                <w:color w:val="auto"/>
              </w:rPr>
            </w:pPr>
          </w:p>
        </w:tc>
        <w:tc>
          <w:tcPr>
            <w:tcW w:w="2980" w:type="dxa"/>
            <w:vAlign w:val="bottom"/>
            <w:gridSpan w:val="6"/>
          </w:tcPr>
          <w:p>
            <w:pPr>
              <w:ind w:left="240"/>
              <w:spacing w:after="0"/>
              <w:rPr>
                <w:sz w:val="20"/>
                <w:szCs w:val="20"/>
                <w:color w:val="auto"/>
              </w:rPr>
            </w:pPr>
            <w:r>
              <w:rPr>
                <w:rFonts w:ascii="Arial" w:cs="Arial" w:eastAsia="Arial" w:hAnsi="Arial"/>
                <w:sz w:val="14"/>
                <w:szCs w:val="14"/>
                <w:b w:val="1"/>
                <w:bCs w:val="1"/>
                <w:color w:val="auto"/>
              </w:rPr>
              <w:t>PennantPark Floating Rate Capital, Ltd.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Pension or</w:t>
            </w: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Aggregate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Aggregate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3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benefits accrued</w:t>
            </w:r>
          </w:p>
        </w:tc>
        <w:tc>
          <w:tcPr>
            <w:tcW w:w="3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paid 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from the</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340" w:type="dxa"/>
            <w:vAlign w:val="bottom"/>
          </w:tcPr>
          <w:p>
            <w:pPr>
              <w:spacing w:after="0"/>
              <w:rPr>
                <w:sz w:val="11"/>
                <w:szCs w:val="11"/>
                <w:color w:val="auto"/>
              </w:rPr>
            </w:pPr>
          </w:p>
        </w:tc>
        <w:tc>
          <w:tcPr>
            <w:tcW w:w="1220" w:type="dxa"/>
            <w:vAlign w:val="bottom"/>
            <w:gridSpan w:val="3"/>
          </w:tcPr>
          <w:p>
            <w:pPr>
              <w:jc w:val="right"/>
              <w:ind w:right="420"/>
              <w:spacing w:after="0" w:line="135" w:lineRule="exact"/>
              <w:rPr>
                <w:sz w:val="20"/>
                <w:szCs w:val="20"/>
                <w:color w:val="auto"/>
              </w:rPr>
            </w:pPr>
            <w:r>
              <w:rPr>
                <w:rFonts w:ascii="Arial" w:cs="Arial" w:eastAsia="Arial" w:hAnsi="Arial"/>
                <w:sz w:val="14"/>
                <w:szCs w:val="14"/>
                <w:b w:val="1"/>
                <w:bCs w:val="1"/>
                <w:color w:val="auto"/>
                <w:w w:val="93"/>
              </w:rPr>
              <w:t>Total paid to</w:t>
            </w:r>
          </w:p>
        </w:tc>
        <w:tc>
          <w:tcPr>
            <w:tcW w:w="100" w:type="dxa"/>
            <w:vAlign w:val="bottom"/>
          </w:tcPr>
          <w:p>
            <w:pPr>
              <w:spacing w:after="0"/>
              <w:rPr>
                <w:sz w:val="11"/>
                <w:szCs w:val="11"/>
                <w:color w:val="auto"/>
              </w:rPr>
            </w:pPr>
          </w:p>
        </w:tc>
        <w:tc>
          <w:tcPr>
            <w:tcW w:w="10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from the</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as part of our</w:t>
            </w:r>
          </w:p>
        </w:tc>
        <w:tc>
          <w:tcPr>
            <w:tcW w:w="34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62"/>
        </w:trPr>
        <w:tc>
          <w:tcPr>
            <w:tcW w:w="318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Company</w:t>
            </w:r>
          </w:p>
        </w:tc>
        <w:tc>
          <w:tcPr>
            <w:tcW w:w="94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3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Company</w:t>
            </w:r>
          </w:p>
        </w:tc>
        <w:tc>
          <w:tcPr>
            <w:tcW w:w="9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3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16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15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gridSpan w:val="2"/>
          </w:tcPr>
          <w:p>
            <w:pPr>
              <w:ind w:left="15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122,500</w:t>
            </w:r>
          </w:p>
        </w:tc>
        <w:tc>
          <w:tcPr>
            <w:tcW w:w="3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None</w:t>
            </w:r>
          </w:p>
        </w:tc>
        <w:tc>
          <w:tcPr>
            <w:tcW w:w="5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122,500</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61,250</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None</w:t>
            </w:r>
          </w:p>
        </w:tc>
        <w:tc>
          <w:tcPr>
            <w:tcW w:w="980" w:type="dxa"/>
            <w:vAlign w:val="bottom"/>
            <w:tcBorders>
              <w:top w:val="single" w:sz="8" w:color="CCEEFF"/>
            </w:tcBorders>
            <w:gridSpan w:val="3"/>
          </w:tcPr>
          <w:p>
            <w:pPr>
              <w:jc w:val="center"/>
              <w:ind w:left="192"/>
              <w:spacing w:after="0"/>
              <w:rPr>
                <w:sz w:val="20"/>
                <w:szCs w:val="20"/>
                <w:color w:val="auto"/>
              </w:rPr>
            </w:pPr>
            <w:r>
              <w:rPr>
                <w:rFonts w:ascii="Arial" w:cs="Arial" w:eastAsia="Arial" w:hAnsi="Arial"/>
                <w:sz w:val="18"/>
                <w:szCs w:val="18"/>
                <w:color w:val="auto"/>
                <w:w w:val="89"/>
              </w:rPr>
              <w:t>$61,250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61,250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9"/>
              </w:rPr>
              <w:t>$61,250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132,500</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None</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132,500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63,750</w:t>
            </w:r>
          </w:p>
        </w:tc>
        <w:tc>
          <w:tcPr>
            <w:tcW w:w="96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9"/>
              </w:rPr>
              <w:t>$63,750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180" w:hanging="172"/>
        <w:spacing w:after="0"/>
        <w:tabs>
          <w:tab w:leader="none" w:pos="1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$110,000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officers and indemnify such persons against certain losses. Independent Directors have the option to receive their directors’ fees paid in shares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our common stock issued at a price per share equal to the greater of NAV or the market price at the time of payment. No compensation is expected to be paid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“interested persons” (as defined in the 1940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addition to managing our investments, as of September 30, 2016, our portfolio managers also managed investments on behalf of the following entities: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2740" w:val="left"/>
          <w:tab w:leader="none" w:pos="44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Entity</w:t>
      </w:r>
      <w:r>
        <w:rPr>
          <w:sz w:val="20"/>
          <w:szCs w:val="20"/>
          <w:color w:val="auto"/>
        </w:rPr>
        <w:tab/>
      </w:r>
      <w:r>
        <w:rPr>
          <w:rFonts w:ascii="Arial" w:cs="Arial" w:eastAsia="Arial" w:hAnsi="Arial"/>
          <w:sz w:val="15"/>
          <w:szCs w:val="15"/>
          <w:b w:val="1"/>
          <w:bCs w:val="1"/>
          <w:color w:val="auto"/>
        </w:rPr>
        <w:t>Investment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Gross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w:t>
      </w:r>
    </w:p>
    <w:p>
      <w:pPr>
        <w:spacing w:after="0" w:line="9" w:lineRule="exact"/>
        <w:rPr>
          <w:sz w:val="20"/>
          <w:szCs w:val="20"/>
          <w:color w:val="auto"/>
        </w:rPr>
      </w:pPr>
    </w:p>
    <w:p>
      <w:pPr>
        <w:sectPr>
          <w:pgSz w:w="11900" w:h="16838" w:orient="portrait"/>
          <w:cols w:equalWidth="0" w:num="2">
            <w:col w:w="9620" w:space="720"/>
            <w:col w:w="1040"/>
          </w:cols>
          <w:pgMar w:left="240" w:top="459" w:right="27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62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1"/>
              </w:rPr>
              <w:t>PennantPark Floating Rate Capital</w:t>
            </w:r>
          </w:p>
        </w:tc>
        <w:tc>
          <w:tcPr>
            <w:tcW w:w="80" w:type="dxa"/>
            <w:vAlign w:val="bottom"/>
          </w:tcPr>
          <w:p>
            <w:pPr>
              <w:spacing w:after="0"/>
              <w:rPr>
                <w:sz w:val="17"/>
                <w:szCs w:val="17"/>
                <w:color w:val="auto"/>
              </w:rPr>
            </w:pPr>
          </w:p>
        </w:tc>
        <w:tc>
          <w:tcPr>
            <w:tcW w:w="162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85"/>
              </w:rPr>
              <w:t>Business development</w:t>
            </w: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Ltd.</w:t>
            </w:r>
          </w:p>
        </w:tc>
        <w:tc>
          <w:tcPr>
            <w:tcW w:w="162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Direct Lending</w:t>
            </w:r>
          </w:p>
        </w:tc>
      </w:tr>
      <w:tr>
        <w:trPr>
          <w:trHeight w:val="236"/>
        </w:trPr>
        <w:tc>
          <w:tcPr>
            <w:tcW w:w="270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60"/>
              <w:spacing w:after="0"/>
              <w:rPr>
                <w:sz w:val="20"/>
                <w:szCs w:val="20"/>
                <w:color w:val="auto"/>
              </w:rPr>
            </w:pPr>
            <w:r>
              <w:rPr>
                <w:rFonts w:ascii="Arial" w:cs="Arial" w:eastAsia="Arial" w:hAnsi="Arial"/>
                <w:sz w:val="18"/>
                <w:szCs w:val="18"/>
                <w:color w:val="auto"/>
              </w:rPr>
              <w:t>Fund</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600" w:firstLine="44"/>
        <w:spacing w:after="0" w:line="268" w:lineRule="auto"/>
        <w:rPr>
          <w:sz w:val="20"/>
          <w:szCs w:val="20"/>
          <w:color w:val="auto"/>
        </w:rPr>
      </w:pPr>
      <w:r>
        <w:rPr>
          <w:rFonts w:ascii="Arial" w:cs="Arial" w:eastAsia="Arial" w:hAnsi="Arial"/>
          <w:sz w:val="18"/>
          <w:szCs w:val="18"/>
          <w:color w:val="auto"/>
        </w:rPr>
        <w:t>Primarily floating rate loans, with an emphasis on senior secured loans, in middle-market leveraged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credit opportunities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$631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$ 70</w:t>
      </w:r>
    </w:p>
    <w:p>
      <w:pPr>
        <w:spacing w:after="0" w:line="171" w:lineRule="exact"/>
        <w:rPr>
          <w:sz w:val="20"/>
          <w:szCs w:val="20"/>
          <w:color w:val="auto"/>
        </w:rPr>
      </w:pPr>
    </w:p>
    <w:p>
      <w:pPr>
        <w:sectPr>
          <w:pgSz w:w="11900" w:h="16838" w:orient="portrait"/>
          <w:cols w:equalWidth="0" w:num="3">
            <w:col w:w="4320" w:space="100"/>
            <w:col w:w="5880" w:space="720"/>
            <w:col w:w="360"/>
          </w:cols>
          <w:pgMar w:left="240" w:top="459" w:right="279" w:bottom="1440" w:gutter="0" w:footer="0" w:header="0"/>
          <w:type w:val="continuous"/>
        </w:sectPr>
      </w:pPr>
    </w:p>
    <w:p>
      <w:pPr>
        <w:ind w:right="20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As of March 17, 2017, to our knowledge, no person would be deemed to “control” us, as such term is defined in the 1940 Act. Our board of directors consists of an interested director and Independent Directors.</w:t>
      </w:r>
    </w:p>
    <w:p>
      <w:pPr>
        <w:spacing w:after="0" w:line="132"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The following table sets forth, as of March 17, 2017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of Common</w:t>
            </w:r>
          </w:p>
        </w:tc>
        <w:tc>
          <w:tcPr>
            <w:tcW w:w="0" w:type="dxa"/>
            <w:vAlign w:val="bottom"/>
          </w:tcPr>
          <w:p>
            <w:pPr>
              <w:spacing w:after="0"/>
              <w:rPr>
                <w:sz w:val="1"/>
                <w:szCs w:val="1"/>
                <w:color w:val="auto"/>
              </w:rPr>
            </w:pPr>
          </w:p>
        </w:tc>
      </w:tr>
      <w:tr>
        <w:trPr>
          <w:trHeight w:val="216"/>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1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(3)</w:t>
            </w: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24"/>
        </w:trPr>
        <w:tc>
          <w:tcPr>
            <w:tcW w:w="7160" w:type="dxa"/>
            <w:vAlign w:val="bottom"/>
            <w:gridSpan w:val="3"/>
            <w:vMerge w:val="continue"/>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Owned</w:t>
            </w:r>
          </w:p>
        </w:tc>
        <w:tc>
          <w:tcPr>
            <w:tcW w:w="380" w:type="dxa"/>
            <w:vAlign w:val="bottom"/>
          </w:tcPr>
          <w:p>
            <w:pPr>
              <w:spacing w:after="0"/>
              <w:rPr>
                <w:sz w:val="19"/>
                <w:szCs w:val="19"/>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p>
        </w:tc>
        <w:tc>
          <w:tcPr>
            <w:tcW w:w="212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46,430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212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320,560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189,291</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663,323</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1,335,699</w:t>
            </w:r>
          </w:p>
        </w:tc>
        <w:tc>
          <w:tcPr>
            <w:tcW w:w="3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Investment Corporation, 590 Madison Avenue, 15th Floor, New York, New York 10022.</w:t>
      </w:r>
    </w:p>
    <w:p>
      <w:pPr>
        <w:ind w:left="420" w:right="460" w:hanging="412"/>
        <w:spacing w:after="0" w:line="221"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Penn is the Managing Member of the Investment Adviser and may therefore be deemed to own beneficially the 469,923 shares of PennantPark Investment Corporation held by the Investment Adviser.</w:t>
      </w:r>
    </w:p>
    <w:p>
      <w:pPr>
        <w:ind w:left="420" w:hanging="412"/>
        <w:spacing w:after="0" w:line="221"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and Senior Investment Professionals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2016.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4980" w:type="dxa"/>
            <w:vAlign w:val="bottom"/>
            <w:gridSpan w:val="5"/>
          </w:tcPr>
          <w:p>
            <w:pPr>
              <w:jc w:val="center"/>
              <w:ind w:left="612"/>
              <w:spacing w:after="0"/>
              <w:rPr>
                <w:sz w:val="20"/>
                <w:szCs w:val="20"/>
                <w:color w:val="auto"/>
              </w:rPr>
            </w:pPr>
            <w:r>
              <w:rPr>
                <w:rFonts w:ascii="Arial" w:cs="Arial" w:eastAsia="Arial" w:hAnsi="Arial"/>
                <w:sz w:val="18"/>
                <w:szCs w:val="18"/>
                <w:b w:val="1"/>
                <w:bCs w:val="1"/>
                <w:color w:val="auto"/>
                <w:w w:val="88"/>
              </w:rPr>
              <w:t>Dollar Range of the Common Stock of the Companies</w:t>
            </w:r>
            <w:r>
              <w:rPr>
                <w:rFonts w:ascii="Arial" w:cs="Arial" w:eastAsia="Arial" w:hAnsi="Arial"/>
                <w:sz w:val="11"/>
                <w:szCs w:val="11"/>
                <w:b w:val="1"/>
                <w:bCs w:val="1"/>
                <w:color w:val="auto"/>
                <w:w w:val="88"/>
              </w:rPr>
              <w:t>(1)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19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9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Investment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Floating Rate</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 Ltd.</w:t>
            </w:r>
          </w:p>
        </w:tc>
        <w:tc>
          <w:tcPr>
            <w:tcW w:w="1120" w:type="dxa"/>
            <w:vAlign w:val="bottom"/>
          </w:tcPr>
          <w:p>
            <w:pPr>
              <w:jc w:val="center"/>
              <w:ind w:left="612"/>
              <w:spacing w:after="0"/>
              <w:rPr>
                <w:sz w:val="20"/>
                <w:szCs w:val="20"/>
                <w:color w:val="auto"/>
              </w:rPr>
            </w:pPr>
            <w:r>
              <w:rPr>
                <w:rFonts w:ascii="Arial" w:cs="Arial" w:eastAsia="Arial" w:hAnsi="Arial"/>
                <w:sz w:val="18"/>
                <w:szCs w:val="18"/>
                <w:b w:val="1"/>
                <w:bCs w:val="1"/>
                <w:color w:val="auto"/>
                <w:w w:val="88"/>
              </w:rPr>
              <w:t>Total</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$ 50,001 -$100,000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$100,001 - $</w:t>
            </w:r>
          </w:p>
        </w:tc>
        <w:tc>
          <w:tcPr>
            <w:tcW w:w="7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w w:val="96"/>
              </w:rPr>
              <w:t>$100,001 - $</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w w:val="86"/>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$100,001-$500,000</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39" w:lineRule="exact"/>
        <w:rPr>
          <w:sz w:val="20"/>
          <w:szCs w:val="20"/>
          <w:color w:val="auto"/>
        </w:rPr>
      </w:pPr>
    </w:p>
    <w:p>
      <w:pPr>
        <w:ind w:left="660" w:hanging="314"/>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86" w:lineRule="exact"/>
        <w:rPr>
          <w:rFonts w:ascii="Arial" w:cs="Arial" w:eastAsia="Arial" w:hAnsi="Arial"/>
          <w:sz w:val="16"/>
          <w:szCs w:val="16"/>
          <w:color w:val="auto"/>
        </w:rPr>
      </w:pPr>
    </w:p>
    <w:p>
      <w:pPr>
        <w:ind w:left="660" w:right="780" w:hanging="314"/>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63" w:lineRule="exact"/>
        <w:rPr>
          <w:rFonts w:ascii="Arial" w:cs="Arial" w:eastAsia="Arial" w:hAnsi="Arial"/>
          <w:sz w:val="18"/>
          <w:szCs w:val="18"/>
          <w:color w:val="auto"/>
        </w:rPr>
      </w:pPr>
    </w:p>
    <w:p>
      <w:pPr>
        <w:ind w:left="660" w:hanging="31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90"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which equal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0"/>
          <w:szCs w:val="10"/>
          <w:color w:val="auto"/>
        </w:rPr>
        <w:t>th</w:t>
      </w:r>
      <w:r>
        <w:rPr>
          <w:rFonts w:ascii="Arial" w:cs="Arial" w:eastAsia="Arial" w:hAnsi="Arial"/>
          <w:sz w:val="16"/>
          <w:szCs w:val="16"/>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year ended September 30, 2016 and through December 31, 2017, the Investment Adviser has voluntarily agreed, in consultation with the board of directors, to waive 16% of base management fees, correlated to our 16% energy exposure (oil &amp; gas and energy &amp; utilities industries) at cost as of December 31, 2015. For the three months ended December 31, 2016 and 2015, the Investment Adviser earned base management fees of $5.3 million (after a waiver of $1.0 million) and $5.5 million (after a waiver of $1.0 million), respectively, from us. For the years ended September 30, 2016, 2015 and 2014, the Investment Adviser earned base management fees of $20.9 million (after a waiver of $4.0 million), $26.7 million and $24.3 million, respectively, from us.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460" w:right="3920"/>
        <w:spacing w:after="0" w:line="261" w:lineRule="auto"/>
        <w:rPr>
          <w:sz w:val="20"/>
          <w:szCs w:val="20"/>
          <w:color w:val="auto"/>
        </w:rPr>
      </w:pPr>
      <w:r>
        <w:rPr>
          <w:rFonts w:ascii="Arial" w:cs="Arial" w:eastAsia="Arial" w:hAnsi="Arial"/>
          <w:sz w:val="18"/>
          <w:szCs w:val="18"/>
          <w:color w:val="auto"/>
        </w:rPr>
        <w:t>U.S. Treasury bills and temporary draws on credit facilities as of December 31, 20XX = $10 million Adjusted gross assets as of December 31, 20XX = $150 million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460" w:right="418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20XX = $20 million Adjusted gross assets as of March 31, 20XX = $180 million</w:t>
      </w:r>
    </w:p>
    <w:p>
      <w:pPr>
        <w:spacing w:after="0" w:line="57"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once the hurdle is reached and the catch-up is achieved, 20% of the Pre-Incentive Fee Net Investment Income thereafter is allocated to our Investment Adviser. These calculations are prorated for any share issuances or repurchases during the relevant quarter, if applicable. For the year ended September 30, 2016 and through December 31, 2017, the Investment Adviser has voluntarily agreed, in consultation with the board of directors, to waive 16% of incentive fees, correlated to our 16% energy exposure (oil &amp; gas and energy &amp; utilities industries) at cost as of December 31, 2015. For the three months ended December 31, 2016 and 2015, the Investment Adviser earned and incentive fee of $2.9 million (after a waiver of $0.5 million) and $3.2 million (after a waiver of $0.6 million), respectively, from us. For the fiscal years ended September 30, 2016, 2015 and 2014, the Investment Adviser earned $13.5 million (after a waiver of $2.5 million), $20.6 million and $17.8 million, respectively, in incentive fees on net investment income from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120015</wp:posOffset>
            </wp:positionV>
            <wp:extent cx="2573020" cy="4718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30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140" w:firstLine="571"/>
        <w:spacing w:after="0" w:line="318"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2016 and 2015 and fiscal years ended September 30, 2016, 2015 and 2014 the Investment Adviser did not earn an incentive fee on capital gains, as calculated under the Investment Management Agreement (as described above).</w:t>
      </w:r>
    </w:p>
    <w:p>
      <w:pPr>
        <w:spacing w:after="0" w:line="100"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For the three months ended December 31, 2016 and 2015 and the years ended September 30, 2016, 2015 and 2014, our unrealized and realized capital gains did not exceed our cumulative realized and unrealized losses and therefore resulted in no accrual for capital gains incentive fees under GAAP.</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740"/>
        <w:spacing w:after="0" w:line="331"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356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36" w:lineRule="exact"/>
        <w:rPr>
          <w:sz w:val="20"/>
          <w:szCs w:val="20"/>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2.00% - 1.75%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x 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3.00%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2.30%</w:t>
      </w:r>
    </w:p>
    <w:p>
      <w:pPr>
        <w:sectPr>
          <w:pgSz w:w="11900" w:h="16838" w:orient="portrait"/>
          <w:cols w:equalWidth="0" w:num="1">
            <w:col w:w="11360"/>
          </w:cols>
          <w:pgMar w:left="240" w:top="459" w:right="29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1"/>
          <w:szCs w:val="11"/>
          <w:color w:val="auto"/>
        </w:rPr>
        <w:t>(3)</w:t>
      </w:r>
    </w:p>
    <w:p>
      <w:pPr>
        <w:spacing w:after="0" w:line="36"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6"/>
          <w:szCs w:val="16"/>
          <w:color w:val="auto"/>
        </w:rPr>
      </w:pPr>
      <w:r>
        <w:rPr>
          <w:rFonts w:ascii="Arial" w:cs="Arial" w:eastAsia="Arial" w:hAnsi="Arial"/>
          <w:sz w:val="16"/>
          <w:szCs w:val="16"/>
          <w:color w:val="auto"/>
        </w:rPr>
        <w:t>100% x “catch-up” + (20% x (Pre-Incentive Fee Net Investment Income - 2.1875%))</w:t>
      </w:r>
    </w:p>
    <w:p>
      <w:pPr>
        <w:spacing w:after="0" w:line="72" w:lineRule="exact"/>
        <w:rPr>
          <w:rFonts w:ascii="Arial" w:cs="Arial" w:eastAsia="Arial" w:hAnsi="Arial"/>
          <w:sz w:val="16"/>
          <w:szCs w:val="16"/>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2.1875% - 1.75%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0.46%</w:t>
      </w:r>
    </w:p>
    <w:p>
      <w:pPr>
        <w:spacing w:after="0" w:line="200" w:lineRule="exact"/>
        <w:rPr>
          <w:sz w:val="20"/>
          <w:szCs w:val="20"/>
          <w:color w:val="auto"/>
        </w:rPr>
      </w:pPr>
    </w:p>
    <w:p>
      <w:pPr>
        <w:sectPr>
          <w:pgSz w:w="11900" w:h="16838" w:orient="portrait"/>
          <w:cols w:equalWidth="0" w:num="2">
            <w:col w:w="2009" w:space="720"/>
            <w:col w:w="8631"/>
          </w:cols>
          <w:pgMar w:left="240" w:top="459" w:right="299" w:bottom="1440" w:gutter="0" w:footer="0" w:header="0"/>
          <w:type w:val="continuous"/>
        </w:sectPr>
      </w:pPr>
    </w:p>
    <w:p>
      <w:pPr>
        <w:spacing w:after="0" w:line="171" w:lineRule="exact"/>
        <w:rPr>
          <w:sz w:val="20"/>
          <w:szCs w:val="20"/>
          <w:color w:val="auto"/>
        </w:rPr>
      </w:pPr>
    </w:p>
    <w:p>
      <w:pPr>
        <w:ind w:left="380" w:hanging="367"/>
        <w:spacing w:after="0"/>
        <w:tabs>
          <w:tab w:leader="none" w:pos="3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net assets.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ind w:left="380" w:hanging="372"/>
        <w:spacing w:after="0" w:line="230"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2.1875% in any calendar quarter.</w:t>
      </w:r>
    </w:p>
    <w:p>
      <w:pPr>
        <w:sectPr>
          <w:pgSz w:w="11900" w:h="16838" w:orient="portrait"/>
          <w:cols w:equalWidth="0" w:num="1">
            <w:col w:w="11360"/>
          </w:cols>
          <w:pgMar w:left="240" w:top="459" w:right="299" w:bottom="1440" w:gutter="0" w:footer="0" w:header="0"/>
          <w:type w:val="continuous"/>
        </w:sectPr>
      </w:pP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60"/>
          </w:cols>
          <w:pgMar w:left="240" w:top="459" w:right="29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right="380" w:firstLine="571"/>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Year 1 incentive fee</w:t>
            </w:r>
          </w:p>
        </w:tc>
        <w:tc>
          <w:tcPr>
            <w:tcW w:w="1600" w:type="dxa"/>
            <w:vAlign w:val="bottom"/>
          </w:tcPr>
          <w:p>
            <w:pPr>
              <w:ind w:left="260"/>
              <w:spacing w:after="0"/>
              <w:rPr>
                <w:sz w:val="20"/>
                <w:szCs w:val="20"/>
                <w:color w:val="auto"/>
              </w:rPr>
            </w:pPr>
            <w:r>
              <w:rPr>
                <w:rFonts w:ascii="Arial" w:cs="Arial" w:eastAsia="Arial" w:hAnsi="Arial"/>
                <w:sz w:val="18"/>
                <w:szCs w:val="18"/>
                <w:color w:val="auto"/>
              </w:rPr>
              <w:t>= 20% x (0)</w:t>
            </w:r>
          </w:p>
        </w:tc>
      </w:tr>
      <w:tr>
        <w:trPr>
          <w:trHeight w:val="243"/>
        </w:trPr>
        <w:tc>
          <w:tcPr>
            <w:tcW w:w="1680" w:type="dxa"/>
            <w:vAlign w:val="bottom"/>
          </w:tcPr>
          <w:p>
            <w:pPr>
              <w:spacing w:after="0"/>
              <w:rPr>
                <w:sz w:val="21"/>
                <w:szCs w:val="21"/>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rPr>
              <w:t>= 0</w:t>
            </w:r>
          </w:p>
        </w:tc>
      </w:tr>
      <w:tr>
        <w:trPr>
          <w:trHeight w:val="257"/>
        </w:trPr>
        <w:tc>
          <w:tcPr>
            <w:tcW w:w="16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w w:val="93"/>
              </w:rPr>
              <w:t>= no incentive fee</w:t>
            </w:r>
          </w:p>
        </w:tc>
      </w:tr>
      <w:tr>
        <w:trPr>
          <w:trHeight w:val="257"/>
        </w:trPr>
        <w:tc>
          <w:tcPr>
            <w:tcW w:w="1680" w:type="dxa"/>
            <w:vAlign w:val="bottom"/>
          </w:tcPr>
          <w:p>
            <w:pPr>
              <w:spacing w:after="0"/>
              <w:rPr>
                <w:sz w:val="20"/>
                <w:szCs w:val="20"/>
                <w:color w:val="auto"/>
              </w:rPr>
            </w:pPr>
            <w:r>
              <w:rPr>
                <w:rFonts w:ascii="Arial" w:cs="Arial" w:eastAsia="Arial" w:hAnsi="Arial"/>
                <w:sz w:val="18"/>
                <w:szCs w:val="18"/>
                <w:color w:val="auto"/>
              </w:rPr>
              <w:t>Year 2 incentive fee</w:t>
            </w:r>
          </w:p>
        </w:tc>
        <w:tc>
          <w:tcPr>
            <w:tcW w:w="1600" w:type="dxa"/>
            <w:vAlign w:val="bottom"/>
          </w:tcPr>
          <w:p>
            <w:pPr>
              <w:ind w:left="260"/>
              <w:spacing w:after="0"/>
              <w:rPr>
                <w:sz w:val="20"/>
                <w:szCs w:val="20"/>
                <w:color w:val="auto"/>
              </w:rPr>
            </w:pPr>
            <w:r>
              <w:rPr>
                <w:rFonts w:ascii="Arial" w:cs="Arial" w:eastAsia="Arial" w:hAnsi="Arial"/>
                <w:sz w:val="18"/>
                <w:szCs w:val="18"/>
                <w:color w:val="auto"/>
                <w:w w:val="90"/>
              </w:rPr>
              <w:t>= 20% x (6% -1%)</w:t>
            </w:r>
          </w:p>
        </w:tc>
      </w:tr>
      <w:tr>
        <w:trPr>
          <w:trHeight w:val="257"/>
        </w:trPr>
        <w:tc>
          <w:tcPr>
            <w:tcW w:w="16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rPr>
              <w:t>= 20% x 5%</w:t>
            </w:r>
          </w:p>
        </w:tc>
      </w:tr>
      <w:tr>
        <w:trPr>
          <w:trHeight w:val="257"/>
        </w:trPr>
        <w:tc>
          <w:tcPr>
            <w:tcW w:w="16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rPr>
              <w:t>= 1%</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2017. Unless terminated earlier as described below, the Investment Management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4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96"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reimburse the Administrator for its allocable portion of overhead and other expenses incurred by the Administrator in performing its obligations under the Administration Agreement, including rent and our allocable portion of the cost of compensation and related expenses of our Chief Compliance Officer and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three months ended December 31, 2016 and 2015, the Investment Adviser was reimbursed $0.5 million and $0.3 million, respectively, from us, including expenses incurred on behalf of the Administrator, for the services described above. For the fiscal years ended September 30, 2016, 2015 and 2014, the Investment Adviser was reimbursed $3.7 million, $3.3 million and $3.0 million, respectively, from us, including expenses it incurred on behalf of the Administrator for the services described above.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2017. Unless terminated earlier as described below, our Administration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 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40"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jc w:val="both"/>
        <w:ind w:left="800" w:right="280" w:hanging="346"/>
        <w:spacing w:after="0" w:line="306" w:lineRule="auto"/>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17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1540" w:right="800" w:hanging="796"/>
        <w:spacing w:after="0" w:line="268" w:lineRule="auto"/>
        <w:tabs>
          <w:tab w:leader="none" w:pos="152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ind w:left="1540" w:right="1060" w:hanging="796"/>
        <w:spacing w:after="0" w:line="306"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3" w:lineRule="exact"/>
        <w:rPr>
          <w:sz w:val="20"/>
          <w:szCs w:val="20"/>
          <w:color w:val="auto"/>
        </w:rPr>
      </w:pPr>
    </w:p>
    <w:p>
      <w:pPr>
        <w:ind w:left="1540" w:right="1480" w:hanging="796"/>
        <w:spacing w:after="0" w:line="268" w:lineRule="auto"/>
        <w:tabs>
          <w:tab w:leader="none" w:pos="152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26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660" w:hanging="314"/>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45"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net asset value per share if the following conditions are met:</w:t>
      </w:r>
    </w:p>
    <w:p>
      <w:pPr>
        <w:spacing w:after="0" w:line="90" w:lineRule="exact"/>
        <w:rPr>
          <w:sz w:val="20"/>
          <w:szCs w:val="20"/>
          <w:color w:val="auto"/>
        </w:rPr>
      </w:pPr>
    </w:p>
    <w:p>
      <w:pPr>
        <w:ind w:left="660" w:hanging="314"/>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660" w:right="80" w:hanging="314"/>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December 31, 2016,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last reported closing market price of our common stock on March 17, 2017 was $8.07 per share. As of February 28, 2017 we had 12 stockholders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record.</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71,060,836</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8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right="40"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2020, 2018 and 2019,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100" w:firstLine="571"/>
        <w:spacing w:after="0" w:line="305" w:lineRule="auto"/>
        <w:rPr>
          <w:sz w:val="20"/>
          <w:szCs w:val="20"/>
          <w:color w:val="auto"/>
        </w:rPr>
      </w:pPr>
      <w:r>
        <w:rPr>
          <w:rFonts w:ascii="Arial" w:cs="Arial" w:eastAsia="Arial" w:hAnsi="Arial"/>
          <w:sz w:val="15"/>
          <w:szCs w:val="15"/>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40" w:firstLine="8"/>
        <w:spacing w:after="0" w:line="290"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2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76"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51"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660" w:right="40" w:hanging="314"/>
        <w:spacing w:after="0" w:line="33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660" w:right="84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right="76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660" w:right="320" w:hanging="314"/>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660" w:right="200" w:hanging="314"/>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660" w:right="760" w:hanging="314"/>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660" w:right="180" w:hanging="314"/>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other terms of such subscription rights, including terms, procedures and limitations relating to the exchange and exercise of such subscription rights.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96"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9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As of December 31, 2016 and September 30, 2016, we had $250.0 million in aggregate principal amount of 2019 Notes.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2"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of December 31, 2016 and September 30, 2016, we had $71.3 million in aggregate principal amount of 2025 Notes. Interest on the 2025 Notes accrues at a rate of 6.25% per year and is paid quarterly. The 2025 Notes mature on February 1, 2025. The 2025 Notes are our general, unsecured obligations and rank equal in right of payment with all of our existing and future senior unsecured indebtedness. The 2025 Notes are structurally subordinated to our SBA debentures and the assets pledged or secured under our Credit Facility. The 2025 Notes are quoted on the NYSE under the ticker symbol “PNTA.” The last reported closing market price of the 2025 Notes on March 17, 2017 was $25.28 per $25 of par.</w:t>
      </w:r>
    </w:p>
    <w:p>
      <w:pPr>
        <w:spacing w:after="0" w:line="35"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62"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3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series of debt securities being offered by including:</w:t>
      </w:r>
    </w:p>
    <w:p>
      <w:pPr>
        <w:spacing w:after="0" w:line="77" w:lineRule="exact"/>
        <w:rPr>
          <w:sz w:val="20"/>
          <w:szCs w:val="20"/>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660" w:right="180" w:hanging="314"/>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660" w:right="20" w:hanging="314"/>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ind w:left="660" w:right="60" w:hanging="314"/>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314"/>
        <w:spacing w:after="0" w:line="299"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5"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8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5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660" w:right="10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660" w:right="100" w:hanging="314"/>
        <w:spacing w:after="0" w:line="347" w:lineRule="auto"/>
        <w:tabs>
          <w:tab w:leader="none" w:pos="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ind w:left="660" w:right="34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45" w:lineRule="exact"/>
        <w:rPr>
          <w:rFonts w:ascii="Arial" w:cs="Arial" w:eastAsia="Arial" w:hAnsi="Arial"/>
          <w:sz w:val="18"/>
          <w:szCs w:val="18"/>
          <w:color w:val="auto"/>
        </w:rPr>
      </w:pPr>
    </w:p>
    <w:p>
      <w:pPr>
        <w:ind w:left="660" w:right="36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660" w:right="240" w:hanging="314"/>
        <w:spacing w:after="0" w:line="325"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660" w:right="20" w:hanging="314"/>
        <w:spacing w:after="0" w:line="306"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660" w:right="40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660" w:right="400" w:hanging="314"/>
        <w:spacing w:after="0" w:line="325"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in the case of the 2019 Notes, certain defaults by any of our significant subsidiaries.</w:t>
      </w:r>
    </w:p>
    <w:p>
      <w:pPr>
        <w:spacing w:after="0" w:line="132"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If an Event of Default has occurred and has not been cured or waived (other than, in the case of the 2019 Notes, an Event of Default expected in the next to last bullet point above),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37" w:lineRule="exact"/>
        <w:rPr>
          <w:sz w:val="20"/>
          <w:szCs w:val="20"/>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660" w:right="180" w:hanging="314"/>
        <w:spacing w:after="0" w:line="325"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40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660" w:hanging="314"/>
        <w:spacing w:after="0"/>
        <w:tabs>
          <w:tab w:leader="none" w:pos="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where we merge out of existence or sell our assets, the resulting entity must agree to be legally responsible for our obligations under the debt securities;</w:t>
      </w:r>
    </w:p>
    <w:p>
      <w:pPr>
        <w:spacing w:after="0" w:line="111" w:lineRule="exact"/>
        <w:rPr>
          <w:rFonts w:ascii="Arial" w:cs="Arial" w:eastAsia="Arial" w:hAnsi="Arial"/>
          <w:sz w:val="15"/>
          <w:szCs w:val="15"/>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alternatively, except in the case of the 2019 Notes, we must be the surviving company;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660" w:right="220" w:hanging="314"/>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660" w:hanging="314"/>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660" w:right="560" w:hanging="314"/>
        <w:spacing w:after="0" w:line="33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660" w:right="300" w:hanging="314"/>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jc w:val="both"/>
        <w:ind w:left="660" w:right="40" w:hanging="314"/>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jc w:val="both"/>
        <w:ind w:left="660" w:right="80" w:hanging="314"/>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660" w:right="40" w:hanging="314"/>
        <w:spacing w:after="0" w:line="318" w:lineRule="auto"/>
        <w:tabs>
          <w:tab w:leader="none" w:pos="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5" w:lineRule="exact"/>
        <w:rPr>
          <w:rFonts w:ascii="Arial" w:cs="Arial" w:eastAsia="Arial" w:hAnsi="Arial"/>
          <w:sz w:val="15"/>
          <w:szCs w:val="15"/>
          <w:color w:val="auto"/>
        </w:rPr>
      </w:pPr>
    </w:p>
    <w:p>
      <w:pPr>
        <w:ind w:left="660" w:right="200" w:hanging="314"/>
        <w:spacing w:after="0" w:line="268"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8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660" w:hanging="314"/>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660" w:right="680" w:hanging="314"/>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52" w:lineRule="exact"/>
        <w:rPr>
          <w:sz w:val="20"/>
          <w:szCs w:val="20"/>
          <w:color w:val="auto"/>
        </w:rPr>
      </w:pPr>
    </w:p>
    <w:p>
      <w:pPr>
        <w:ind w:right="80" w:firstLine="571"/>
        <w:spacing w:after="0" w:line="284"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w:t>
      </w:r>
    </w:p>
    <w:p>
      <w:pPr>
        <w:spacing w:after="0" w:line="1" w:lineRule="exact"/>
        <w:rPr>
          <w:sz w:val="20"/>
          <w:szCs w:val="20"/>
          <w:color w:val="auto"/>
        </w:rPr>
      </w:pPr>
    </w:p>
    <w:p>
      <w:pPr>
        <w:jc w:val="both"/>
        <w:ind w:firstLine="8"/>
        <w:spacing w:after="0" w:line="254" w:lineRule="auto"/>
        <w:tabs>
          <w:tab w:leader="none" w:pos="2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44"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85" w:lineRule="exact"/>
        <w:rPr>
          <w:sz w:val="20"/>
          <w:szCs w:val="20"/>
          <w:color w:val="auto"/>
        </w:rPr>
      </w:pPr>
    </w:p>
    <w:p>
      <w:pPr>
        <w:ind w:right="80" w:firstLine="571"/>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81" w:lineRule="exact"/>
        <w:rPr>
          <w:sz w:val="20"/>
          <w:szCs w:val="20"/>
          <w:color w:val="auto"/>
        </w:rPr>
      </w:pPr>
    </w:p>
    <w:p>
      <w:pPr>
        <w:ind w:left="800" w:right="40" w:hanging="346"/>
        <w:spacing w:after="0" w:line="256"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84"/>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571"/>
        <w:spacing w:after="0" w:line="303" w:lineRule="auto"/>
        <w:rPr>
          <w:sz w:val="20"/>
          <w:szCs w:val="20"/>
          <w:color w:val="auto"/>
        </w:rPr>
      </w:pPr>
      <w:r>
        <w:rPr>
          <w:rFonts w:ascii="Arial" w:cs="Arial" w:eastAsia="Arial" w:hAnsi="Arial"/>
          <w:sz w:val="15"/>
          <w:szCs w:val="15"/>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w:t>
      </w:r>
    </w:p>
    <w:p>
      <w:pPr>
        <w:spacing w:after="0" w:line="1" w:lineRule="exact"/>
        <w:rPr>
          <w:sz w:val="20"/>
          <w:szCs w:val="20"/>
          <w:color w:val="auto"/>
        </w:rPr>
      </w:pPr>
    </w:p>
    <w:p>
      <w:pPr>
        <w:ind w:right="440" w:firstLine="8"/>
        <w:spacing w:after="0" w:line="261" w:lineRule="auto"/>
        <w:tabs>
          <w:tab w:leader="none" w:pos="2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employees involved in the decision making process or vote administration are prohibited from revealing how we intend to vote on a proposal in order to reduce any attempted 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660" w:right="640" w:hanging="314"/>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660" w:right="560" w:hanging="314"/>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660" w:right="400" w:hanging="314"/>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jc w:val="both"/>
        <w:ind w:left="660" w:right="20" w:hanging="314"/>
        <w:spacing w:after="0" w:line="306"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 Regulations</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Our SBIC Funds are licensed under the SBA as SBICs under Section 301(c) of the 1958 Act. SBIC LP and SBIC II received their licenses in 2010 and 2013, respectively.</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our SBIC Funds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limits an SBIC to investing idle funds in the following types of securities:</w:t>
      </w:r>
    </w:p>
    <w:p>
      <w:pPr>
        <w:spacing w:after="0" w:line="77" w:lineRule="exact"/>
        <w:rPr>
          <w:sz w:val="20"/>
          <w:szCs w:val="20"/>
          <w:color w:val="auto"/>
        </w:rPr>
      </w:pPr>
    </w:p>
    <w:p>
      <w:pPr>
        <w:ind w:left="660" w:right="200" w:hanging="314"/>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7" w:lineRule="exact"/>
        <w:rPr>
          <w:rFonts w:ascii="Arial" w:cs="Arial" w:eastAsia="Arial" w:hAnsi="Arial"/>
          <w:sz w:val="18"/>
          <w:szCs w:val="18"/>
          <w:color w:val="auto"/>
        </w:rPr>
      </w:pPr>
    </w:p>
    <w:p>
      <w:pPr>
        <w:ind w:left="660" w:right="100" w:hanging="314"/>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$350 million as part of a group of SBICs under common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660" w:hanging="31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660" w:right="40" w:hanging="314"/>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w:t>
      </w:r>
    </w:p>
    <w:p>
      <w:pPr>
        <w:spacing w:after="0" w:line="37" w:lineRule="exact"/>
        <w:rPr>
          <w:rFonts w:ascii="Arial" w:cs="Arial" w:eastAsia="Arial" w:hAnsi="Arial"/>
          <w:sz w:val="18"/>
          <w:szCs w:val="18"/>
          <w:color w:val="auto"/>
        </w:rPr>
      </w:pPr>
    </w:p>
    <w:p>
      <w:pPr>
        <w:ind w:left="660" w:right="260" w:hanging="314"/>
        <w:spacing w:after="0" w:line="347" w:lineRule="auto"/>
        <w:tabs>
          <w:tab w:leader="none" w:pos="6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660" w:hanging="31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source-of-income and quarterly asset diversification requirements (as described below). We also must annually distribute dividends for U.S.federal income tax purposes income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660" w:hanging="31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jc w:val="both"/>
        <w:ind w:left="660" w:right="180" w:hanging="314"/>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00" w:hanging="328"/>
        <w:spacing w:after="0" w:line="259" w:lineRule="auto"/>
        <w:tabs>
          <w:tab w:leader="none" w:pos="1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40" w:hanging="328"/>
        <w:spacing w:after="0" w:line="306" w:lineRule="auto"/>
        <w:tabs>
          <w:tab w:leader="none" w:pos="17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07"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89"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debt instruments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89"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13" w:lineRule="exact"/>
        <w:rPr>
          <w:sz w:val="20"/>
          <w:szCs w:val="20"/>
          <w:color w:val="auto"/>
        </w:rPr>
      </w:pPr>
    </w:p>
    <w:p>
      <w:pPr>
        <w:ind w:firstLine="571"/>
        <w:spacing w:after="0" w:line="303" w:lineRule="auto"/>
        <w:rPr>
          <w:sz w:val="20"/>
          <w:szCs w:val="20"/>
          <w:color w:val="auto"/>
        </w:rPr>
      </w:pPr>
      <w:r>
        <w:rPr>
          <w:rFonts w:ascii="Arial" w:cs="Arial" w:eastAsia="Arial" w:hAnsi="Arial"/>
          <w:sz w:val="15"/>
          <w:szCs w:val="15"/>
          <w:color w:val="auto"/>
        </w:rPr>
        <w:t>We are authorized to borrow funds and to sell assets in order to satisfy our Annual Distribution Requirement or Exercise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w:t>
      </w:r>
    </w:p>
    <w:p>
      <w:pPr>
        <w:spacing w:after="0" w:line="1" w:lineRule="exact"/>
        <w:rPr>
          <w:sz w:val="20"/>
          <w:szCs w:val="20"/>
          <w:color w:val="auto"/>
        </w:rPr>
      </w:pPr>
    </w:p>
    <w:p>
      <w:pPr>
        <w:jc w:val="both"/>
        <w:ind w:right="100" w:firstLine="8"/>
        <w:spacing w:after="0" w:line="255"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90" w:lineRule="exact"/>
        <w:rPr>
          <w:sz w:val="20"/>
          <w:szCs w:val="20"/>
          <w:color w:val="auto"/>
        </w:rPr>
      </w:pPr>
    </w:p>
    <w:p>
      <w:pPr>
        <w:ind w:right="40" w:firstLine="571"/>
        <w:spacing w:after="0" w:line="252"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ind w:firstLine="571"/>
        <w:spacing w:after="0" w:line="286"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21" w:lineRule="exact"/>
        <w:rPr>
          <w:sz w:val="20"/>
          <w:szCs w:val="20"/>
          <w:color w:val="auto"/>
        </w:rPr>
      </w:pPr>
    </w:p>
    <w:p>
      <w:pPr>
        <w:ind w:right="2140" w:firstLine="571"/>
        <w:spacing w:after="0" w:line="391" w:lineRule="auto"/>
        <w:rPr>
          <w:sz w:val="20"/>
          <w:szCs w:val="20"/>
          <w:color w:val="auto"/>
        </w:rPr>
      </w:pPr>
      <w:r>
        <w:rPr>
          <w:rFonts w:ascii="Arial" w:cs="Arial" w:eastAsia="Arial" w:hAnsi="Arial"/>
          <w:sz w:val="18"/>
          <w:szCs w:val="18"/>
          <w:color w:val="auto"/>
        </w:rPr>
        <w:t xml:space="preserve">The remainder of this discussion assumes that we qualify as a RIC and have satisfied the Annual Distribution Requirement. </w:t>
      </w:r>
      <w:r>
        <w:rPr>
          <w:rFonts w:ascii="Arial" w:cs="Arial" w:eastAsia="Arial" w:hAnsi="Arial"/>
          <w:sz w:val="18"/>
          <w:szCs w:val="18"/>
          <w:b w:val="1"/>
          <w:bCs w:val="1"/>
          <w:color w:val="auto"/>
        </w:rPr>
        <w:t>Taxation of U.S. Stockholders</w:t>
      </w:r>
    </w:p>
    <w:p>
      <w:pPr>
        <w:spacing w:after="0" w:line="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13"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22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220" w:firstLine="8"/>
        <w:spacing w:after="0" w:line="261" w:lineRule="auto"/>
        <w:tabs>
          <w:tab w:leader="none" w:pos="249"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who fails to furnish a correct taxpayer identification number or a certificate that such stockholder is exempt from backup withholding, or (2) with respect to whom the IRS notifies a withholding agent that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18"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20"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20"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right="220"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offering price of the securities and the proceeds to us and any discounts, commissions or concessions allowed or reallowed or paid to dealers;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4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serves as trustee for our 2019 Notes and 2025 Notes.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The consolidated financial statements and the related senior securities table appearing in this Prospectus and Registration Statement have been audited by RSM US LLP, an independent registered public accounting firm located at 1185 Avenue of the Americas, New York, NY 10036, as stated in their reports appearing elsewhere herein, and are included in reliance upon such reports and upon the authority of such firm as experts in accounting and auditing.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60" w:type="dxa"/>
            <w:vAlign w:val="bottom"/>
            <w:gridSpan w:val="13"/>
          </w:tcPr>
          <w:p>
            <w:pPr>
              <w:jc w:val="center"/>
              <w:ind w:right="1300"/>
              <w:spacing w:after="0"/>
              <w:rPr>
                <w:sz w:val="20"/>
                <w:szCs w:val="20"/>
                <w:color w:val="auto"/>
              </w:rPr>
            </w:pPr>
            <w:r>
              <w:rPr>
                <w:rFonts w:ascii="Arial" w:cs="Arial" w:eastAsia="Arial" w:hAnsi="Arial"/>
                <w:sz w:val="14"/>
                <w:szCs w:val="14"/>
                <w:b w:val="1"/>
                <w:bCs w:val="1"/>
                <w:color w:val="auto"/>
              </w:rPr>
              <w:t>INDEX TO CONSOLIDATED FINANCIAL STATEMENTS</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9340" w:type="dxa"/>
            <w:vAlign w:val="bottom"/>
            <w:gridSpan w:val="16"/>
          </w:tcPr>
          <w:p>
            <w:pPr>
              <w:spacing w:after="0"/>
              <w:rPr>
                <w:sz w:val="20"/>
                <w:szCs w:val="20"/>
                <w:color w:val="auto"/>
              </w:rPr>
            </w:pPr>
            <w:r>
              <w:rPr>
                <w:rFonts w:ascii="Arial" w:cs="Arial" w:eastAsia="Arial" w:hAnsi="Arial"/>
                <w:sz w:val="14"/>
                <w:szCs w:val="14"/>
                <w:b w:val="1"/>
                <w:bCs w:val="1"/>
                <w:color w:val="auto"/>
              </w:rPr>
              <w:t>PennantPark Investment Corporation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40" w:type="dxa"/>
            <w:vAlign w:val="bottom"/>
            <w:gridSpan w:val="16"/>
          </w:tcPr>
          <w:p>
            <w:pPr>
              <w:spacing w:after="0"/>
              <w:rPr>
                <w:sz w:val="20"/>
                <w:szCs w:val="20"/>
                <w:color w:val="auto"/>
              </w:rPr>
            </w:pPr>
            <w:r>
              <w:rPr>
                <w:rFonts w:ascii="Arial" w:cs="Arial" w:eastAsia="Arial" w:hAnsi="Arial"/>
                <w:sz w:val="14"/>
                <w:szCs w:val="14"/>
                <w:b w:val="1"/>
                <w:bCs w:val="1"/>
                <w:color w:val="auto"/>
              </w:rPr>
              <w:t>Interim Financial Statements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9340" w:type="dxa"/>
            <w:vAlign w:val="bottom"/>
            <w:gridSpan w:val="16"/>
          </w:tcPr>
          <w:p>
            <w:pPr>
              <w:spacing w:after="0"/>
              <w:rPr>
                <w:rFonts w:ascii="Arial" w:cs="Arial" w:eastAsia="Arial" w:hAnsi="Arial"/>
                <w:sz w:val="14"/>
                <w:szCs w:val="14"/>
                <w:color w:val="0000EE"/>
              </w:rPr>
            </w:pPr>
            <w:hyperlink w:anchor="page129">
              <w:r>
                <w:rPr>
                  <w:rFonts w:ascii="Arial" w:cs="Arial" w:eastAsia="Arial" w:hAnsi="Arial"/>
                  <w:sz w:val="14"/>
                  <w:szCs w:val="14"/>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w:t>
            </w:r>
          </w:p>
        </w:tc>
        <w:tc>
          <w:tcPr>
            <w:tcW w:w="0" w:type="dxa"/>
            <w:vAlign w:val="bottom"/>
          </w:tcPr>
          <w:p>
            <w:pPr>
              <w:spacing w:after="0"/>
              <w:rPr>
                <w:sz w:val="1"/>
                <w:szCs w:val="1"/>
                <w:color w:val="auto"/>
              </w:rPr>
            </w:pPr>
          </w:p>
        </w:tc>
      </w:tr>
      <w:tr>
        <w:trPr>
          <w:trHeight w:val="20"/>
        </w:trPr>
        <w:tc>
          <w:tcPr>
            <w:tcW w:w="2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F-3</w:t>
            </w:r>
          </w:p>
        </w:tc>
        <w:tc>
          <w:tcPr>
            <w:tcW w:w="0" w:type="dxa"/>
            <w:vAlign w:val="bottom"/>
          </w:tcPr>
          <w:p>
            <w:pPr>
              <w:spacing w:after="0" w:line="20" w:lineRule="exact"/>
              <w:rPr>
                <w:sz w:val="1"/>
                <w:szCs w:val="1"/>
                <w:color w:val="auto"/>
              </w:rPr>
            </w:pPr>
          </w:p>
        </w:tc>
      </w:tr>
      <w:tr>
        <w:trPr>
          <w:trHeight w:val="304"/>
        </w:trPr>
        <w:tc>
          <w:tcPr>
            <w:tcW w:w="6520" w:type="dxa"/>
            <w:vAlign w:val="bottom"/>
            <w:tcBorders>
              <w:bottom w:val="single" w:sz="8" w:color="0000EE"/>
            </w:tcBorders>
            <w:gridSpan w:val="14"/>
          </w:tcPr>
          <w:p>
            <w:pPr>
              <w:spacing w:after="0"/>
              <w:rPr>
                <w:rFonts w:ascii="Arial" w:cs="Arial" w:eastAsia="Arial" w:hAnsi="Arial"/>
                <w:sz w:val="14"/>
                <w:szCs w:val="14"/>
                <w:color w:val="0000EE"/>
                <w:w w:val="92"/>
              </w:rPr>
            </w:pPr>
            <w:hyperlink w:anchor="page130">
              <w:r>
                <w:rPr>
                  <w:rFonts w:ascii="Arial" w:cs="Arial" w:eastAsia="Arial" w:hAnsi="Arial"/>
                  <w:sz w:val="14"/>
                  <w:szCs w:val="14"/>
                  <w:color w:val="0000EE"/>
                  <w:w w:val="92"/>
                </w:rPr>
                <w:t>Consolidated Statements of Assets and Liabilities as of December 31, 2016 (unaudited) and September 30, 2016</w:t>
              </w:r>
            </w:hyperlink>
          </w:p>
        </w:tc>
        <w:tc>
          <w:tcPr>
            <w:tcW w:w="2820" w:type="dxa"/>
            <w:vAlign w:val="bottom"/>
            <w:gridSpan w:val="2"/>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0000EE"/>
            </w:tcBorders>
            <w:gridSpan w:val="12"/>
          </w:tcPr>
          <w:p>
            <w:pPr>
              <w:spacing w:after="0"/>
              <w:rPr>
                <w:rFonts w:ascii="Arial" w:cs="Arial" w:eastAsia="Arial" w:hAnsi="Arial"/>
                <w:sz w:val="14"/>
                <w:szCs w:val="14"/>
                <w:color w:val="0000EE"/>
                <w:w w:val="92"/>
              </w:rPr>
            </w:pPr>
            <w:hyperlink w:anchor="page131">
              <w:r>
                <w:rPr>
                  <w:rFonts w:ascii="Arial" w:cs="Arial" w:eastAsia="Arial" w:hAnsi="Arial"/>
                  <w:sz w:val="14"/>
                  <w:szCs w:val="14"/>
                  <w:color w:val="0000EE"/>
                  <w:w w:val="92"/>
                </w:rPr>
                <w:t>Consolidated Statements of Operations for the three months ended December 31, 2016 and 2015 (unaudited)</w:t>
              </w:r>
            </w:hyperlink>
          </w:p>
        </w:tc>
        <w:tc>
          <w:tcPr>
            <w:tcW w:w="3060" w:type="dxa"/>
            <w:vAlign w:val="bottom"/>
            <w:gridSpan w:val="4"/>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F-4</w:t>
            </w:r>
          </w:p>
        </w:tc>
        <w:tc>
          <w:tcPr>
            <w:tcW w:w="0" w:type="dxa"/>
            <w:vAlign w:val="bottom"/>
          </w:tcPr>
          <w:p>
            <w:pPr>
              <w:spacing w:after="0"/>
              <w:rPr>
                <w:sz w:val="1"/>
                <w:szCs w:val="1"/>
                <w:color w:val="auto"/>
              </w:rPr>
            </w:pPr>
          </w:p>
        </w:tc>
      </w:tr>
      <w:tr>
        <w:trPr>
          <w:trHeight w:val="304"/>
        </w:trPr>
        <w:tc>
          <w:tcPr>
            <w:tcW w:w="6940" w:type="dxa"/>
            <w:vAlign w:val="bottom"/>
            <w:tcBorders>
              <w:bottom w:val="single" w:sz="8" w:color="0000EE"/>
            </w:tcBorders>
            <w:gridSpan w:val="15"/>
          </w:tcPr>
          <w:p>
            <w:pPr>
              <w:spacing w:after="0"/>
              <w:rPr>
                <w:rFonts w:ascii="Arial" w:cs="Arial" w:eastAsia="Arial" w:hAnsi="Arial"/>
                <w:sz w:val="14"/>
                <w:szCs w:val="14"/>
                <w:color w:val="0000EE"/>
                <w:w w:val="91"/>
              </w:rPr>
            </w:pPr>
            <w:hyperlink w:anchor="page132">
              <w:r>
                <w:rPr>
                  <w:rFonts w:ascii="Arial" w:cs="Arial" w:eastAsia="Arial" w:hAnsi="Arial"/>
                  <w:sz w:val="14"/>
                  <w:szCs w:val="14"/>
                  <w:color w:val="0000EE"/>
                  <w:w w:val="91"/>
                </w:rPr>
                <w:t>Consolidated Statements of Changes in Net Assets for the three months ended December 31, 2016 and 2015 (unaudited)</w:t>
              </w:r>
            </w:hyperlink>
          </w:p>
        </w:tc>
        <w:tc>
          <w:tcPr>
            <w:tcW w:w="24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F-5</w:t>
            </w:r>
          </w:p>
        </w:tc>
        <w:tc>
          <w:tcPr>
            <w:tcW w:w="0" w:type="dxa"/>
            <w:vAlign w:val="bottom"/>
          </w:tcPr>
          <w:p>
            <w:pPr>
              <w:spacing w:after="0"/>
              <w:rPr>
                <w:sz w:val="1"/>
                <w:szCs w:val="1"/>
                <w:color w:val="auto"/>
              </w:rPr>
            </w:pPr>
          </w:p>
        </w:tc>
      </w:tr>
      <w:tr>
        <w:trPr>
          <w:trHeight w:val="304"/>
        </w:trPr>
        <w:tc>
          <w:tcPr>
            <w:tcW w:w="6320" w:type="dxa"/>
            <w:vAlign w:val="bottom"/>
            <w:tcBorders>
              <w:bottom w:val="single" w:sz="8" w:color="0000EE"/>
            </w:tcBorders>
            <w:gridSpan w:val="13"/>
          </w:tcPr>
          <w:p>
            <w:pPr>
              <w:spacing w:after="0"/>
              <w:rPr>
                <w:rFonts w:ascii="Arial" w:cs="Arial" w:eastAsia="Arial" w:hAnsi="Arial"/>
                <w:sz w:val="14"/>
                <w:szCs w:val="14"/>
                <w:color w:val="0000EE"/>
                <w:w w:val="91"/>
              </w:rPr>
            </w:pPr>
            <w:hyperlink w:anchor="page133">
              <w:r>
                <w:rPr>
                  <w:rFonts w:ascii="Arial" w:cs="Arial" w:eastAsia="Arial" w:hAnsi="Arial"/>
                  <w:sz w:val="14"/>
                  <w:szCs w:val="14"/>
                  <w:color w:val="0000EE"/>
                  <w:w w:val="91"/>
                </w:rPr>
                <w:t>Consolidated Statements of Cash Flows for the three months ended December 31, 2016 and 2015 (unaudited)</w:t>
              </w:r>
            </w:hyperlink>
          </w:p>
        </w:tc>
        <w:tc>
          <w:tcPr>
            <w:tcW w:w="3020" w:type="dxa"/>
            <w:vAlign w:val="bottom"/>
            <w:gridSpan w:val="3"/>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F-6</w:t>
            </w:r>
          </w:p>
        </w:tc>
        <w:tc>
          <w:tcPr>
            <w:tcW w:w="0" w:type="dxa"/>
            <w:vAlign w:val="bottom"/>
          </w:tcPr>
          <w:p>
            <w:pPr>
              <w:spacing w:after="0"/>
              <w:rPr>
                <w:sz w:val="1"/>
                <w:szCs w:val="1"/>
                <w:color w:val="auto"/>
              </w:rPr>
            </w:pPr>
          </w:p>
        </w:tc>
      </w:tr>
      <w:tr>
        <w:trPr>
          <w:trHeight w:val="304"/>
        </w:trPr>
        <w:tc>
          <w:tcPr>
            <w:tcW w:w="9340" w:type="dxa"/>
            <w:vAlign w:val="bottom"/>
            <w:gridSpan w:val="16"/>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Consolidated Schedules of Investments as of December 31, 2016 (unaudited) and September 30, 2016</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F-7</w:t>
            </w:r>
          </w:p>
        </w:tc>
        <w:tc>
          <w:tcPr>
            <w:tcW w:w="0" w:type="dxa"/>
            <w:vAlign w:val="bottom"/>
          </w:tcPr>
          <w:p>
            <w:pPr>
              <w:spacing w:after="0"/>
              <w:rPr>
                <w:sz w:val="1"/>
                <w:szCs w:val="1"/>
                <w:color w:val="auto"/>
              </w:rPr>
            </w:pPr>
          </w:p>
        </w:tc>
      </w:tr>
      <w:tr>
        <w:trPr>
          <w:trHeight w:val="304"/>
        </w:trPr>
        <w:tc>
          <w:tcPr>
            <w:tcW w:w="5880" w:type="dxa"/>
            <w:vAlign w:val="bottom"/>
            <w:tcBorders>
              <w:top w:val="single" w:sz="8" w:color="0000EE"/>
            </w:tcBorders>
            <w:gridSpan w:val="9"/>
          </w:tcPr>
          <w:p>
            <w:pPr>
              <w:spacing w:after="0"/>
              <w:rPr>
                <w:rFonts w:ascii="Arial" w:cs="Arial" w:eastAsia="Arial" w:hAnsi="Arial"/>
                <w:sz w:val="14"/>
                <w:szCs w:val="14"/>
                <w:color w:val="0000EE"/>
              </w:rPr>
            </w:pPr>
            <w:hyperlink w:anchor="page140">
              <w:r>
                <w:rPr>
                  <w:rFonts w:ascii="Arial" w:cs="Arial" w:eastAsia="Arial" w:hAnsi="Arial"/>
                  <w:sz w:val="14"/>
                  <w:szCs w:val="14"/>
                  <w:color w:val="0000EE"/>
                </w:rPr>
                <w:t>Notes to Consolidated Financial Statements (unaudited)</w:t>
              </w:r>
            </w:hyperlink>
          </w:p>
        </w:tc>
        <w:tc>
          <w:tcPr>
            <w:tcW w:w="3460" w:type="dxa"/>
            <w:vAlign w:val="bottom"/>
            <w:gridSpan w:val="7"/>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F-13</w:t>
            </w:r>
          </w:p>
        </w:tc>
        <w:tc>
          <w:tcPr>
            <w:tcW w:w="0" w:type="dxa"/>
            <w:vAlign w:val="bottom"/>
          </w:tcPr>
          <w:p>
            <w:pPr>
              <w:spacing w:after="0"/>
              <w:rPr>
                <w:sz w:val="1"/>
                <w:szCs w:val="1"/>
                <w:color w:val="auto"/>
              </w:rPr>
            </w:pPr>
          </w:p>
        </w:tc>
      </w:tr>
      <w:tr>
        <w:trPr>
          <w:trHeight w:val="306"/>
        </w:trPr>
        <w:tc>
          <w:tcPr>
            <w:tcW w:w="322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Annual Financial Statments</w:t>
            </w:r>
          </w:p>
        </w:tc>
        <w:tc>
          <w:tcPr>
            <w:tcW w:w="6120" w:type="dxa"/>
            <w:vAlign w:val="bottom"/>
            <w:gridSpan w:val="14"/>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900" w:type="dxa"/>
            <w:vAlign w:val="bottom"/>
            <w:tcBorders>
              <w:bottom w:val="single" w:sz="8" w:color="0000EE"/>
            </w:tcBorders>
            <w:gridSpan w:val="4"/>
          </w:tcPr>
          <w:p>
            <w:pPr>
              <w:spacing w:after="0"/>
              <w:rPr>
                <w:rFonts w:ascii="Arial" w:cs="Arial" w:eastAsia="Arial" w:hAnsi="Arial"/>
                <w:sz w:val="14"/>
                <w:szCs w:val="14"/>
                <w:color w:val="0000EE"/>
                <w:w w:val="94"/>
              </w:rPr>
            </w:pPr>
            <w:hyperlink w:anchor="page151">
              <w:r>
                <w:rPr>
                  <w:rFonts w:ascii="Arial" w:cs="Arial" w:eastAsia="Arial" w:hAnsi="Arial"/>
                  <w:sz w:val="14"/>
                  <w:szCs w:val="14"/>
                  <w:color w:val="0000EE"/>
                  <w:w w:val="94"/>
                </w:rPr>
                <w:t>Management’s Report on Internal Control over Financial Reporting</w:t>
              </w:r>
            </w:hyperlink>
          </w:p>
        </w:tc>
        <w:tc>
          <w:tcPr>
            <w:tcW w:w="5440" w:type="dxa"/>
            <w:vAlign w:val="bottom"/>
            <w:gridSpan w:val="1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F-24</w:t>
            </w:r>
          </w:p>
        </w:tc>
        <w:tc>
          <w:tcPr>
            <w:tcW w:w="0" w:type="dxa"/>
            <w:vAlign w:val="bottom"/>
          </w:tcPr>
          <w:p>
            <w:pPr>
              <w:spacing w:after="0"/>
              <w:rPr>
                <w:sz w:val="1"/>
                <w:szCs w:val="1"/>
                <w:color w:val="auto"/>
              </w:rPr>
            </w:pPr>
          </w:p>
        </w:tc>
      </w:tr>
      <w:tr>
        <w:trPr>
          <w:trHeight w:val="304"/>
        </w:trPr>
        <w:tc>
          <w:tcPr>
            <w:tcW w:w="9340" w:type="dxa"/>
            <w:vAlign w:val="bottom"/>
            <w:gridSpan w:val="16"/>
          </w:tcPr>
          <w:p>
            <w:pPr>
              <w:spacing w:after="0"/>
              <w:rPr>
                <w:rFonts w:ascii="Arial" w:cs="Arial" w:eastAsia="Arial" w:hAnsi="Arial"/>
                <w:sz w:val="14"/>
                <w:szCs w:val="14"/>
                <w:color w:val="0000EE"/>
              </w:rPr>
            </w:pPr>
            <w:hyperlink w:anchor="page152">
              <w:r>
                <w:rPr>
                  <w:rFonts w:ascii="Arial" w:cs="Arial" w:eastAsia="Arial" w:hAnsi="Arial"/>
                  <w:sz w:val="14"/>
                  <w:szCs w:val="14"/>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F-25</w:t>
            </w:r>
          </w:p>
        </w:tc>
        <w:tc>
          <w:tcPr>
            <w:tcW w:w="0" w:type="dxa"/>
            <w:vAlign w:val="bottom"/>
          </w:tcPr>
          <w:p>
            <w:pPr>
              <w:spacing w:after="0"/>
              <w:rPr>
                <w:sz w:val="1"/>
                <w:szCs w:val="1"/>
                <w:color w:val="auto"/>
              </w:rPr>
            </w:pPr>
          </w:p>
        </w:tc>
      </w:tr>
      <w:tr>
        <w:trPr>
          <w:trHeight w:val="20"/>
        </w:trPr>
        <w:tc>
          <w:tcPr>
            <w:tcW w:w="27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F-26</w:t>
            </w:r>
          </w:p>
        </w:tc>
        <w:tc>
          <w:tcPr>
            <w:tcW w:w="0" w:type="dxa"/>
            <w:vAlign w:val="bottom"/>
          </w:tcPr>
          <w:p>
            <w:pPr>
              <w:spacing w:after="0" w:line="20" w:lineRule="exact"/>
              <w:rPr>
                <w:sz w:val="1"/>
                <w:szCs w:val="1"/>
                <w:color w:val="auto"/>
              </w:rPr>
            </w:pPr>
          </w:p>
        </w:tc>
      </w:tr>
      <w:tr>
        <w:trPr>
          <w:trHeight w:val="304"/>
        </w:trPr>
        <w:tc>
          <w:tcPr>
            <w:tcW w:w="6060" w:type="dxa"/>
            <w:vAlign w:val="bottom"/>
            <w:tcBorders>
              <w:bottom w:val="single" w:sz="8" w:color="0000EE"/>
            </w:tcBorders>
            <w:gridSpan w:val="10"/>
          </w:tcPr>
          <w:p>
            <w:pPr>
              <w:spacing w:after="0"/>
              <w:rPr>
                <w:rFonts w:ascii="Arial" w:cs="Arial" w:eastAsia="Arial" w:hAnsi="Arial"/>
                <w:sz w:val="14"/>
                <w:szCs w:val="14"/>
                <w:color w:val="0000EE"/>
                <w:w w:val="94"/>
              </w:rPr>
            </w:pPr>
            <w:hyperlink w:anchor="page153">
              <w:r>
                <w:rPr>
                  <w:rFonts w:ascii="Arial" w:cs="Arial" w:eastAsia="Arial" w:hAnsi="Arial"/>
                  <w:sz w:val="14"/>
                  <w:szCs w:val="14"/>
                  <w:color w:val="0000EE"/>
                  <w:w w:val="94"/>
                </w:rPr>
                <w:t>Report of Independent Registered Public Accounting Firm On Internal Control Over Financial Reporting</w:t>
              </w:r>
            </w:hyperlink>
          </w:p>
        </w:tc>
        <w:tc>
          <w:tcPr>
            <w:tcW w:w="3280" w:type="dxa"/>
            <w:vAlign w:val="bottom"/>
            <w:gridSpan w:val="6"/>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0000EE"/>
            </w:tcBorders>
            <w:gridSpan w:val="6"/>
          </w:tcPr>
          <w:p>
            <w:pPr>
              <w:spacing w:after="0"/>
              <w:rPr>
                <w:rFonts w:ascii="Arial" w:cs="Arial" w:eastAsia="Arial" w:hAnsi="Arial"/>
                <w:sz w:val="14"/>
                <w:szCs w:val="14"/>
                <w:color w:val="0000EE"/>
                <w:w w:val="92"/>
              </w:rPr>
            </w:pPr>
            <w:hyperlink w:anchor="page154">
              <w:r>
                <w:rPr>
                  <w:rFonts w:ascii="Arial" w:cs="Arial" w:eastAsia="Arial" w:hAnsi="Arial"/>
                  <w:sz w:val="14"/>
                  <w:szCs w:val="14"/>
                  <w:color w:val="0000EE"/>
                  <w:w w:val="92"/>
                </w:rPr>
                <w:t>Consolidated Statements of Assets and Liabilities as of September 30, 2016 and 2015</w:t>
              </w:r>
            </w:hyperlink>
          </w:p>
        </w:tc>
        <w:tc>
          <w:tcPr>
            <w:tcW w:w="4360" w:type="dxa"/>
            <w:vAlign w:val="bottom"/>
            <w:gridSpan w:val="10"/>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F-27</w:t>
            </w:r>
          </w:p>
        </w:tc>
        <w:tc>
          <w:tcPr>
            <w:tcW w:w="0" w:type="dxa"/>
            <w:vAlign w:val="bottom"/>
          </w:tcPr>
          <w:p>
            <w:pPr>
              <w:spacing w:after="0"/>
              <w:rPr>
                <w:sz w:val="1"/>
                <w:szCs w:val="1"/>
                <w:color w:val="auto"/>
              </w:rPr>
            </w:pPr>
          </w:p>
        </w:tc>
      </w:tr>
      <w:tr>
        <w:trPr>
          <w:trHeight w:val="304"/>
        </w:trPr>
        <w:tc>
          <w:tcPr>
            <w:tcW w:w="9340" w:type="dxa"/>
            <w:vAlign w:val="bottom"/>
            <w:gridSpan w:val="16"/>
          </w:tcPr>
          <w:p>
            <w:pPr>
              <w:spacing w:after="0"/>
              <w:rPr>
                <w:rFonts w:ascii="Arial" w:cs="Arial" w:eastAsia="Arial" w:hAnsi="Arial"/>
                <w:sz w:val="14"/>
                <w:szCs w:val="14"/>
                <w:color w:val="0000EE"/>
              </w:rPr>
            </w:pPr>
            <w:hyperlink w:anchor="page155">
              <w:r>
                <w:rPr>
                  <w:rFonts w:ascii="Arial" w:cs="Arial" w:eastAsia="Arial" w:hAnsi="Arial"/>
                  <w:sz w:val="14"/>
                  <w:szCs w:val="14"/>
                  <w:color w:val="0000EE"/>
                </w:rPr>
                <w:t>Consolidated Statements of Operations for the years ended September 30, 2016, 2015 and 2014</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F-28</w:t>
            </w:r>
          </w:p>
        </w:tc>
        <w:tc>
          <w:tcPr>
            <w:tcW w:w="0" w:type="dxa"/>
            <w:vAlign w:val="bottom"/>
          </w:tcPr>
          <w:p>
            <w:pPr>
              <w:spacing w:after="0"/>
              <w:rPr>
                <w:sz w:val="1"/>
                <w:szCs w:val="1"/>
                <w:color w:val="auto"/>
              </w:rPr>
            </w:pPr>
          </w:p>
        </w:tc>
      </w:tr>
      <w:tr>
        <w:trPr>
          <w:trHeight w:val="20"/>
        </w:trPr>
        <w:tc>
          <w:tcPr>
            <w:tcW w:w="274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F-29</w:t>
            </w:r>
          </w:p>
        </w:tc>
        <w:tc>
          <w:tcPr>
            <w:tcW w:w="0" w:type="dxa"/>
            <w:vAlign w:val="bottom"/>
          </w:tcPr>
          <w:p>
            <w:pPr>
              <w:spacing w:after="0" w:line="20" w:lineRule="exact"/>
              <w:rPr>
                <w:sz w:val="1"/>
                <w:szCs w:val="1"/>
                <w:color w:val="auto"/>
              </w:rPr>
            </w:pPr>
          </w:p>
        </w:tc>
      </w:tr>
      <w:tr>
        <w:trPr>
          <w:trHeight w:val="304"/>
        </w:trPr>
        <w:tc>
          <w:tcPr>
            <w:tcW w:w="6180" w:type="dxa"/>
            <w:vAlign w:val="bottom"/>
            <w:tcBorders>
              <w:bottom w:val="single" w:sz="8" w:color="0000EE"/>
            </w:tcBorders>
            <w:gridSpan w:val="11"/>
          </w:tcPr>
          <w:p>
            <w:pPr>
              <w:spacing w:after="0"/>
              <w:rPr>
                <w:rFonts w:ascii="Arial" w:cs="Arial" w:eastAsia="Arial" w:hAnsi="Arial"/>
                <w:sz w:val="14"/>
                <w:szCs w:val="14"/>
                <w:color w:val="0000EE"/>
                <w:w w:val="91"/>
              </w:rPr>
            </w:pPr>
            <w:hyperlink w:anchor="page156">
              <w:r>
                <w:rPr>
                  <w:rFonts w:ascii="Arial" w:cs="Arial" w:eastAsia="Arial" w:hAnsi="Arial"/>
                  <w:sz w:val="14"/>
                  <w:szCs w:val="14"/>
                  <w:color w:val="0000EE"/>
                  <w:w w:val="91"/>
                </w:rPr>
                <w:t>Consolidated Statements of Changes in Net Assets for the years ended September 30, 2016, 2015 and 2014</w:t>
              </w:r>
            </w:hyperlink>
          </w:p>
        </w:tc>
        <w:tc>
          <w:tcPr>
            <w:tcW w:w="3160" w:type="dxa"/>
            <w:vAlign w:val="bottom"/>
            <w:gridSpan w:val="5"/>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0" w:type="dxa"/>
            <w:vAlign w:val="bottom"/>
            <w:tcBorders>
              <w:bottom w:val="single" w:sz="8" w:color="0000EE"/>
            </w:tcBorders>
            <w:gridSpan w:val="8"/>
          </w:tcPr>
          <w:p>
            <w:pPr>
              <w:spacing w:after="0"/>
              <w:rPr>
                <w:rFonts w:ascii="Arial" w:cs="Arial" w:eastAsia="Arial" w:hAnsi="Arial"/>
                <w:sz w:val="14"/>
                <w:szCs w:val="14"/>
                <w:color w:val="0000EE"/>
                <w:w w:val="92"/>
              </w:rPr>
            </w:pPr>
            <w:hyperlink w:anchor="page157">
              <w:r>
                <w:rPr>
                  <w:rFonts w:ascii="Arial" w:cs="Arial" w:eastAsia="Arial" w:hAnsi="Arial"/>
                  <w:sz w:val="14"/>
                  <w:szCs w:val="14"/>
                  <w:color w:val="0000EE"/>
                  <w:w w:val="92"/>
                </w:rPr>
                <w:t>Consolidated Statements of Cash Flows for the years ended September 30, 2016, 2015 and 2014</w:t>
              </w:r>
            </w:hyperlink>
          </w:p>
        </w:tc>
        <w:tc>
          <w:tcPr>
            <w:tcW w:w="374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F-30</w:t>
            </w:r>
          </w:p>
        </w:tc>
        <w:tc>
          <w:tcPr>
            <w:tcW w:w="0" w:type="dxa"/>
            <w:vAlign w:val="bottom"/>
          </w:tcPr>
          <w:p>
            <w:pPr>
              <w:spacing w:after="0"/>
              <w:rPr>
                <w:sz w:val="1"/>
                <w:szCs w:val="1"/>
                <w:color w:val="auto"/>
              </w:rPr>
            </w:pPr>
          </w:p>
        </w:tc>
      </w:tr>
      <w:tr>
        <w:trPr>
          <w:trHeight w:val="304"/>
        </w:trPr>
        <w:tc>
          <w:tcPr>
            <w:tcW w:w="9340" w:type="dxa"/>
            <w:vAlign w:val="bottom"/>
            <w:gridSpan w:val="16"/>
          </w:tcPr>
          <w:p>
            <w:pPr>
              <w:spacing w:after="0"/>
              <w:rPr>
                <w:rFonts w:ascii="Arial" w:cs="Arial" w:eastAsia="Arial" w:hAnsi="Arial"/>
                <w:sz w:val="14"/>
                <w:szCs w:val="14"/>
                <w:color w:val="0000EE"/>
              </w:rPr>
            </w:pPr>
            <w:hyperlink w:anchor="page158">
              <w:r>
                <w:rPr>
                  <w:rFonts w:ascii="Arial" w:cs="Arial" w:eastAsia="Arial" w:hAnsi="Arial"/>
                  <w:sz w:val="14"/>
                  <w:szCs w:val="14"/>
                  <w:color w:val="0000EE"/>
                </w:rPr>
                <w:t>Consolidated Schedules of Investments as of September 30, 2016 and 2015</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F-31</w:t>
            </w:r>
          </w:p>
        </w:tc>
        <w:tc>
          <w:tcPr>
            <w:tcW w:w="0" w:type="dxa"/>
            <w:vAlign w:val="bottom"/>
          </w:tcPr>
          <w:p>
            <w:pPr>
              <w:spacing w:after="0"/>
              <w:rPr>
                <w:sz w:val="1"/>
                <w:szCs w:val="1"/>
                <w:color w:val="auto"/>
              </w:rPr>
            </w:pPr>
          </w:p>
        </w:tc>
      </w:tr>
      <w:tr>
        <w:trPr>
          <w:trHeight w:val="304"/>
        </w:trPr>
        <w:tc>
          <w:tcPr>
            <w:tcW w:w="4340" w:type="dxa"/>
            <w:vAlign w:val="bottom"/>
            <w:tcBorders>
              <w:top w:val="single" w:sz="8" w:color="0000EE"/>
            </w:tcBorders>
            <w:gridSpan w:val="5"/>
          </w:tcPr>
          <w:p>
            <w:pPr>
              <w:spacing w:after="0"/>
              <w:rPr>
                <w:rFonts w:ascii="Arial" w:cs="Arial" w:eastAsia="Arial" w:hAnsi="Arial"/>
                <w:sz w:val="14"/>
                <w:szCs w:val="14"/>
                <w:color w:val="0000EE"/>
              </w:rPr>
            </w:pPr>
            <w:hyperlink w:anchor="page165">
              <w:r>
                <w:rPr>
                  <w:rFonts w:ascii="Arial" w:cs="Arial" w:eastAsia="Arial" w:hAnsi="Arial"/>
                  <w:sz w:val="14"/>
                  <w:szCs w:val="14"/>
                  <w:color w:val="0000EE"/>
                </w:rPr>
                <w:t>Notes to the Consolidated Financial Statements</w:t>
              </w:r>
            </w:hyperlink>
          </w:p>
        </w:tc>
        <w:tc>
          <w:tcPr>
            <w:tcW w:w="5000" w:type="dxa"/>
            <w:vAlign w:val="bottom"/>
            <w:gridSpan w:val="11"/>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F-38</w:t>
            </w:r>
          </w:p>
        </w:tc>
        <w:tc>
          <w:tcPr>
            <w:tcW w:w="0" w:type="dxa"/>
            <w:vAlign w:val="bottom"/>
          </w:tcPr>
          <w:p>
            <w:pPr>
              <w:spacing w:after="0"/>
              <w:rPr>
                <w:sz w:val="1"/>
                <w:szCs w:val="1"/>
                <w:color w:val="auto"/>
              </w:rPr>
            </w:pPr>
          </w:p>
        </w:tc>
      </w:tr>
      <w:tr>
        <w:trPr>
          <w:trHeight w:val="306"/>
        </w:trPr>
        <w:tc>
          <w:tcPr>
            <w:tcW w:w="27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gridSpan w:val="8"/>
          </w:tcPr>
          <w:p>
            <w:pPr>
              <w:jc w:val="center"/>
              <w:ind w:right="3500"/>
              <w:spacing w:after="0"/>
              <w:rPr>
                <w:sz w:val="20"/>
                <w:szCs w:val="20"/>
                <w:color w:val="auto"/>
              </w:rPr>
            </w:pPr>
            <w:r>
              <w:rPr>
                <w:rFonts w:ascii="Arial" w:cs="Arial" w:eastAsia="Arial" w:hAnsi="Arial"/>
                <w:sz w:val="14"/>
                <w:szCs w:val="14"/>
                <w:color w:val="auto"/>
                <w:w w:val="95"/>
              </w:rPr>
              <w:t>F-1</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4" w:lineRule="exact"/>
        <w:rPr>
          <w:sz w:val="20"/>
          <w:szCs w:val="20"/>
          <w:color w:val="auto"/>
        </w:rPr>
      </w:pPr>
    </w:p>
    <w:p>
      <w:pPr>
        <w:ind w:right="20" w:firstLine="685"/>
        <w:spacing w:after="0" w:line="238"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Investment Corporation and its Subsidiaries (collectively referred to as the “Company”), including the consolidated schedule of investments, as of December 31, 2016, and the consolidated statements of operations, changes in net assets and cash flows for the three months ended December 31, 2016 and 2015. These consolidated financial statements are the responsibility of the Company’s management.</w:t>
      </w:r>
    </w:p>
    <w:p>
      <w:pPr>
        <w:spacing w:after="0" w:line="102" w:lineRule="exact"/>
        <w:rPr>
          <w:sz w:val="20"/>
          <w:szCs w:val="20"/>
          <w:color w:val="auto"/>
        </w:rPr>
      </w:pPr>
    </w:p>
    <w:p>
      <w:pPr>
        <w:ind w:right="20" w:firstLine="685"/>
        <w:spacing w:after="0" w:line="234"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15" w:lineRule="exact"/>
        <w:rPr>
          <w:sz w:val="20"/>
          <w:szCs w:val="20"/>
          <w:color w:val="auto"/>
        </w:rPr>
      </w:pPr>
    </w:p>
    <w:p>
      <w:pPr>
        <w:ind w:right="300" w:firstLine="685"/>
        <w:spacing w:after="0" w:line="253" w:lineRule="auto"/>
        <w:rPr>
          <w:sz w:val="20"/>
          <w:szCs w:val="20"/>
          <w:color w:val="auto"/>
        </w:rPr>
      </w:pPr>
      <w:r>
        <w:rPr>
          <w:rFonts w:ascii="Arial" w:cs="Arial" w:eastAsia="Arial" w:hAnsi="Arial"/>
          <w:sz w:val="14"/>
          <w:szCs w:val="14"/>
          <w:color w:val="auto"/>
        </w:rPr>
        <w:t>Based on our review, we are not aware of any material modifications that should be made to the accompanying consolidated financial statements referred to above for them to be in conformity with U.S. generally accepted accounting principles.</w:t>
      </w:r>
    </w:p>
    <w:p>
      <w:pPr>
        <w:spacing w:after="0" w:line="106"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21, 2016, we expressed an unqualified opinion on those financial statements. In our opinion, the information set forth in the accompanying consolidated statements of assets and liabilities as of December 31, 2016, is fairly stated, in all material respects, in relation to the consolidated statements of assets and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8, 2017</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2016</w:t>
            </w: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Non-controlled, non-affiliated investments (cost—$918,332,509 and $805,189,545, respectively)</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946,232,162</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813,467,491</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140"/>
              <w:spacing w:after="0" w:line="149" w:lineRule="exact"/>
              <w:rPr>
                <w:sz w:val="20"/>
                <w:szCs w:val="20"/>
                <w:color w:val="auto"/>
              </w:rPr>
            </w:pPr>
            <w:r>
              <w:rPr>
                <w:rFonts w:ascii="Arial" w:cs="Arial" w:eastAsia="Arial" w:hAnsi="Arial"/>
                <w:sz w:val="14"/>
                <w:szCs w:val="14"/>
                <w:color w:val="auto"/>
              </w:rPr>
              <w:t>Non-controlled, affiliated investments (cost—$292,491,050 and $262,476,906, respectively)</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266,795,326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215,192,547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Controlled, affiliated investments (cost—$189,639,082 and $186,290,695, respectively)</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112,516,291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125,019,637</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420" w:type="dxa"/>
            <w:vAlign w:val="bottom"/>
          </w:tcPr>
          <w:p>
            <w:pPr>
              <w:ind w:left="140"/>
              <w:spacing w:after="0" w:line="155" w:lineRule="exact"/>
              <w:rPr>
                <w:sz w:val="20"/>
                <w:szCs w:val="20"/>
                <w:color w:val="auto"/>
              </w:rPr>
            </w:pPr>
            <w:r>
              <w:rPr>
                <w:rFonts w:ascii="Arial" w:cs="Arial" w:eastAsia="Arial" w:hAnsi="Arial"/>
                <w:sz w:val="14"/>
                <w:szCs w:val="14"/>
                <w:color w:val="auto"/>
              </w:rPr>
              <w:t>Total of investments (cost—$1,400,462,641 and $1,253,957,146, respectively)</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1,325,543,779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1,153,679,675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(cost—$45,335,225 and $75,617,133, respectively)</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45,340,576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75,608,113</w:t>
            </w: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12,749,323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7,032,858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1,978,725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2,615,232</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4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1,385,612,403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19,897,034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19,897,034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50,399,000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Credit Facility payable (cost—$148,118,700 and $50,339,700, respectively) (See Notes 5 and 10)</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136,122,503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39,551,187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10)</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250,635,000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254,175,000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SBA debentures payable, net (par—$197,500,000) (See Notes 5 and 10)</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193,413,169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193,244,534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10)</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71,535,000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72,618,000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Base management fee payable, net (See Note 3)</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5,270,817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5,074,830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2,834,336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2,865,444</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Interest payable on debt</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6,568,212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7,520,113</w:t>
            </w: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1,418,383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622,880</w:t>
            </w:r>
          </w:p>
        </w:tc>
      </w:tr>
      <w:tr>
        <w:trPr>
          <w:trHeight w:val="163"/>
        </w:trPr>
        <w:tc>
          <w:tcPr>
            <w:tcW w:w="20" w:type="dxa"/>
            <w:vAlign w:val="bottom"/>
          </w:tcPr>
          <w:p>
            <w:pPr>
              <w:spacing w:after="0"/>
              <w:rPr>
                <w:sz w:val="14"/>
                <w:szCs w:val="14"/>
                <w:color w:val="auto"/>
              </w:rPr>
            </w:pPr>
          </w:p>
        </w:tc>
        <w:tc>
          <w:tcPr>
            <w:tcW w:w="84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738,093,454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8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71,060,836 shares issued and outstanding, respectively</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71,061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71,061</w:t>
            </w: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819,983,676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819,983,676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undistributed net investment income</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(1,736,977)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3,119,380</w:t>
            </w: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14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(106,967,154)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(84,771,820)</w:t>
            </w: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(74,907,854)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(100,280,954)</w:t>
            </w:r>
          </w:p>
        </w:tc>
      </w:tr>
      <w:tr>
        <w:trPr>
          <w:trHeight w:val="156"/>
        </w:trPr>
        <w:tc>
          <w:tcPr>
            <w:tcW w:w="20" w:type="dxa"/>
            <w:vAlign w:val="bottom"/>
          </w:tcPr>
          <w:p>
            <w:pPr>
              <w:spacing w:after="0"/>
              <w:rPr>
                <w:sz w:val="13"/>
                <w:szCs w:val="13"/>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11,076,197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5,245,513</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647,518,949</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643,366,856</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4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1,385,612,403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4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9.11</w:t>
            </w:r>
          </w:p>
        </w:tc>
        <w:tc>
          <w:tcPr>
            <w:tcW w:w="4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9.05</w:t>
            </w: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21,872,130</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28,218,030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2,102,536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1,667,653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4,225,681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2,180,576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3,646,064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3,197,033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31,868,911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35,263,292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6,274,782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6,505,780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3,374,210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3,795,782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6,735,574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6,726,325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894,000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668,507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884,629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17,947,073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18,780,016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40" w:type="dxa"/>
            <w:vAlign w:val="bottom"/>
          </w:tcPr>
          <w:p>
            <w:pPr>
              <w:ind w:left="280"/>
              <w:spacing w:after="0" w:line="155" w:lineRule="exact"/>
              <w:rPr>
                <w:sz w:val="20"/>
                <w:szCs w:val="20"/>
                <w:color w:val="auto"/>
              </w:rPr>
            </w:pPr>
            <w:r>
              <w:rPr>
                <w:rFonts w:ascii="Arial" w:cs="Arial" w:eastAsia="Arial" w:hAnsi="Arial"/>
                <w:sz w:val="14"/>
                <w:szCs w:val="14"/>
                <w:color w:val="auto"/>
              </w:rPr>
              <w:t>Management Fees waiver (See Note 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(1,543,839)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(1,648,254)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Provision for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425,000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expenses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16,828,234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18,431,762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15,040,677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16,831,530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loss on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(22,195,334)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(25,374,963)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19,636,201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(16,742,815)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5,736,899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(23,129,710)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depreciation (See Notes 5 and 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5,830,684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7,660,775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31,203,784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(32,211,750)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9,008,450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(57,586,713)</w:t>
            </w:r>
          </w:p>
        </w:tc>
        <w:tc>
          <w:tcPr>
            <w:tcW w:w="0" w:type="dxa"/>
            <w:vAlign w:val="bottom"/>
          </w:tcPr>
          <w:p>
            <w:pPr>
              <w:spacing w:after="0"/>
              <w:rPr>
                <w:sz w:val="1"/>
                <w:szCs w:val="1"/>
                <w:color w:val="auto"/>
              </w:rPr>
            </w:pPr>
          </w:p>
        </w:tc>
      </w:tr>
      <w:tr>
        <w:trPr>
          <w:trHeight w:val="156"/>
        </w:trPr>
        <w:tc>
          <w:tcPr>
            <w:tcW w:w="8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24,049,127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(40,755,183)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0.34</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6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0.21</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2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Net investment income</w:t>
            </w:r>
          </w:p>
        </w:tc>
        <w:tc>
          <w:tcPr>
            <w:tcW w:w="26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15,040,677</w:t>
            </w:r>
          </w:p>
        </w:tc>
        <w:tc>
          <w:tcPr>
            <w:tcW w:w="22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16,831,530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realized loss on investments</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(22,195,334)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(25,374,963)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25,373,100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(39,872,525)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change in debt depreciation</w:t>
            </w:r>
          </w:p>
        </w:tc>
        <w:tc>
          <w:tcPr>
            <w:tcW w:w="2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5,830,684</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7,660,775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24,049,127</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(40,755,183)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(19,897,034)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(20,088,799)</w:t>
            </w:r>
          </w:p>
        </w:tc>
        <w:tc>
          <w:tcPr>
            <w:tcW w:w="0" w:type="dxa"/>
            <w:vAlign w:val="bottom"/>
          </w:tcPr>
          <w:p>
            <w:pPr>
              <w:spacing w:after="0"/>
              <w:rPr>
                <w:sz w:val="1"/>
                <w:szCs w:val="1"/>
                <w:color w:val="auto"/>
              </w:rPr>
            </w:pPr>
          </w:p>
        </w:tc>
      </w:tr>
      <w:tr>
        <w:trPr>
          <w:trHeight w:val="156"/>
        </w:trPr>
        <w:tc>
          <w:tcPr>
            <w:tcW w:w="6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2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common stock</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(8,437,161)</w:t>
            </w:r>
          </w:p>
        </w:tc>
        <w:tc>
          <w:tcPr>
            <w:tcW w:w="0" w:type="dxa"/>
            <w:vAlign w:val="bottom"/>
          </w:tcPr>
          <w:p>
            <w:pPr>
              <w:spacing w:after="0"/>
              <w:rPr>
                <w:sz w:val="1"/>
                <w:szCs w:val="1"/>
                <w:color w:val="auto"/>
              </w:rPr>
            </w:pPr>
          </w:p>
        </w:tc>
      </w:tr>
      <w:tr>
        <w:trPr>
          <w:trHeight w:val="163"/>
        </w:trPr>
        <w:tc>
          <w:tcPr>
            <w:tcW w:w="6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24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4,152,093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(69,281,143)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Beginning of period</w:t>
            </w:r>
          </w:p>
        </w:tc>
        <w:tc>
          <w:tcPr>
            <w:tcW w:w="2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643,366,856</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716,590,542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End of period</w:t>
            </w:r>
          </w:p>
        </w:tc>
        <w:tc>
          <w:tcPr>
            <w:tcW w:w="260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647,518,949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647,309,399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2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(1,736,977)</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(16,682,155)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Shares of common stock repurchased</w:t>
            </w: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(1,220,333)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91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44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24,049,127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(40,755,183)</w:t>
            </w:r>
          </w:p>
        </w:tc>
        <w:tc>
          <w:tcPr>
            <w:tcW w:w="0" w:type="dxa"/>
            <w:vAlign w:val="bottom"/>
          </w:tcPr>
          <w:p>
            <w:pPr>
              <w:spacing w:after="0"/>
              <w:rPr>
                <w:sz w:val="1"/>
                <w:szCs w:val="1"/>
                <w:color w:val="auto"/>
              </w:rPr>
            </w:pPr>
          </w:p>
        </w:tc>
      </w:tr>
      <w:tr>
        <w:trPr>
          <w:trHeight w:val="130"/>
        </w:trPr>
        <w:tc>
          <w:tcPr>
            <w:tcW w:w="680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w w:val="95"/>
              </w:rPr>
              <w:t>Adjustments to reconcile net increase (decrease) in net assets resulting from operations to net cash used in</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activities: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Net change in net unrealized (appreciation) depreciation on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(25,373,100)</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39,872,525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(5,830,684)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(7,660,775)</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Net realized loss on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22,195,334</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25,374,963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(938,502)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(1,554,643)</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(229,234,313)</w:t>
            </w: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(130,317,861)</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income</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(2,914,692)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(4,512,413)</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64,209,266</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108,068,736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168,635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142,975</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interest receivable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(5,716,465)</w:t>
            </w:r>
          </w:p>
        </w:tc>
        <w:tc>
          <w:tcPr>
            <w:tcW w:w="1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586,198</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prepaid expenses and other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636,507</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4,414,695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50,399,000</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8,157,322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interest payable on debt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(951,901)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(1,399,934)</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management fee payable,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195,987</w:t>
            </w: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(1,137,173)</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performance-based incentive fee payable, net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(31,108)</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(1,819,340)</w:t>
            </w:r>
          </w:p>
        </w:tc>
        <w:tc>
          <w:tcPr>
            <w:tcW w:w="0" w:type="dxa"/>
            <w:vAlign w:val="bottom"/>
          </w:tcPr>
          <w:p>
            <w:pPr>
              <w:spacing w:after="0"/>
              <w:rPr>
                <w:sz w:val="1"/>
                <w:szCs w:val="1"/>
                <w:color w:val="auto"/>
              </w:rPr>
            </w:pPr>
          </w:p>
        </w:tc>
      </w:tr>
      <w:tr>
        <w:trPr>
          <w:trHeight w:val="156"/>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Increase in accrued other expenses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795,503</w:t>
            </w: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1,680,036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(108,341,406)</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(859,872)</w:t>
            </w: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Repurchase of common stock</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(8,437,161)</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(19,897,034)</w:t>
            </w: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(20,430,492)</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Borrowings under Credit Facility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160,260,000</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202,316,923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Repayments under Credit Facility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(62,481,000)</w:t>
            </w: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(196,185,900)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77,881,966</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(22,736,630)</w:t>
            </w: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(30,459,440)</w:t>
            </w:r>
          </w:p>
        </w:tc>
        <w:tc>
          <w:tcPr>
            <w:tcW w:w="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(23,596,502)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191,903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232,165</w:t>
            </w:r>
          </w:p>
        </w:tc>
        <w:tc>
          <w:tcPr>
            <w:tcW w:w="0" w:type="dxa"/>
            <w:vAlign w:val="bottom"/>
          </w:tcPr>
          <w:p>
            <w:pPr>
              <w:spacing w:after="0"/>
              <w:rPr>
                <w:sz w:val="1"/>
                <w:szCs w:val="1"/>
                <w:color w:val="auto"/>
              </w:rPr>
            </w:pPr>
          </w:p>
        </w:tc>
      </w:tr>
      <w:tr>
        <w:trPr>
          <w:trHeight w:val="156"/>
        </w:trPr>
        <w:tc>
          <w:tcPr>
            <w:tcW w:w="68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75,608,113</w:t>
            </w: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49,619,256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45,340,576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26,254,919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paid</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7,518,840</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7,983,284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220"/>
              <w:spacing w:after="0"/>
              <w:rPr>
                <w:sz w:val="20"/>
                <w:szCs w:val="20"/>
                <w:color w:val="auto"/>
              </w:rPr>
            </w:pPr>
            <w:r>
              <w:rPr>
                <w:rFonts w:ascii="Arial" w:cs="Arial" w:eastAsia="Arial" w:hAnsi="Arial"/>
                <w:sz w:val="14"/>
                <w:szCs w:val="14"/>
                <w:color w:val="auto"/>
              </w:rPr>
              <w:t>Taxes paid</w:t>
            </w:r>
          </w:p>
        </w:tc>
        <w:tc>
          <w:tcPr>
            <w:tcW w:w="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86,349</w:t>
            </w:r>
          </w:p>
        </w:tc>
        <w:tc>
          <w:tcPr>
            <w:tcW w:w="4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Non-cash exchanges and conversions</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18,026,006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39,438,420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919"/>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0500"/>
          </w:cols>
          <w:pgMar w:left="240" w:top="459" w:right="11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Basis Point</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80" w:type="dxa"/>
            <w:vAlign w:val="bottom"/>
          </w:tcPr>
          <w:p>
            <w:pPr>
              <w:ind w:left="840"/>
              <w:spacing w:after="0" w:line="135" w:lineRule="exact"/>
              <w:rPr>
                <w:sz w:val="20"/>
                <w:szCs w:val="20"/>
                <w:color w:val="auto"/>
              </w:rPr>
            </w:pPr>
            <w:r>
              <w:rPr>
                <w:rFonts w:ascii="Arial" w:cs="Arial" w:eastAsia="Arial" w:hAnsi="Arial"/>
                <w:sz w:val="13"/>
                <w:szCs w:val="13"/>
                <w:b w:val="1"/>
                <w:bCs w:val="1"/>
                <w:color w:val="auto"/>
              </w:rPr>
              <w:t>Maturity /</w:t>
            </w:r>
          </w:p>
        </w:tc>
        <w:tc>
          <w:tcPr>
            <w:tcW w:w="1980" w:type="dxa"/>
            <w:vAlign w:val="bottom"/>
          </w:tcPr>
          <w:p>
            <w:pPr>
              <w:spacing w:after="0"/>
              <w:rPr>
                <w:sz w:val="11"/>
                <w:szCs w:val="11"/>
                <w:color w:val="auto"/>
              </w:rPr>
            </w:pPr>
          </w:p>
        </w:tc>
        <w:tc>
          <w:tcPr>
            <w:tcW w:w="8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Current</w:t>
            </w:r>
          </w:p>
        </w:tc>
        <w:tc>
          <w:tcPr>
            <w:tcW w:w="10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160" w:type="dxa"/>
            <w:vAlign w:val="bottom"/>
          </w:tcPr>
          <w:p>
            <w:pPr>
              <w:spacing w:after="0"/>
              <w:rPr>
                <w:sz w:val="11"/>
                <w:szCs w:val="11"/>
                <w:color w:val="auto"/>
              </w:rPr>
            </w:pPr>
          </w:p>
        </w:tc>
        <w:tc>
          <w:tcPr>
            <w:tcW w:w="6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gridSpan w:val="2"/>
            <w:vMerge w:val="continue"/>
          </w:tcPr>
          <w:p>
            <w:pPr>
              <w:spacing w:after="0"/>
              <w:rPr>
                <w:sz w:val="13"/>
                <w:szCs w:val="13"/>
                <w:color w:val="auto"/>
              </w:rPr>
            </w:pPr>
          </w:p>
        </w:tc>
        <w:tc>
          <w:tcPr>
            <w:tcW w:w="1480" w:type="dxa"/>
            <w:vAlign w:val="bottom"/>
          </w:tcPr>
          <w:p>
            <w:pPr>
              <w:ind w:left="820"/>
              <w:spacing w:after="0"/>
              <w:rPr>
                <w:sz w:val="20"/>
                <w:szCs w:val="20"/>
                <w:color w:val="auto"/>
              </w:rPr>
            </w:pPr>
            <w:r>
              <w:rPr>
                <w:rFonts w:ascii="Arial" w:cs="Arial" w:eastAsia="Arial" w:hAnsi="Arial"/>
                <w:sz w:val="13"/>
                <w:szCs w:val="13"/>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860" w:type="dxa"/>
            <w:vAlign w:val="bottom"/>
          </w:tcPr>
          <w:p>
            <w:pPr>
              <w:jc w:val="right"/>
              <w:ind w:right="237"/>
              <w:spacing w:after="0"/>
              <w:rPr>
                <w:sz w:val="20"/>
                <w:szCs w:val="20"/>
                <w:color w:val="auto"/>
              </w:rPr>
            </w:pPr>
            <w:r>
              <w:rPr>
                <w:rFonts w:ascii="Arial" w:cs="Arial" w:eastAsia="Arial" w:hAnsi="Arial"/>
                <w:sz w:val="13"/>
                <w:szCs w:val="13"/>
                <w:b w:val="1"/>
                <w:bCs w:val="1"/>
                <w:color w:val="auto"/>
              </w:rPr>
              <w:t>Coupon</w:t>
            </w: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16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3"/>
                <w:szCs w:val="13"/>
                <w:color w:val="auto"/>
              </w:rPr>
            </w:pPr>
          </w:p>
        </w:tc>
        <w:tc>
          <w:tcPr>
            <w:tcW w:w="78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7"/>
              </w:rPr>
              <w:t xml:space="preserve">Investments in Non-Controlled, Non-Affiliated Portfolio Companies—146.1% </w:t>
            </w:r>
            <w:r>
              <w:rPr>
                <w:rFonts w:ascii="Arial" w:cs="Arial" w:eastAsia="Arial" w:hAnsi="Arial"/>
                <w:sz w:val="10"/>
                <w:szCs w:val="10"/>
                <w:b w:val="1"/>
                <w:bCs w:val="1"/>
                <w:color w:val="auto"/>
                <w:w w:val="97"/>
              </w:rPr>
              <w:t>(1), (2)</w:t>
            </w:r>
          </w:p>
        </w:tc>
        <w:tc>
          <w:tcPr>
            <w:tcW w:w="19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Debt—55.4%</w:t>
            </w:r>
          </w:p>
        </w:tc>
        <w:tc>
          <w:tcPr>
            <w:tcW w:w="1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12/21/2020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L+825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23,273,378</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23,009,381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23,118,144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06/03/2021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L+575</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3"/>
              </w:rPr>
              <w:t>9,093,750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8,942,169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9,093,750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06/03/2021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L+1,225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3"/>
              </w:rPr>
              <w:t>9,187,500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9,029,482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9,187,500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East Valley Tourist Development Authority</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01/17/2022</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15,000,000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14,625,000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15,000,000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10/21/2020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3"/>
              </w:rPr>
              <w:t>4,372,074</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4,326,685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4,284,633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06/30/2020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24,856,494</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24,672,205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24,856,494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Juniper Landscaping of Florida, LLC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12/22/2021</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10.50%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L+950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82"/>
              </w:rPr>
              <w:t>14,445,000</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14,157,343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14,156,100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line="121" w:lineRule="exact"/>
              <w:rPr>
                <w:sz w:val="20"/>
                <w:szCs w:val="20"/>
                <w:color w:val="auto"/>
              </w:rPr>
            </w:pPr>
            <w:r>
              <w:rPr>
                <w:rFonts w:ascii="Arial" w:cs="Arial" w:eastAsia="Arial" w:hAnsi="Arial"/>
                <w:sz w:val="13"/>
                <w:szCs w:val="13"/>
                <w:color w:val="auto"/>
              </w:rPr>
              <w:t xml:space="preserve">Juniper Landscaping of Florida, LLC (Revolver) </w:t>
            </w:r>
            <w:r>
              <w:rPr>
                <w:rFonts w:ascii="Arial" w:cs="Arial" w:eastAsia="Arial" w:hAnsi="Arial"/>
                <w:sz w:val="10"/>
                <w:szCs w:val="10"/>
                <w:color w:val="auto"/>
              </w:rPr>
              <w:t>(8)</w:t>
            </w:r>
          </w:p>
        </w:tc>
        <w:tc>
          <w:tcPr>
            <w:tcW w:w="1480" w:type="dxa"/>
            <w:vAlign w:val="bottom"/>
          </w:tcPr>
          <w:p>
            <w:pPr>
              <w:jc w:val="center"/>
              <w:ind w:left="697"/>
              <w:spacing w:after="0" w:line="121" w:lineRule="exact"/>
              <w:rPr>
                <w:sz w:val="20"/>
                <w:szCs w:val="20"/>
                <w:color w:val="auto"/>
              </w:rPr>
            </w:pPr>
            <w:r>
              <w:rPr>
                <w:rFonts w:ascii="Arial" w:cs="Arial" w:eastAsia="Arial" w:hAnsi="Arial"/>
                <w:sz w:val="13"/>
                <w:szCs w:val="13"/>
                <w:color w:val="auto"/>
                <w:w w:val="86"/>
              </w:rPr>
              <w:t>12/22/2021</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3"/>
              </w:rPr>
              <w:t>3,600,000</w:t>
            </w:r>
          </w:p>
        </w:tc>
        <w:tc>
          <w:tcPr>
            <w:tcW w:w="140" w:type="dxa"/>
            <w:vAlign w:val="bottom"/>
          </w:tcPr>
          <w:p>
            <w:pPr>
              <w:spacing w:after="0"/>
              <w:rPr>
                <w:sz w:val="10"/>
                <w:szCs w:val="10"/>
                <w:color w:val="auto"/>
              </w:rPr>
            </w:pPr>
          </w:p>
        </w:tc>
        <w:tc>
          <w:tcPr>
            <w:tcW w:w="7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8"/>
              </w:rPr>
              <w:t>Services</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02/19/2021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14,522,529</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14,277,953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14,250,687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LSF9 Atlantis Holdings,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01/15/2021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37,898,852</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37,422,706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37,898,852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Montreign Operating Company,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01/24/2023</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L+825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23,800,000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23,324,000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23,978,500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480" w:type="dxa"/>
            <w:vAlign w:val="bottom"/>
          </w:tcPr>
          <w:p>
            <w:pPr>
              <w:jc w:val="center"/>
              <w:ind w:left="697"/>
              <w:spacing w:after="0" w:line="121" w:lineRule="exact"/>
              <w:rPr>
                <w:sz w:val="20"/>
                <w:szCs w:val="20"/>
                <w:color w:val="auto"/>
              </w:rPr>
            </w:pPr>
            <w:r>
              <w:rPr>
                <w:rFonts w:ascii="Arial" w:cs="Arial" w:eastAsia="Arial" w:hAnsi="Arial"/>
                <w:sz w:val="13"/>
                <w:szCs w:val="13"/>
                <w:color w:val="auto"/>
                <w:w w:val="86"/>
              </w:rPr>
              <w:t>12/16/2019</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9"/>
              </w:rPr>
              <w:t>Mining, Steel, Iron and</w:t>
            </w:r>
          </w:p>
        </w:tc>
        <w:tc>
          <w:tcPr>
            <w:tcW w:w="8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w w:val="82"/>
              </w:rPr>
              <w:t>14,250,000</w:t>
            </w:r>
          </w:p>
        </w:tc>
        <w:tc>
          <w:tcPr>
            <w:tcW w:w="14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w w:val="95"/>
              </w:rPr>
              <w:t>14,162,605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95"/>
              </w:rPr>
              <w:t>13,929,375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9"/>
              </w:rPr>
              <w:t>Non-Precious Metals</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06/18/2019</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8.50%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L+700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15,921,316</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15,855,578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15,711,057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04/21/2017</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L+750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37,929,343</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37,718,698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36,981,109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Sunborn Oy, Sunborn Saga Oy </w:t>
            </w:r>
            <w:r>
              <w:rPr>
                <w:rFonts w:ascii="Arial" w:cs="Arial" w:eastAsia="Arial" w:hAnsi="Arial"/>
                <w:sz w:val="10"/>
                <w:szCs w:val="10"/>
                <w:color w:val="auto"/>
              </w:rPr>
              <w:t>(9), (11), (12)</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07/01/2019</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11.50%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L+1,050</w:t>
            </w:r>
          </w:p>
        </w:tc>
        <w:tc>
          <w:tcPr>
            <w:tcW w:w="160" w:type="dxa"/>
            <w:vAlign w:val="bottom"/>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82"/>
              </w:rPr>
              <w:t>38,300,000</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39,444,336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39,993,032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3.50%)</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Triad Manufacturing,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12/28/2020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12.02%</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L+1,125</w:t>
            </w:r>
            <w:r>
              <w:rPr>
                <w:rFonts w:ascii="Arial" w:cs="Arial" w:eastAsia="Arial" w:hAnsi="Arial"/>
                <w:sz w:val="10"/>
                <w:szCs w:val="10"/>
                <w:color w:val="auto"/>
              </w:rPr>
              <w:t>(7)</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27,036,269</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26,581,806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27,036,269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02/12/2020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10.87%</w:t>
            </w:r>
          </w:p>
        </w:tc>
        <w:tc>
          <w:tcPr>
            <w:tcW w:w="10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160" w:type="dxa"/>
            <w:vAlign w:val="bottom"/>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22,083,433</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35,343,737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27,219,664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US Med Acquisition,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08/13/2021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3"/>
              </w:rPr>
              <w:t>8,629,688</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8,629,688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8,629,688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Well Services, LLC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05/02/2019</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14.11%</w:t>
            </w:r>
          </w:p>
        </w:tc>
        <w:tc>
          <w:tcPr>
            <w:tcW w:w="10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82"/>
              </w:rPr>
              <w:t>15,340,831</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15,166,283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13,193,114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14.11%)</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366,689,655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358,517,968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Debt—63.3%</w:t>
            </w:r>
          </w:p>
        </w:tc>
        <w:tc>
          <w:tcPr>
            <w:tcW w:w="14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Acre Operating Company,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12/12/2023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L+950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38,800,000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38,125,000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38,121,000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03/04/2022</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13.75%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28,500,000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28,263,183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28,500,000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Harbortouch Payments,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10/11/2024</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L+950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22,500,000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22,104,967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22,162,500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09/30/2020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L+1,000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41,250,000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39,513,616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36,712,500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03/01/2017</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3"/>
              </w:rPr>
              <w:t>4,887,760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3,739,797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2,932,656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Jacobs Entertainment, Inc.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10/29/2019</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L+1,175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51,775,000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51,341,138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50,739,500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MailSouth,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10/22/2021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L+1,050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26,425,000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25,946,574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26,425,000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07/07/2021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L+1,100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44,625,000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44,114,836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44,625,000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12/17/2021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L+1,200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75,000,000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75,000,000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77,624,421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07/01/2020</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10.25%</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L+900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82"/>
              </w:rPr>
              <w:t>62,750,000</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62,216,097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62,906,875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VT Buyer Acquisition Corp.</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01/30/2023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10.75%</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L+975</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12,862,500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12,453,113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12,862,500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WD Wolverine Holdings, LLC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10/17/2024</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10.50%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L+950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93"/>
              </w:rPr>
              <w:t>6,750,000</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6,480,000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6,488,438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409,298,321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410,100,390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Notes—17.8%</w:t>
            </w:r>
          </w:p>
        </w:tc>
        <w:tc>
          <w:tcPr>
            <w:tcW w:w="14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02/15/2019</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L+1,200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3"/>
              </w:rPr>
              <w:t>8,930,000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8,854,997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8,871,490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08/20/2021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32,675,553</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32,081,286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32,675,553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480" w:type="dxa"/>
            <w:vAlign w:val="bottom"/>
          </w:tcPr>
          <w:p>
            <w:pPr>
              <w:jc w:val="center"/>
              <w:ind w:left="697"/>
              <w:spacing w:after="0" w:line="121" w:lineRule="exact"/>
              <w:rPr>
                <w:sz w:val="20"/>
                <w:szCs w:val="20"/>
                <w:color w:val="auto"/>
              </w:rPr>
            </w:pPr>
            <w:r>
              <w:rPr>
                <w:rFonts w:ascii="Arial" w:cs="Arial" w:eastAsia="Arial" w:hAnsi="Arial"/>
                <w:sz w:val="13"/>
                <w:szCs w:val="13"/>
                <w:color w:val="auto"/>
                <w:w w:val="86"/>
              </w:rPr>
              <w:t>10/26/2018</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8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13.25%</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w w:val="82"/>
              </w:rPr>
              <w:t>11,089,580</w:t>
            </w:r>
          </w:p>
        </w:tc>
        <w:tc>
          <w:tcPr>
            <w:tcW w:w="14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w w:val="95"/>
              </w:rPr>
              <w:t>10,877,580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95"/>
              </w:rPr>
              <w:t>10,789,404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8"/>
              </w:rPr>
              <w:t>Services</w:t>
            </w:r>
          </w:p>
        </w:tc>
        <w:tc>
          <w:tcPr>
            <w:tcW w:w="860" w:type="dxa"/>
            <w:vAlign w:val="bottom"/>
          </w:tcPr>
          <w:p>
            <w:pPr>
              <w:jc w:val="right"/>
              <w:spacing w:after="0"/>
              <w:rPr>
                <w:sz w:val="20"/>
                <w:szCs w:val="20"/>
                <w:color w:val="auto"/>
              </w:rPr>
            </w:pPr>
            <w:r>
              <w:rPr>
                <w:rFonts w:ascii="Arial" w:cs="Arial" w:eastAsia="Arial" w:hAnsi="Arial"/>
                <w:sz w:val="13"/>
                <w:szCs w:val="13"/>
                <w:color w:val="auto"/>
              </w:rPr>
              <w:t>(PIK 2.00%)</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1480" w:type="dxa"/>
            <w:vAlign w:val="bottom"/>
            <w:shd w:val="clear" w:color="auto" w:fill="CCEEFF"/>
          </w:tcPr>
          <w:p>
            <w:pPr>
              <w:jc w:val="center"/>
              <w:ind w:left="697"/>
              <w:spacing w:after="0" w:line="124" w:lineRule="exact"/>
              <w:rPr>
                <w:sz w:val="20"/>
                <w:szCs w:val="20"/>
                <w:color w:val="auto"/>
              </w:rPr>
            </w:pPr>
            <w:r>
              <w:rPr>
                <w:rFonts w:ascii="Arial" w:cs="Arial" w:eastAsia="Arial" w:hAnsi="Arial"/>
                <w:sz w:val="13"/>
                <w:szCs w:val="13"/>
                <w:color w:val="auto"/>
                <w:w w:val="86"/>
              </w:rPr>
              <w:t>02/19/2018</w:t>
            </w:r>
          </w:p>
        </w:tc>
        <w:tc>
          <w:tcPr>
            <w:tcW w:w="198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4" w:lineRule="exact"/>
              <w:rPr>
                <w:sz w:val="20"/>
                <w:szCs w:val="20"/>
                <w:color w:val="auto"/>
              </w:rPr>
            </w:pPr>
            <w:r>
              <w:rPr>
                <w:rFonts w:ascii="Arial" w:cs="Arial" w:eastAsia="Arial" w:hAnsi="Arial"/>
                <w:sz w:val="13"/>
                <w:szCs w:val="13"/>
                <w:color w:val="auto"/>
              </w:rPr>
              <w:t>14.50%</w:t>
            </w:r>
          </w:p>
        </w:tc>
        <w:tc>
          <w:tcPr>
            <w:tcW w:w="1040" w:type="dxa"/>
            <w:vAlign w:val="bottom"/>
            <w:shd w:val="clear" w:color="auto" w:fill="CCEEFF"/>
          </w:tcPr>
          <w:p>
            <w:pPr>
              <w:jc w:val="right"/>
              <w:ind w:right="137"/>
              <w:spacing w:after="0" w:line="124" w:lineRule="exact"/>
              <w:rPr>
                <w:sz w:val="20"/>
                <w:szCs w:val="20"/>
                <w:color w:val="auto"/>
              </w:rPr>
            </w:pPr>
            <w:r>
              <w:rPr>
                <w:rFonts w:ascii="Arial" w:cs="Arial" w:eastAsia="Arial" w:hAnsi="Arial"/>
                <w:sz w:val="13"/>
                <w:szCs w:val="13"/>
                <w:color w:val="auto"/>
              </w:rPr>
              <w:t>L+1,000</w:t>
            </w:r>
          </w:p>
        </w:tc>
        <w:tc>
          <w:tcPr>
            <w:tcW w:w="160" w:type="dxa"/>
            <w:vAlign w:val="bottom"/>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ind w:right="17"/>
              <w:spacing w:after="0" w:line="124" w:lineRule="exact"/>
              <w:rPr>
                <w:sz w:val="20"/>
                <w:szCs w:val="20"/>
                <w:color w:val="auto"/>
              </w:rPr>
            </w:pPr>
            <w:r>
              <w:rPr>
                <w:rFonts w:ascii="Arial" w:cs="Arial" w:eastAsia="Arial" w:hAnsi="Arial"/>
                <w:sz w:val="13"/>
                <w:szCs w:val="13"/>
                <w:color w:val="auto"/>
                <w:w w:val="93"/>
              </w:rPr>
              <w:t>8,502,267</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3"/>
                <w:szCs w:val="13"/>
                <w:color w:val="auto"/>
                <w:w w:val="95"/>
              </w:rPr>
              <w:t>12,467,484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w w:val="95"/>
              </w:rPr>
              <w:t>10,505,835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6.00%)</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04/15/2020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26,500,000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26,612,526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26,325,700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05/13/2021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13,300,000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13,100,184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13,300,000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Sonny’s Enterprises,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06/01/2023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13,300,000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5"/>
              </w:rPr>
              <w:t>13,037,195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13,034,000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4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117,031,252</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115,501,982</w:t>
            </w: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Equity/Partnership Interests—0.8% </w:t>
            </w:r>
            <w:r>
              <w:rPr>
                <w:rFonts w:ascii="Arial" w:cs="Arial" w:eastAsia="Arial" w:hAnsi="Arial"/>
                <w:sz w:val="10"/>
                <w:szCs w:val="10"/>
                <w:b w:val="1"/>
                <w:bCs w:val="1"/>
                <w:color w:val="auto"/>
              </w:rPr>
              <w:t>(6)</w:t>
            </w: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6.00%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211</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500,000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219,785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949</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949,050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1,143,745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2,375</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2,088,121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2,442,879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3,591</w:t>
            </w:r>
          </w:p>
        </w:tc>
        <w:tc>
          <w:tcPr>
            <w:tcW w:w="14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1,197</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1,197,000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1,437,268</w:t>
            </w: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Preferred Equity/Partnership Interests</w:t>
            </w: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4,734,171</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5,279,567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1860" w:type="dxa"/>
            <w:vAlign w:val="bottom"/>
          </w:tcPr>
          <w:p>
            <w:pPr>
              <w:spacing w:after="0"/>
              <w:rPr>
                <w:sz w:val="11"/>
                <w:szCs w:val="11"/>
                <w:color w:val="auto"/>
              </w:rPr>
            </w:pPr>
          </w:p>
        </w:tc>
        <w:tc>
          <w:tcPr>
            <w:tcW w:w="94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Current</w:t>
            </w: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gridSpan w:val="2"/>
            <w:vMerge w:val="continue"/>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rPr>
              <w:t>Expiration</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Interests/Warrants—8.8% </w:t>
            </w:r>
            <w:r>
              <w:rPr>
                <w:rFonts w:ascii="Arial" w:cs="Arial" w:eastAsia="Arial" w:hAnsi="Arial"/>
                <w:sz w:val="10"/>
                <w:szCs w:val="10"/>
                <w:b w:val="1"/>
                <w:bCs w:val="1"/>
                <w:color w:val="auto"/>
              </w:rPr>
              <w:t>(6)</w:t>
            </w:r>
          </w:p>
        </w:tc>
        <w:tc>
          <w:tcPr>
            <w:tcW w:w="680" w:type="dxa"/>
            <w:vAlign w:val="bottom"/>
            <w:tcBorders>
              <w:top w:val="single" w:sz="8" w:color="auto"/>
            </w:tcBorders>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03/23/2021</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753</w:t>
            </w:r>
          </w:p>
        </w:tc>
        <w:tc>
          <w:tcPr>
            <w:tcW w:w="1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05/05/2026</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586,975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1,349,018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1,333,330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137,923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2,111,588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(Intermediate Transportation 100, LLC)</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24,382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2,518,909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5,755,707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1,745,639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4,002,115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3,044,483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938,399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2,513,193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26,371,234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4,277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217,635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415,322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(Interior Specialists, Inc.)</w:t>
            </w: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388,378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3,881,630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Inc.</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252,014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2,265,639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1,348,275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493,280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532,622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7,455,412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(Pre-Paid Legal Services, Inc.)</w:t>
            </w:r>
          </w:p>
        </w:tc>
        <w:tc>
          <w:tcPr>
            <w:tcW w:w="68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100,885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238,038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469,115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/Basic Industries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1,451,913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ZS Juniper L.P.</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754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754,264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754,264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(Juniper Landscaping of Florida, LLC) </w:t>
            </w:r>
            <w:r>
              <w:rPr>
                <w:rFonts w:ascii="Arial" w:cs="Arial" w:eastAsia="Arial" w:hAnsi="Arial"/>
                <w:sz w:val="10"/>
                <w:szCs w:val="10"/>
                <w:color w:val="auto"/>
              </w:rPr>
              <w:t>(10)</w:t>
            </w: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Miscellaneous Services</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20,579,110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56,832,255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918,332,509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946,232,162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0"/>
              </w:rPr>
              <w:t xml:space="preserve">Investments in Non-Controlled, Affiliated Portfolio Companies—41.2% </w:t>
            </w:r>
            <w:r>
              <w:rPr>
                <w:rFonts w:ascii="Arial" w:cs="Arial" w:eastAsia="Arial" w:hAnsi="Arial"/>
                <w:sz w:val="10"/>
                <w:szCs w:val="10"/>
                <w:b w:val="1"/>
                <w:bCs w:val="1"/>
                <w:color w:val="auto"/>
                <w:w w:val="90"/>
              </w:rPr>
              <w:t>(1), (2)</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Debt—10.3%</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American Gilsonite Company</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12/31/2021</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15.00%</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3,257,511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3,153,140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3,257,511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5.00%)</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Cano Health, LLC</w:t>
            </w:r>
          </w:p>
        </w:tc>
        <w:tc>
          <w:tcPr>
            <w:tcW w:w="680" w:type="dxa"/>
            <w:vAlign w:val="bottom"/>
            <w:shd w:val="clear" w:color="auto" w:fill="CCEEFF"/>
          </w:tcPr>
          <w:p>
            <w:pPr>
              <w:jc w:val="center"/>
              <w:ind w:right="17"/>
              <w:spacing w:after="0" w:line="124" w:lineRule="exact"/>
              <w:rPr>
                <w:sz w:val="20"/>
                <w:szCs w:val="20"/>
                <w:color w:val="auto"/>
              </w:rPr>
            </w:pPr>
            <w:r>
              <w:rPr>
                <w:rFonts w:ascii="Arial" w:cs="Arial" w:eastAsia="Arial" w:hAnsi="Arial"/>
                <w:sz w:val="13"/>
                <w:szCs w:val="13"/>
                <w:color w:val="auto"/>
                <w:w w:val="86"/>
              </w:rPr>
              <w:t>12/23/2021</w:t>
            </w:r>
          </w:p>
        </w:tc>
        <w:tc>
          <w:tcPr>
            <w:tcW w:w="186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Healthcare, Education and</w:t>
            </w:r>
          </w:p>
        </w:tc>
        <w:tc>
          <w:tcPr>
            <w:tcW w:w="940" w:type="dxa"/>
            <w:vAlign w:val="bottom"/>
            <w:shd w:val="clear" w:color="auto" w:fill="CCEEFF"/>
          </w:tcPr>
          <w:p>
            <w:pPr>
              <w:jc w:val="right"/>
              <w:ind w:right="97"/>
              <w:spacing w:after="0" w:line="124" w:lineRule="exact"/>
              <w:rPr>
                <w:sz w:val="20"/>
                <w:szCs w:val="20"/>
                <w:color w:val="auto"/>
              </w:rPr>
            </w:pPr>
            <w:r>
              <w:rPr>
                <w:rFonts w:ascii="Arial" w:cs="Arial" w:eastAsia="Arial" w:hAnsi="Arial"/>
                <w:sz w:val="13"/>
                <w:szCs w:val="13"/>
                <w:color w:val="auto"/>
              </w:rPr>
              <w:t>10.76%</w:t>
            </w:r>
          </w:p>
        </w:tc>
        <w:tc>
          <w:tcPr>
            <w:tcW w:w="1200" w:type="dxa"/>
            <w:vAlign w:val="bottom"/>
            <w:gridSpan w:val="2"/>
            <w:shd w:val="clear" w:color="auto" w:fill="CCEEFF"/>
          </w:tcPr>
          <w:p>
            <w:pPr>
              <w:jc w:val="right"/>
              <w:ind w:right="320"/>
              <w:spacing w:after="0" w:line="124" w:lineRule="exact"/>
              <w:rPr>
                <w:sz w:val="20"/>
                <w:szCs w:val="20"/>
                <w:color w:val="auto"/>
              </w:rPr>
            </w:pPr>
            <w:r>
              <w:rPr>
                <w:rFonts w:ascii="Arial" w:cs="Arial" w:eastAsia="Arial" w:hAnsi="Arial"/>
                <w:sz w:val="13"/>
                <w:szCs w:val="13"/>
                <w:color w:val="auto"/>
              </w:rPr>
              <w:t>L+1,000</w:t>
            </w:r>
          </w:p>
        </w:tc>
        <w:tc>
          <w:tcPr>
            <w:tcW w:w="7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3"/>
                <w:szCs w:val="13"/>
                <w:color w:val="auto"/>
                <w:w w:val="89"/>
              </w:rPr>
              <w:t>10,260,000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3"/>
                <w:szCs w:val="13"/>
                <w:color w:val="auto"/>
                <w:w w:val="95"/>
              </w:rPr>
              <w:t>10,005,198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3"/>
                <w:szCs w:val="13"/>
                <w:color w:val="auto"/>
                <w:w w:val="95"/>
              </w:rPr>
              <w:t>10,003,500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Cano Health, LLC (Revolver) </w:t>
            </w:r>
            <w:r>
              <w:rPr>
                <w:rFonts w:ascii="Arial" w:cs="Arial" w:eastAsia="Arial" w:hAnsi="Arial"/>
                <w:sz w:val="10"/>
                <w:szCs w:val="10"/>
                <w:color w:val="auto"/>
              </w:rPr>
              <w:t>(8)</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12/23/2021</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900,000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Industries LLC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11/25/2020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10.75%</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L+975</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23,463,000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23,076,650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23,463,000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11/25/2020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1,942,623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PAS Technologies, Inc.</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6"/>
              </w:rPr>
              <w:t>03/21/2017</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6.01%</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L+500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4,437,215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3,906,107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4,437,215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1.00%)</w:t>
            </w: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04/30/2018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22,514,911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22,393,383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22,514,911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08/25/2017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65,534,478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66,676,137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Debt—4.1%</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10/31/2018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8.50%</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L+700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18,000,000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17,078,401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17,442,000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12/26/2017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9,409,740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9,321,997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9,409,740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26,400,398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26,851,740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Notes—14.1%</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07/30/2018</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7.50%</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w w:val="89"/>
              </w:rPr>
              <w:t>10,055,185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9,265,571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9,652,978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4.00%)</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680" w:type="dxa"/>
            <w:vAlign w:val="bottom"/>
            <w:shd w:val="clear" w:color="auto" w:fill="CCEEFF"/>
          </w:tcPr>
          <w:p>
            <w:pPr>
              <w:jc w:val="center"/>
              <w:ind w:right="17"/>
              <w:spacing w:after="0" w:line="124" w:lineRule="exact"/>
              <w:rPr>
                <w:sz w:val="20"/>
                <w:szCs w:val="20"/>
                <w:color w:val="auto"/>
              </w:rPr>
            </w:pPr>
            <w:r>
              <w:rPr>
                <w:rFonts w:ascii="Arial" w:cs="Arial" w:eastAsia="Arial" w:hAnsi="Arial"/>
                <w:sz w:val="13"/>
                <w:szCs w:val="13"/>
                <w:color w:val="auto"/>
                <w:w w:val="86"/>
              </w:rPr>
              <w:t>12/31/2021</w:t>
            </w:r>
          </w:p>
        </w:tc>
        <w:tc>
          <w:tcPr>
            <w:tcW w:w="186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shd w:val="clear" w:color="auto" w:fill="CCEEFF"/>
          </w:tcPr>
          <w:p>
            <w:pPr>
              <w:jc w:val="right"/>
              <w:ind w:right="97"/>
              <w:spacing w:after="0" w:line="124" w:lineRule="exact"/>
              <w:rPr>
                <w:sz w:val="20"/>
                <w:szCs w:val="20"/>
                <w:color w:val="auto"/>
              </w:rPr>
            </w:pPr>
            <w:r>
              <w:rPr>
                <w:rFonts w:ascii="Arial" w:cs="Arial" w:eastAsia="Arial" w:hAnsi="Arial"/>
                <w:sz w:val="13"/>
                <w:szCs w:val="13"/>
                <w:color w:val="auto"/>
              </w:rPr>
              <w:t>17.00%</w:t>
            </w:r>
          </w:p>
        </w:tc>
        <w:tc>
          <w:tcPr>
            <w:tcW w:w="1200" w:type="dxa"/>
            <w:vAlign w:val="bottom"/>
            <w:gridSpan w:val="2"/>
            <w:shd w:val="clear" w:color="auto" w:fill="CCEEFF"/>
          </w:tcPr>
          <w:p>
            <w:pPr>
              <w:jc w:val="right"/>
              <w:ind w:right="320"/>
              <w:spacing w:after="0" w:line="12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9,407,407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9,407,407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9,407,407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17.00%)</w:t>
            </w: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11/05/2019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15,177,295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12,340,534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1,669,502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ETX Energy, LLC, Convertible Note </w:t>
            </w:r>
            <w:r>
              <w:rPr>
                <w:rFonts w:ascii="Arial" w:cs="Arial" w:eastAsia="Arial" w:hAnsi="Arial"/>
                <w:sz w:val="10"/>
                <w:szCs w:val="10"/>
                <w:color w:val="auto"/>
              </w:rPr>
              <w:t>(5)</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6"/>
              </w:rPr>
              <w:t>05/03/2021</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12.50%</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w w:val="89"/>
              </w:rPr>
              <w:t>25,297,664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5"/>
              </w:rPr>
              <w:t>35,876,111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5"/>
              </w:rPr>
              <w:t>42,500,076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12.50%)</w:t>
            </w: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10/02/2017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12.50%</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28,000,000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27,880,538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27,970,495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94,770,161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91,200,458</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Equity—0.8% </w:t>
            </w:r>
            <w:r>
              <w:rPr>
                <w:rFonts w:ascii="Arial" w:cs="Arial" w:eastAsia="Arial" w:hAnsi="Arial"/>
                <w:sz w:val="10"/>
                <w:szCs w:val="10"/>
                <w:b w:val="1"/>
                <w:bCs w:val="1"/>
                <w:color w:val="auto"/>
              </w:rPr>
              <w:t>(6)</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20,059,340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5,254,029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Equity/Partnership Interests/Warrants—11.9% </w:t>
            </w:r>
            <w:r>
              <w:rPr>
                <w:rFonts w:ascii="Arial" w:cs="Arial" w:eastAsia="Arial" w:hAnsi="Arial"/>
                <w:sz w:val="10"/>
                <w:szCs w:val="10"/>
                <w:b w:val="1"/>
                <w:bCs w:val="1"/>
                <w:color w:val="auto"/>
              </w:rPr>
              <w:t>(6)</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859,496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30,503,493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33,758,336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37,181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10,265,972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247,769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American Gilsonite Company</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25,400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5,465,627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5,465,627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11,250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1,125,000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2,606,202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11,250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Current</w:t>
            </w: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8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60" w:type="dxa"/>
            <w:vAlign w:val="bottom"/>
            <w:gridSpan w:val="3"/>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Expiration</w:t>
            </w:r>
          </w:p>
        </w:tc>
        <w:tc>
          <w:tcPr>
            <w:tcW w:w="1580" w:type="dxa"/>
            <w:vAlign w:val="bottom"/>
            <w:gridSpan w:val="2"/>
          </w:tcPr>
          <w:p>
            <w:pPr>
              <w:ind w:left="400"/>
              <w:spacing w:after="0"/>
              <w:rPr>
                <w:sz w:val="20"/>
                <w:szCs w:val="20"/>
                <w:color w:val="auto"/>
              </w:rPr>
            </w:pPr>
            <w:r>
              <w:rPr>
                <w:rFonts w:ascii="Arial" w:cs="Arial" w:eastAsia="Arial" w:hAnsi="Arial"/>
                <w:sz w:val="13"/>
                <w:szCs w:val="13"/>
                <w:b w:val="1"/>
                <w:bCs w:val="1"/>
                <w:color w:val="auto"/>
              </w:rPr>
              <w:t>Industry</w:t>
            </w:r>
          </w:p>
        </w:tc>
        <w:tc>
          <w:tcPr>
            <w:tcW w:w="9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7"/>
              </w:rPr>
              <w:t>Coupon</w:t>
            </w: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DirectBuy Holdings, Inc.</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Consumer Products</w:t>
            </w:r>
          </w:p>
        </w:tc>
        <w:tc>
          <w:tcPr>
            <w:tcW w:w="3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104,719</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21,492,822</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11/05/2022</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5"/>
              </w:rPr>
              <w:t>Consumer Products</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15,486</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7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80"/>
              <w:spacing w:after="0" w:line="121" w:lineRule="exact"/>
              <w:rPr>
                <w:sz w:val="20"/>
                <w:szCs w:val="20"/>
                <w:color w:val="auto"/>
              </w:rPr>
            </w:pPr>
            <w:r>
              <w:rPr>
                <w:rFonts w:ascii="Arial" w:cs="Arial" w:eastAsia="Arial" w:hAnsi="Arial"/>
                <w:sz w:val="13"/>
                <w:szCs w:val="13"/>
                <w:color w:val="auto"/>
                <w:w w:val="89"/>
              </w:rPr>
              <w:t>Environmental</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143,668</w:t>
            </w: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11,960,702</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13,350,935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4"/>
              </w:rPr>
              <w:t>Services</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ETX Energy, LLC </w:t>
            </w:r>
            <w:r>
              <w:rPr>
                <w:rFonts w:ascii="Arial" w:cs="Arial" w:eastAsia="Arial" w:hAnsi="Arial"/>
                <w:sz w:val="10"/>
                <w:szCs w:val="10"/>
                <w:color w:val="auto"/>
              </w:rPr>
              <w:t>(10)</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113,610</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3,080,591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ETX Energy Management Company, LLC </w:t>
            </w:r>
            <w:r>
              <w:rPr>
                <w:rFonts w:ascii="Arial" w:cs="Arial" w:eastAsia="Arial" w:hAnsi="Arial"/>
                <w:sz w:val="10"/>
                <w:szCs w:val="10"/>
                <w:color w:val="auto"/>
              </w:rPr>
              <w:t>(10)</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119,603</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162,155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ITC Rumba, LLC (Cano Health, LLC) </w:t>
            </w:r>
            <w:r>
              <w:rPr>
                <w:rFonts w:ascii="Arial" w:cs="Arial" w:eastAsia="Arial" w:hAnsi="Arial"/>
                <w:sz w:val="10"/>
                <w:szCs w:val="10"/>
                <w:color w:val="auto"/>
              </w:rPr>
              <w:t>(10)</w:t>
            </w:r>
          </w:p>
        </w:tc>
        <w:tc>
          <w:tcPr>
            <w:tcW w:w="7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180,000</w:t>
            </w:r>
          </w:p>
        </w:tc>
        <w:tc>
          <w:tcPr>
            <w:tcW w:w="6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1,800,000</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1,800,000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and Childcare</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8"/>
              </w:rPr>
              <w:t>Auto Sector</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16,800</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2,721,600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7,567,263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53,071</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202,620</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5,832,533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491,755</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188,837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2,941,551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85,726,673</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76,812,962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9"/>
              </w:rPr>
              <w:t>292,491,050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9"/>
              </w:rPr>
              <w:t>266,795,326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w w:val="97"/>
              </w:rPr>
              <w:t xml:space="preserve">Investments in Controlled, Affiliated Portfolio Companies—17.4% </w:t>
            </w:r>
            <w:r>
              <w:rPr>
                <w:rFonts w:ascii="Arial" w:cs="Arial" w:eastAsia="Arial" w:hAnsi="Arial"/>
                <w:sz w:val="10"/>
                <w:szCs w:val="10"/>
                <w:b w:val="1"/>
                <w:bCs w:val="1"/>
                <w:color w:val="auto"/>
                <w:w w:val="97"/>
              </w:rPr>
              <w:t>(1), (2)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Debt—15.0%</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RAM Energy LLC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07/18/2019</w:t>
            </w:r>
          </w:p>
        </w:tc>
        <w:tc>
          <w:tcPr>
            <w:tcW w:w="180" w:type="dxa"/>
            <w:vAlign w:val="bottom"/>
          </w:tcPr>
          <w:p>
            <w:pPr>
              <w:spacing w:after="0"/>
              <w:rPr>
                <w:sz w:val="10"/>
                <w:szCs w:val="10"/>
                <w:color w:val="auto"/>
              </w:rPr>
            </w:pPr>
          </w:p>
        </w:tc>
        <w:tc>
          <w:tcPr>
            <w:tcW w:w="158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1"/>
              </w:rPr>
              <w:t>Energy and Utilities</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10.00%</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L+800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w w:val="89"/>
              </w:rPr>
              <w:t>86,744,720</w:t>
            </w:r>
          </w:p>
        </w:tc>
        <w:tc>
          <w:tcPr>
            <w:tcW w:w="6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85,875,642</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70,480,085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w w:val="93"/>
              </w:rPr>
              <w:t>(PIK 10.00%)</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4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color w:val="auto"/>
              </w:rPr>
              <w:t>Superior Digital Displays, LLC</w:t>
            </w:r>
          </w:p>
        </w:tc>
        <w:tc>
          <w:tcPr>
            <w:tcW w:w="60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12/31/2018</w:t>
            </w:r>
          </w:p>
        </w:tc>
        <w:tc>
          <w:tcPr>
            <w:tcW w:w="18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jc w:val="center"/>
              <w:ind w:right="300"/>
              <w:spacing w:after="0" w:line="124" w:lineRule="exact"/>
              <w:rPr>
                <w:sz w:val="20"/>
                <w:szCs w:val="20"/>
                <w:color w:val="auto"/>
              </w:rPr>
            </w:pPr>
            <w:r>
              <w:rPr>
                <w:rFonts w:ascii="Arial" w:cs="Arial" w:eastAsia="Arial" w:hAnsi="Arial"/>
                <w:sz w:val="13"/>
                <w:szCs w:val="13"/>
                <w:color w:val="auto"/>
                <w:w w:val="90"/>
              </w:rPr>
              <w:t>Media</w:t>
            </w:r>
          </w:p>
        </w:tc>
        <w:tc>
          <w:tcPr>
            <w:tcW w:w="980" w:type="dxa"/>
            <w:vAlign w:val="bottom"/>
            <w:gridSpan w:val="2"/>
            <w:shd w:val="clear" w:color="auto" w:fill="CCEEFF"/>
          </w:tcPr>
          <w:p>
            <w:pPr>
              <w:jc w:val="right"/>
              <w:ind w:right="280"/>
              <w:spacing w:after="0" w:line="124" w:lineRule="exact"/>
              <w:rPr>
                <w:sz w:val="20"/>
                <w:szCs w:val="20"/>
                <w:color w:val="auto"/>
              </w:rPr>
            </w:pPr>
            <w:r>
              <w:rPr>
                <w:rFonts w:ascii="Arial" w:cs="Arial" w:eastAsia="Arial" w:hAnsi="Arial"/>
                <w:sz w:val="13"/>
                <w:szCs w:val="13"/>
                <w:color w:val="auto"/>
              </w:rPr>
              <w:t>14.00%</w:t>
            </w:r>
          </w:p>
        </w:tc>
        <w:tc>
          <w:tcPr>
            <w:tcW w:w="1080" w:type="dxa"/>
            <w:vAlign w:val="bottom"/>
            <w:gridSpan w:val="2"/>
            <w:shd w:val="clear" w:color="auto" w:fill="CCEEFF"/>
          </w:tcPr>
          <w:p>
            <w:pPr>
              <w:jc w:val="right"/>
              <w:ind w:right="320"/>
              <w:spacing w:after="0" w:line="124" w:lineRule="exact"/>
              <w:rPr>
                <w:sz w:val="20"/>
                <w:szCs w:val="20"/>
                <w:color w:val="auto"/>
              </w:rPr>
            </w:pPr>
            <w:r>
              <w:rPr>
                <w:rFonts w:ascii="Arial" w:cs="Arial" w:eastAsia="Arial" w:hAnsi="Arial"/>
                <w:sz w:val="13"/>
                <w:szCs w:val="13"/>
                <w:color w:val="auto"/>
              </w:rPr>
              <w:t>L+1,300</w:t>
            </w:r>
          </w:p>
        </w:tc>
        <w:tc>
          <w:tcPr>
            <w:tcW w:w="84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3"/>
                <w:szCs w:val="13"/>
                <w:color w:val="auto"/>
                <w:w w:val="89"/>
              </w:rPr>
              <w:t>26,516,321</w:t>
            </w: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3"/>
                <w:szCs w:val="13"/>
                <w:color w:val="auto"/>
              </w:rPr>
              <w:t>24,942,081</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3"/>
                <w:szCs w:val="13"/>
                <w:color w:val="auto"/>
              </w:rPr>
              <w:t>26,516,321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3"/>
              </w:rPr>
              <w:t>(PIK 14.00%)</w:t>
            </w: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110,817,723</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96,996,406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Debt—0.9%</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07/01/2019</w:t>
            </w:r>
          </w:p>
        </w:tc>
        <w:tc>
          <w:tcPr>
            <w:tcW w:w="180" w:type="dxa"/>
            <w:vAlign w:val="bottom"/>
          </w:tcPr>
          <w:p>
            <w:pPr>
              <w:spacing w:after="0"/>
              <w:rPr>
                <w:sz w:val="10"/>
                <w:szCs w:val="10"/>
                <w:color w:val="auto"/>
              </w:rPr>
            </w:pPr>
          </w:p>
        </w:tc>
        <w:tc>
          <w:tcPr>
            <w:tcW w:w="158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16.00%</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L+1,500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6,105,815</w:t>
            </w:r>
          </w:p>
        </w:tc>
        <w:tc>
          <w:tcPr>
            <w:tcW w:w="6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6,105,815</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5,920,164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w w:val="93"/>
              </w:rPr>
              <w:t>(PIK 16.00%)</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Equity—1.5%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MidOcean JF Holdings Corp.</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5"/>
              </w:rPr>
              <w:t>Distribution</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143,183</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14,318,325</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9,599,721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90"/>
              </w:rPr>
              <w:t>Media</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15.00%</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224,282</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10,600,000</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Preferred Equity</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24,918,325</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9,599,721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Equity—0.0%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MidOcean JF Holdings Corp.</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5"/>
              </w:rPr>
              <w:t>Distribution</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65,933</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24,761,831</w:t>
            </w:r>
          </w:p>
        </w:tc>
        <w:tc>
          <w:tcPr>
            <w:tcW w:w="6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1"/>
              </w:rPr>
              <w:t>Energy and Utilities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23,141</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20,824,388</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11,100</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2,211,000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47,797,219</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189,639,082</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112,516,291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Investments—204.7%</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1,400,462,641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6"/>
              </w:rPr>
              <w:t>1,325,543,779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Cash and Cash Equivalents—7.0%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BlackRock Federal FD Instl 30</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9,893,987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9,893,987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35,441,238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35,446,589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45,335,225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45,340,576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Investments and Cash Equivalents—211.7%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1,445,797,866</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1,370,884,355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Assets—(111.7%)</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3"/>
              </w:rPr>
              <w:t>(723,365,406)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9"/>
              </w:rPr>
              <w:t>647,518,949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6" w:lineRule="exact"/>
        <w:rPr>
          <w:sz w:val="20"/>
          <w:szCs w:val="20"/>
          <w:color w:val="auto"/>
        </w:rPr>
      </w:pPr>
    </w:p>
    <w:p>
      <w:pPr>
        <w:ind w:left="340" w:right="200" w:hanging="332"/>
        <w:spacing w:after="0" w:line="243"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22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38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340" w:right="12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40" w:right="220" w:hanging="332"/>
        <w:spacing w:after="0" w:line="237"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4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Maturity /</w:t>
            </w:r>
          </w:p>
        </w:tc>
        <w:tc>
          <w:tcPr>
            <w:tcW w:w="2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Basis Point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960" w:type="dxa"/>
            <w:vAlign w:val="bottom"/>
          </w:tcPr>
          <w:p>
            <w:pPr>
              <w:jc w:val="right"/>
              <w:ind w:right="237"/>
              <w:spacing w:after="0" w:line="126"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6"/>
              </w:rPr>
              <w:t>Spread Above</w:t>
            </w:r>
          </w:p>
        </w:tc>
        <w:tc>
          <w:tcPr>
            <w:tcW w:w="80" w:type="dxa"/>
            <w:vAlign w:val="bottom"/>
          </w:tcPr>
          <w:p>
            <w:pPr>
              <w:spacing w:after="0"/>
              <w:rPr>
                <w:sz w:val="10"/>
                <w:szCs w:val="10"/>
                <w:color w:val="auto"/>
              </w:rPr>
            </w:pPr>
          </w:p>
        </w:tc>
        <w:tc>
          <w:tcPr>
            <w:tcW w:w="64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1040" w:type="dxa"/>
            <w:vAlign w:val="bottom"/>
          </w:tcPr>
          <w:p>
            <w:pPr>
              <w:ind w:left="300"/>
              <w:spacing w:after="0"/>
              <w:rPr>
                <w:sz w:val="20"/>
                <w:szCs w:val="20"/>
                <w:color w:val="auto"/>
              </w:rPr>
            </w:pPr>
            <w:r>
              <w:rPr>
                <w:rFonts w:ascii="Arial" w:cs="Arial" w:eastAsia="Arial" w:hAnsi="Arial"/>
                <w:sz w:val="13"/>
                <w:szCs w:val="13"/>
                <w:b w:val="1"/>
                <w:bCs w:val="1"/>
                <w:color w:val="auto"/>
              </w:rPr>
              <w:t>Expiration</w:t>
            </w: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60" w:type="dxa"/>
            <w:vAlign w:val="bottom"/>
          </w:tcPr>
          <w:p>
            <w:pPr>
              <w:jc w:val="right"/>
              <w:ind w:right="237"/>
              <w:spacing w:after="0"/>
              <w:rPr>
                <w:sz w:val="20"/>
                <w:szCs w:val="20"/>
                <w:color w:val="auto"/>
              </w:rPr>
            </w:pPr>
            <w:r>
              <w:rPr>
                <w:rFonts w:ascii="Arial" w:cs="Arial" w:eastAsia="Arial" w:hAnsi="Arial"/>
                <w:sz w:val="13"/>
                <w:szCs w:val="13"/>
                <w:b w:val="1"/>
                <w:bCs w:val="1"/>
                <w:color w:val="auto"/>
              </w:rPr>
              <w:t>Coupon</w:t>
            </w: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Companies—126.4% </w:t>
            </w:r>
            <w:r>
              <w:rPr>
                <w:rFonts w:ascii="Arial" w:cs="Arial" w:eastAsia="Arial" w:hAnsi="Arial"/>
                <w:sz w:val="10"/>
                <w:szCs w:val="10"/>
                <w:b w:val="1"/>
                <w:bCs w:val="1"/>
                <w:color w:val="auto"/>
              </w:rPr>
              <w:t>(1), (2)</w:t>
            </w:r>
          </w:p>
        </w:tc>
        <w:tc>
          <w:tcPr>
            <w:tcW w:w="9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Debt—38.7%</w:t>
            </w:r>
          </w:p>
        </w:tc>
        <w:tc>
          <w:tcPr>
            <w:tcW w:w="10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12/21/2020</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9.25%</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L+825</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23,333,361</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23,071,460</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22,210,559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06/03/2021</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L+575</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9,150,000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8,989,610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9,085,577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06/03/2021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13.50%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L+1,225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9,225,000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9,058,699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9,160,048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10/21/2020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4,372,074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4,323,938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4,284,632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06/30/2020</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24,985,195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24,786,989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24,985,195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02/19/2021</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14,522,529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14,273,869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14,244,486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01/15/2021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38,391,045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37,888,445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38,391,045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12/16/2019</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8"/>
              </w:rPr>
              <w:t>Mining, Steel, Iron and Non-Precious Metals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11.50%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14,250,000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14,156,176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13,359,375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06/18/2019</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8.50%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15,948,113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15,875,684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15,970,121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04/21/2017</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L+750</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18,306,549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18,075,370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18,215,016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12/28/2020</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11.27%</w:t>
            </w:r>
          </w:p>
        </w:tc>
        <w:tc>
          <w:tcPr>
            <w:tcW w:w="1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28,859,421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28,349,720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28,859,421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02/12/2020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10.88%</w:t>
            </w: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22,512,751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35,990,065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28,703,752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Med Acquisition,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08/13/2021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8,651,563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8,651,563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8,651,563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Pr>
          <w:p>
            <w:pPr>
              <w:spacing w:after="0" w:line="121" w:lineRule="exact"/>
              <w:rPr>
                <w:sz w:val="20"/>
                <w:szCs w:val="20"/>
                <w:color w:val="auto"/>
              </w:rPr>
            </w:pPr>
            <w:r>
              <w:rPr>
                <w:rFonts w:ascii="Arial" w:cs="Arial" w:eastAsia="Arial" w:hAnsi="Arial"/>
                <w:sz w:val="13"/>
                <w:szCs w:val="13"/>
                <w:color w:val="auto"/>
              </w:rPr>
              <w:t>U.S. Well Services, LLC</w:t>
            </w:r>
          </w:p>
        </w:tc>
        <w:tc>
          <w:tcPr>
            <w:tcW w:w="1040" w:type="dxa"/>
            <w:vAlign w:val="bottom"/>
          </w:tcPr>
          <w:p>
            <w:pPr>
              <w:jc w:val="center"/>
              <w:ind w:left="77"/>
              <w:spacing w:after="0" w:line="121" w:lineRule="exact"/>
              <w:rPr>
                <w:sz w:val="20"/>
                <w:szCs w:val="20"/>
                <w:color w:val="auto"/>
              </w:rPr>
            </w:pPr>
            <w:r>
              <w:rPr>
                <w:rFonts w:ascii="Arial" w:cs="Arial" w:eastAsia="Arial" w:hAnsi="Arial"/>
                <w:sz w:val="13"/>
                <w:szCs w:val="13"/>
                <w:color w:val="auto"/>
                <w:w w:val="89"/>
              </w:rPr>
              <w:t>05/02/2019</w:t>
            </w:r>
          </w:p>
        </w:tc>
        <w:tc>
          <w:tcPr>
            <w:tcW w:w="296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14.02%</w:t>
            </w:r>
          </w:p>
        </w:tc>
        <w:tc>
          <w:tcPr>
            <w:tcW w:w="11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82"/>
              </w:rPr>
              <w:t>14,988,321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5"/>
              </w:rPr>
              <w:t>14,796,715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w w:val="95"/>
              </w:rPr>
              <w:t>12,912,527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(PIK 14.02%)</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0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258,288,303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249,033,317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Debt—61.0%</w:t>
            </w: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040" w:type="dxa"/>
            <w:vAlign w:val="bottom"/>
            <w:shd w:val="clear" w:color="auto" w:fill="CCEEFF"/>
          </w:tcPr>
          <w:p>
            <w:pPr>
              <w:jc w:val="center"/>
              <w:ind w:left="77"/>
              <w:spacing w:after="0" w:line="121" w:lineRule="exact"/>
              <w:rPr>
                <w:sz w:val="20"/>
                <w:szCs w:val="20"/>
                <w:color w:val="auto"/>
              </w:rPr>
            </w:pPr>
            <w:r>
              <w:rPr>
                <w:rFonts w:ascii="Arial" w:cs="Arial" w:eastAsia="Arial" w:hAnsi="Arial"/>
                <w:sz w:val="13"/>
                <w:szCs w:val="13"/>
                <w:color w:val="auto"/>
                <w:w w:val="89"/>
              </w:rPr>
              <w:t>09/01/2017</w:t>
            </w:r>
          </w:p>
        </w:tc>
        <w:tc>
          <w:tcPr>
            <w:tcW w:w="29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 Precious Metals and</w:t>
            </w:r>
          </w:p>
        </w:tc>
        <w:tc>
          <w:tcPr>
            <w:tcW w:w="9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82"/>
              </w:rPr>
              <w:t>25,400,000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5"/>
              </w:rPr>
              <w:t>25,400,000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5"/>
              </w:rPr>
              <w:t>17,780,000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Minerals</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03/04/2022</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13.75%</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28,500,000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28,253,554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28,500,000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11/01/2018</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26,979,281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25,422,260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8,633,370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09/30/2020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41,250,000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39,419,316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37,125,000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03/01/2017</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4,887,760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3,739,797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2,932,656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10/29/2019</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L+1,175</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51,775,000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51,362,786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51,775,000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MailSouth,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10/22/2021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11.50%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26,425,000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25,926,258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26,425,000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07/07/2021</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12.25%</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L+1,100</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41,250,000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40,929,816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41,250,000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12/17/2021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L+1,200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75,000,000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75,000,000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76,229,058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10/02/2020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95"/>
              </w:rPr>
              <w:t>Media</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L+775</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18,270,159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18,101,798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18,201,646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07/01/2020</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10.25%</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56,750,000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56,202,295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56,087,727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Prime Security Services Borrower,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07/01/2022</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9.75%</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L+875</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14,798,077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14,613,655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15,029,371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01/30/2023</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10.75%</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12,862,500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12,441,130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12,862,500</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416,812,665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392,831,328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Notes—15.9%</w:t>
            </w:r>
          </w:p>
        </w:tc>
        <w:tc>
          <w:tcPr>
            <w:tcW w:w="10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02/15/2019</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L+1,200</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8,930,000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8,844,669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8,831,201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08/20/2021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32,675,553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32,055,101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32,675,553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040" w:type="dxa"/>
            <w:vAlign w:val="bottom"/>
          </w:tcPr>
          <w:p>
            <w:pPr>
              <w:jc w:val="center"/>
              <w:ind w:left="77"/>
              <w:spacing w:after="0" w:line="121" w:lineRule="exact"/>
              <w:rPr>
                <w:sz w:val="20"/>
                <w:szCs w:val="20"/>
                <w:color w:val="auto"/>
              </w:rPr>
            </w:pPr>
            <w:r>
              <w:rPr>
                <w:rFonts w:ascii="Arial" w:cs="Arial" w:eastAsia="Arial" w:hAnsi="Arial"/>
                <w:sz w:val="13"/>
                <w:szCs w:val="13"/>
                <w:color w:val="auto"/>
                <w:w w:val="89"/>
              </w:rPr>
              <w:t>10/26/2018</w:t>
            </w:r>
          </w:p>
        </w:tc>
        <w:tc>
          <w:tcPr>
            <w:tcW w:w="29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13.00%</w:t>
            </w:r>
          </w:p>
        </w:tc>
        <w:tc>
          <w:tcPr>
            <w:tcW w:w="11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82"/>
              </w:rPr>
              <w:t>11,035,083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5"/>
              </w:rPr>
              <w:t>10,937,329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w w:val="95"/>
              </w:rPr>
              <w:t>10,538,501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(PIK 1.75%)</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4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1040" w:type="dxa"/>
            <w:vAlign w:val="bottom"/>
            <w:shd w:val="clear" w:color="auto" w:fill="CCEEFF"/>
          </w:tcPr>
          <w:p>
            <w:pPr>
              <w:jc w:val="center"/>
              <w:ind w:left="77"/>
              <w:spacing w:after="0" w:line="124" w:lineRule="exact"/>
              <w:rPr>
                <w:sz w:val="20"/>
                <w:szCs w:val="20"/>
                <w:color w:val="auto"/>
              </w:rPr>
            </w:pPr>
            <w:r>
              <w:rPr>
                <w:rFonts w:ascii="Arial" w:cs="Arial" w:eastAsia="Arial" w:hAnsi="Arial"/>
                <w:sz w:val="13"/>
                <w:szCs w:val="13"/>
                <w:color w:val="auto"/>
                <w:w w:val="89"/>
              </w:rPr>
              <w:t>02/19/2018</w:t>
            </w:r>
          </w:p>
        </w:tc>
        <w:tc>
          <w:tcPr>
            <w:tcW w:w="296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shd w:val="clear" w:color="auto" w:fill="CCEEFF"/>
          </w:tcPr>
          <w:p>
            <w:pPr>
              <w:jc w:val="right"/>
              <w:ind w:right="37"/>
              <w:spacing w:after="0" w:line="124" w:lineRule="exact"/>
              <w:rPr>
                <w:sz w:val="20"/>
                <w:szCs w:val="20"/>
                <w:color w:val="auto"/>
              </w:rPr>
            </w:pPr>
            <w:r>
              <w:rPr>
                <w:rFonts w:ascii="Arial" w:cs="Arial" w:eastAsia="Arial" w:hAnsi="Arial"/>
                <w:sz w:val="13"/>
                <w:szCs w:val="13"/>
                <w:color w:val="auto"/>
              </w:rPr>
              <w:t>14.50%</w:t>
            </w:r>
          </w:p>
        </w:tc>
        <w:tc>
          <w:tcPr>
            <w:tcW w:w="1100" w:type="dxa"/>
            <w:vAlign w:val="bottom"/>
            <w:gridSpan w:val="2"/>
            <w:shd w:val="clear" w:color="auto" w:fill="CCEEFF"/>
          </w:tcPr>
          <w:p>
            <w:pPr>
              <w:jc w:val="right"/>
              <w:ind w:right="260"/>
              <w:spacing w:after="0" w:line="124" w:lineRule="exact"/>
              <w:rPr>
                <w:sz w:val="20"/>
                <w:szCs w:val="20"/>
                <w:color w:val="auto"/>
              </w:rPr>
            </w:pPr>
            <w:r>
              <w:rPr>
                <w:rFonts w:ascii="Arial" w:cs="Arial" w:eastAsia="Arial" w:hAnsi="Arial"/>
                <w:sz w:val="13"/>
                <w:szCs w:val="13"/>
                <w:color w:val="auto"/>
              </w:rPr>
              <w:t>L+1,000</w:t>
            </w:r>
          </w:p>
        </w:tc>
        <w:tc>
          <w:tcPr>
            <w:tcW w:w="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w w:val="93"/>
              </w:rPr>
              <w:t>8,375,600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3"/>
                <w:szCs w:val="13"/>
                <w:color w:val="auto"/>
                <w:w w:val="95"/>
              </w:rPr>
              <w:t>12,306,414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3"/>
                <w:szCs w:val="13"/>
                <w:color w:val="auto"/>
                <w:w w:val="95"/>
              </w:rPr>
              <w:t>10,855,976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6.00%)</w:t>
            </w: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04/15/2020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26,500,000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26,617,239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26,309,750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05/13/2021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13,300,000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13,090,281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13,300,000</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Subordinated Debt/Corporate Notes</w:t>
            </w: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103,851,033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102,510,981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9"/>
              </w:rPr>
              <w:t xml:space="preserve">Preferred Equity/Partnership Interests—0.8% </w:t>
            </w:r>
            <w:r>
              <w:rPr>
                <w:rFonts w:ascii="Arial" w:cs="Arial" w:eastAsia="Arial" w:hAnsi="Arial"/>
                <w:sz w:val="10"/>
                <w:szCs w:val="10"/>
                <w:b w:val="1"/>
                <w:bCs w:val="1"/>
                <w:color w:val="auto"/>
                <w:w w:val="99"/>
              </w:rPr>
              <w:t>(6)</w:t>
            </w:r>
          </w:p>
        </w:tc>
        <w:tc>
          <w:tcPr>
            <w:tcW w:w="10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10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128,457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0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949,050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1,081,633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0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2,375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2,088,121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2,396,892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0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3,591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32,476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0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1,197</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1,197,000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1,404,944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0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4,734,171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5,044,402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Maturity /</w:t>
            </w:r>
          </w:p>
        </w:tc>
        <w:tc>
          <w:tcPr>
            <w:tcW w:w="2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1020" w:type="dxa"/>
            <w:vAlign w:val="bottom"/>
          </w:tcPr>
          <w:p>
            <w:pPr>
              <w:jc w:val="right"/>
              <w:ind w:right="237"/>
              <w:spacing w:after="0" w:line="126"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Spread Above</w:t>
            </w:r>
          </w:p>
        </w:tc>
        <w:tc>
          <w:tcPr>
            <w:tcW w:w="760" w:type="dxa"/>
            <w:vAlign w:val="bottom"/>
          </w:tcPr>
          <w:p>
            <w:pPr>
              <w:jc w:val="right"/>
              <w:ind w:right="217"/>
              <w:spacing w:after="0" w:line="126"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50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900" w:type="dxa"/>
            <w:vAlign w:val="bottom"/>
          </w:tcPr>
          <w:p>
            <w:pPr>
              <w:ind w:left="60"/>
              <w:spacing w:after="0"/>
              <w:rPr>
                <w:sz w:val="20"/>
                <w:szCs w:val="20"/>
                <w:color w:val="auto"/>
              </w:rPr>
            </w:pPr>
            <w:r>
              <w:rPr>
                <w:rFonts w:ascii="Arial" w:cs="Arial" w:eastAsia="Arial" w:hAnsi="Arial"/>
                <w:sz w:val="13"/>
                <w:szCs w:val="13"/>
                <w:b w:val="1"/>
                <w:bCs w:val="1"/>
                <w:color w:val="auto"/>
              </w:rPr>
              <w:t>Expiration</w:t>
            </w: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6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74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 xml:space="preserve">Common Equity/Partnership Interests/Warrants—10.0% </w:t>
            </w:r>
            <w:r>
              <w:rPr>
                <w:rFonts w:ascii="Arial" w:cs="Arial" w:eastAsia="Arial" w:hAnsi="Arial"/>
                <w:sz w:val="10"/>
                <w:szCs w:val="10"/>
                <w:b w:val="1"/>
                <w:bCs w:val="1"/>
                <w:color w:val="auto"/>
                <w:w w:val="96"/>
              </w:rPr>
              <w:t>(6)</w:t>
            </w:r>
          </w:p>
        </w:tc>
        <w:tc>
          <w:tcPr>
            <w:tcW w:w="900" w:type="dxa"/>
            <w:vAlign w:val="bottom"/>
            <w:tcBorders>
              <w:top w:val="single" w:sz="8" w:color="auto"/>
            </w:tcBorders>
            <w:shd w:val="clear" w:color="auto" w:fill="CCEEFF"/>
          </w:tcPr>
          <w:p>
            <w:pPr>
              <w:spacing w:after="0"/>
              <w:rPr>
                <w:sz w:val="11"/>
                <w:szCs w:val="11"/>
                <w:color w:val="auto"/>
              </w:rPr>
            </w:pPr>
          </w:p>
        </w:tc>
        <w:tc>
          <w:tcPr>
            <w:tcW w:w="26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9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9"/>
              </w:rPr>
              <w:t>03/23/2021</w:t>
            </w:r>
          </w:p>
        </w:tc>
        <w:tc>
          <w:tcPr>
            <w:tcW w:w="266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753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9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9"/>
              </w:rPr>
              <w:t>05/05/2026</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933</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1,192,535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Broadcasting and Entertainment</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1,333,330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900" w:type="dxa"/>
            <w:vAlign w:val="bottom"/>
          </w:tcPr>
          <w:p>
            <w:pPr>
              <w:jc w:val="center"/>
              <w:ind w:right="157"/>
              <w:spacing w:after="0" w:line="121"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21" w:lineRule="exact"/>
              <w:rPr>
                <w:sz w:val="20"/>
                <w:szCs w:val="20"/>
                <w:color w:val="auto"/>
              </w:rPr>
            </w:pPr>
            <w:r>
              <w:rPr>
                <w:rFonts w:ascii="Arial" w:cs="Arial" w:eastAsia="Arial" w:hAnsi="Arial"/>
                <w:sz w:val="13"/>
                <w:szCs w:val="13"/>
                <w:color w:val="auto"/>
                <w:w w:val="88"/>
              </w:rPr>
              <w:t>Cargo Transport</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137,923</w:t>
            </w:r>
          </w:p>
        </w:tc>
        <w:tc>
          <w:tcPr>
            <w:tcW w:w="80" w:type="dxa"/>
            <w:vAlign w:val="bottom"/>
          </w:tcPr>
          <w:p>
            <w:pPr>
              <w:spacing w:after="0"/>
              <w:rPr>
                <w:sz w:val="10"/>
                <w:szCs w:val="10"/>
                <w:color w:val="auto"/>
              </w:rPr>
            </w:pP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2,111,588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20"/>
              <w:spacing w:after="0"/>
              <w:rPr>
                <w:sz w:val="20"/>
                <w:szCs w:val="20"/>
                <w:color w:val="auto"/>
              </w:rPr>
            </w:pPr>
            <w:r>
              <w:rPr>
                <w:rFonts w:ascii="Arial" w:cs="Arial" w:eastAsia="Arial" w:hAnsi="Arial"/>
                <w:sz w:val="13"/>
                <w:szCs w:val="13"/>
                <w:color w:val="auto"/>
              </w:rPr>
              <w:t>(Intermediate Transportation 100, LLC)</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23,600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5,194,738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1,745,639</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3,637,907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2,671,422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938,399</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2,513,193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25,141,220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4,277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217,635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354,555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388,378</w:t>
            </w:r>
          </w:p>
        </w:tc>
        <w:tc>
          <w:tcPr>
            <w:tcW w:w="8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3,512,420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Education and Childcare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252,014</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2,265,639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1,849,783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493,280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526,382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900" w:type="dxa"/>
            <w:vAlign w:val="bottom"/>
          </w:tcPr>
          <w:p>
            <w:pPr>
              <w:jc w:val="center"/>
              <w:ind w:right="157"/>
              <w:spacing w:after="0" w:line="121"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5,959,292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20"/>
              <w:spacing w:after="0"/>
              <w:rPr>
                <w:sz w:val="20"/>
                <w:szCs w:val="20"/>
                <w:color w:val="auto"/>
              </w:rPr>
            </w:pPr>
            <w:r>
              <w:rPr>
                <w:rFonts w:ascii="Arial" w:cs="Arial" w:eastAsia="Arial" w:hAnsi="Arial"/>
                <w:sz w:val="13"/>
                <w:szCs w:val="13"/>
                <w:color w:val="auto"/>
              </w:rPr>
              <w:t>(Pre-Paid Legal Services, Inc.)</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100,885</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238,038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908,974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(10)</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1,350,000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901,263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1,223,409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(10)</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142,300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2,800,010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1,330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133,000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1,022,594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211,797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8,051,139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21,503,373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64,047,463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7"/>
              </w:rPr>
              <w:t>Total Investments in Non-Controlled, Non-Affiliated Portfolio Companies</w:t>
            </w: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2"/>
              </w:rPr>
              <w:t>805,189,545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813,467,491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w w:val="93"/>
              </w:rPr>
              <w:t xml:space="preserve">Investments in Non-Controlled, Affiliated Portfolio Companies—33.5% </w:t>
            </w:r>
            <w:r>
              <w:rPr>
                <w:rFonts w:ascii="Arial" w:cs="Arial" w:eastAsia="Arial" w:hAnsi="Arial"/>
                <w:sz w:val="10"/>
                <w:szCs w:val="10"/>
                <w:b w:val="1"/>
                <w:bCs w:val="1"/>
                <w:color w:val="auto"/>
                <w:w w:val="93"/>
              </w:rPr>
              <w:t>(1), (2)</w:t>
            </w: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Debt—8.3%</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6"/>
              </w:rPr>
              <w:t>11/25/2020</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10.75%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L+975</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23,522,250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23,114,058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23,522,250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86"/>
              </w:rPr>
              <w:t>11/25/2020</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1,942,623</w:t>
            </w:r>
          </w:p>
        </w:tc>
        <w:tc>
          <w:tcPr>
            <w:tcW w:w="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1" w:lineRule="exact"/>
              <w:rPr>
                <w:sz w:val="20"/>
                <w:szCs w:val="20"/>
                <w:color w:val="auto"/>
              </w:rPr>
            </w:pPr>
            <w:r>
              <w:rPr>
                <w:rFonts w:ascii="Arial" w:cs="Arial" w:eastAsia="Arial" w:hAnsi="Arial"/>
                <w:sz w:val="13"/>
                <w:szCs w:val="13"/>
                <w:color w:val="auto"/>
              </w:rPr>
              <w:t>PAS Technologies, Inc.</w:t>
            </w:r>
          </w:p>
        </w:tc>
        <w:tc>
          <w:tcPr>
            <w:tcW w:w="9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9"/>
              </w:rPr>
              <w:t>03/21/2017</w:t>
            </w:r>
          </w:p>
        </w:tc>
        <w:tc>
          <w:tcPr>
            <w:tcW w:w="2660" w:type="dxa"/>
            <w:vAlign w:val="bottom"/>
          </w:tcPr>
          <w:p>
            <w:pPr>
              <w:jc w:val="center"/>
              <w:spacing w:after="0" w:line="121" w:lineRule="exact"/>
              <w:rPr>
                <w:sz w:val="20"/>
                <w:szCs w:val="20"/>
                <w:color w:val="auto"/>
              </w:rPr>
            </w:pPr>
            <w:r>
              <w:rPr>
                <w:rFonts w:ascii="Arial" w:cs="Arial" w:eastAsia="Arial" w:hAnsi="Arial"/>
                <w:sz w:val="13"/>
                <w:szCs w:val="13"/>
                <w:color w:val="auto"/>
                <w:w w:val="86"/>
              </w:rPr>
              <w:t>Aerospace and Defense</w:t>
            </w:r>
          </w:p>
        </w:tc>
        <w:tc>
          <w:tcPr>
            <w:tcW w:w="10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6.01%</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L+500</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4,434,295</w:t>
            </w: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3,357,949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3,946,523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(PIK 1.00%)</w:t>
            </w: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TRAK Acquisition Corp.</w:t>
            </w:r>
          </w:p>
        </w:tc>
        <w:tc>
          <w:tcPr>
            <w:tcW w:w="900" w:type="dxa"/>
            <w:vAlign w:val="bottom"/>
            <w:shd w:val="clear" w:color="auto" w:fill="CCEEFF"/>
          </w:tcPr>
          <w:p>
            <w:pPr>
              <w:jc w:val="center"/>
              <w:ind w:right="137"/>
              <w:spacing w:after="0" w:line="138" w:lineRule="exact"/>
              <w:rPr>
                <w:sz w:val="20"/>
                <w:szCs w:val="20"/>
                <w:color w:val="auto"/>
              </w:rPr>
            </w:pPr>
            <w:r>
              <w:rPr>
                <w:rFonts w:ascii="Arial" w:cs="Arial" w:eastAsia="Arial" w:hAnsi="Arial"/>
                <w:sz w:val="13"/>
                <w:szCs w:val="13"/>
                <w:color w:val="auto"/>
                <w:w w:val="89"/>
              </w:rPr>
              <w:t>04/30/2018</w:t>
            </w:r>
          </w:p>
        </w:tc>
        <w:tc>
          <w:tcPr>
            <w:tcW w:w="2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6"/>
              </w:rPr>
              <w:t>Business Services</w:t>
            </w:r>
          </w:p>
        </w:tc>
        <w:tc>
          <w:tcPr>
            <w:tcW w:w="1020" w:type="dxa"/>
            <w:vAlign w:val="bottom"/>
            <w:shd w:val="clear" w:color="auto" w:fill="CCEEFF"/>
          </w:tcPr>
          <w:p>
            <w:pPr>
              <w:jc w:val="right"/>
              <w:ind w:right="37"/>
              <w:spacing w:after="0" w:line="138" w:lineRule="exact"/>
              <w:rPr>
                <w:sz w:val="20"/>
                <w:szCs w:val="20"/>
                <w:color w:val="auto"/>
              </w:rPr>
            </w:pPr>
            <w:r>
              <w:rPr>
                <w:rFonts w:ascii="Arial" w:cs="Arial" w:eastAsia="Arial" w:hAnsi="Arial"/>
                <w:sz w:val="13"/>
                <w:szCs w:val="13"/>
                <w:color w:val="auto"/>
              </w:rPr>
              <w:t>12.00%</w:t>
            </w:r>
          </w:p>
        </w:tc>
        <w:tc>
          <w:tcPr>
            <w:tcW w:w="900" w:type="dxa"/>
            <w:vAlign w:val="bottom"/>
            <w:shd w:val="clear" w:color="auto" w:fill="CCEEFF"/>
          </w:tcPr>
          <w:p>
            <w:pPr>
              <w:jc w:val="right"/>
              <w:ind w:right="17"/>
              <w:spacing w:after="0" w:line="138" w:lineRule="exact"/>
              <w:rPr>
                <w:sz w:val="20"/>
                <w:szCs w:val="20"/>
                <w:color w:val="auto"/>
              </w:rPr>
            </w:pPr>
            <w:r>
              <w:rPr>
                <w:rFonts w:ascii="Arial" w:cs="Arial" w:eastAsia="Arial" w:hAnsi="Arial"/>
                <w:sz w:val="13"/>
                <w:szCs w:val="13"/>
                <w:color w:val="auto"/>
              </w:rPr>
              <w:t>L+1,050</w:t>
            </w:r>
          </w:p>
        </w:tc>
        <w:tc>
          <w:tcPr>
            <w:tcW w:w="760" w:type="dxa"/>
            <w:vAlign w:val="bottom"/>
            <w:shd w:val="clear" w:color="auto" w:fill="CCEEFF"/>
          </w:tcPr>
          <w:p>
            <w:pPr>
              <w:jc w:val="right"/>
              <w:ind w:right="57"/>
              <w:spacing w:after="0" w:line="138" w:lineRule="exact"/>
              <w:rPr>
                <w:sz w:val="20"/>
                <w:szCs w:val="20"/>
                <w:color w:val="auto"/>
              </w:rPr>
            </w:pPr>
            <w:r>
              <w:rPr>
                <w:rFonts w:ascii="Arial" w:cs="Arial" w:eastAsia="Arial" w:hAnsi="Arial"/>
                <w:sz w:val="13"/>
                <w:szCs w:val="13"/>
                <w:color w:val="auto"/>
                <w:w w:val="95"/>
              </w:rPr>
              <w:t>22,764,911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2"/>
              </w:rPr>
              <w:t>22,613,930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w w:val="95"/>
              </w:rPr>
              <w:t>22,764,911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6"/>
              </w:rPr>
              <w:t>11/22/2016</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L+1,050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3,000,000</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52,085,937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53,233,684</w:t>
            </w: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Debt—3.9%</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90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89"/>
              </w:rPr>
              <w:t>10/31/2018</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18,000,000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16,960,967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15,825,060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9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9"/>
              </w:rPr>
              <w:t>12/26/2017</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9,409,740</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9,307,548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9,409,740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26,268,515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25,234,800</w:t>
            </w: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Subordinated Debt/Corporate Notes—11.7%</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9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89"/>
              </w:rPr>
              <w:t>07/30/2018</w:t>
            </w:r>
          </w:p>
        </w:tc>
        <w:tc>
          <w:tcPr>
            <w:tcW w:w="2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9,858,025</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8,946,674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8,995,448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4.00%)</w:t>
            </w: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6"/>
              </w:rPr>
              <w:t>11/05/2019</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14,735,238</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12,340,534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2,799,695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ETX Energy, LLC (f/k/a New Gulf Resources, LLC), Convertible</w:t>
            </w:r>
          </w:p>
        </w:tc>
        <w:tc>
          <w:tcPr>
            <w:tcW w:w="9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89"/>
              </w:rPr>
              <w:t>05/03/2021</w:t>
            </w:r>
          </w:p>
        </w:tc>
        <w:tc>
          <w:tcPr>
            <w:tcW w:w="2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12.50%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5"/>
              </w:rPr>
              <w:t>25,297,664</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2"/>
              </w:rPr>
              <w:t>36,473,119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5"/>
              </w:rPr>
              <w:t>35,416,730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Note </w:t>
            </w:r>
            <w:r>
              <w:rPr>
                <w:rFonts w:ascii="Arial" w:cs="Arial" w:eastAsia="Arial" w:hAnsi="Arial"/>
                <w:sz w:val="10"/>
                <w:szCs w:val="10"/>
                <w:color w:val="auto"/>
              </w:rPr>
              <w:t>(5)</w:t>
            </w:r>
          </w:p>
        </w:tc>
        <w:tc>
          <w:tcPr>
            <w:tcW w:w="9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12.50%)</w:t>
            </w: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9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9"/>
              </w:rPr>
              <w:t>10/02/2017</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28,000,000</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2"/>
              </w:rPr>
              <w:t>27,841,741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27,908,663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85,602,068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75,120,536</w:t>
            </w: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20,059,340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4,287,107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8"/>
              </w:rPr>
              <w:t xml:space="preserve">Common Equity/Partnership Interests/Warrants—8.9% </w:t>
            </w:r>
            <w:r>
              <w:rPr>
                <w:rFonts w:ascii="Arial" w:cs="Arial" w:eastAsia="Arial" w:hAnsi="Arial"/>
                <w:sz w:val="10"/>
                <w:szCs w:val="10"/>
                <w:b w:val="1"/>
                <w:bCs w:val="1"/>
                <w:color w:val="auto"/>
                <w:w w:val="98"/>
              </w:rPr>
              <w:t>(6)</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859,496</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30,503,493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32,115,042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37,181</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10,265,972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173,844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11,250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1,125,000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2,330,813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11,250</w:t>
            </w:r>
          </w:p>
        </w:tc>
        <w:tc>
          <w:tcPr>
            <w:tcW w:w="8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104,719</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21,492,822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6"/>
              </w:rPr>
              <w:t>11/05/2022</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15,486</w:t>
            </w:r>
          </w:p>
        </w:tc>
        <w:tc>
          <w:tcPr>
            <w:tcW w:w="8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143,668</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11,960,702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13,112,260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ETX Energy, LLC (f/k/a New Gulf Resources, LLC) </w:t>
            </w:r>
            <w:r>
              <w:rPr>
                <w:rFonts w:ascii="Arial" w:cs="Arial" w:eastAsia="Arial" w:hAnsi="Arial"/>
                <w:sz w:val="10"/>
                <w:szCs w:val="10"/>
                <w:color w:val="auto"/>
              </w:rPr>
              <w:t>(10)</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113,610</w:t>
            </w:r>
          </w:p>
        </w:tc>
        <w:tc>
          <w:tcPr>
            <w:tcW w:w="8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ETX Energy Management Company, LLC (f/k/a NGR Management</w:t>
            </w:r>
          </w:p>
        </w:tc>
        <w:tc>
          <w:tcPr>
            <w:tcW w:w="900" w:type="dxa"/>
            <w:vAlign w:val="bottom"/>
            <w:shd w:val="clear" w:color="auto" w:fill="CCEEFF"/>
          </w:tcPr>
          <w:p>
            <w:pPr>
              <w:jc w:val="center"/>
              <w:ind w:right="157"/>
              <w:spacing w:after="0" w:line="121"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119,603</w:t>
            </w: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Company LLC) </w:t>
            </w:r>
            <w:r>
              <w:rPr>
                <w:rFonts w:ascii="Arial" w:cs="Arial" w:eastAsia="Arial" w:hAnsi="Arial"/>
                <w:sz w:val="10"/>
                <w:szCs w:val="10"/>
                <w:color w:val="auto"/>
              </w:rPr>
              <w:t>(10)</w:t>
            </w:r>
          </w:p>
        </w:tc>
        <w:tc>
          <w:tcPr>
            <w:tcW w:w="9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16,800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2,721,600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6,989,362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202,620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491,755</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188,837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2,595,099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78,461,046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57,316,420</w:t>
            </w:r>
          </w:p>
        </w:tc>
        <w:tc>
          <w:tcPr>
            <w:tcW w:w="0" w:type="dxa"/>
            <w:vAlign w:val="bottom"/>
          </w:tcPr>
          <w:p>
            <w:pPr>
              <w:spacing w:after="0"/>
              <w:rPr>
                <w:sz w:val="1"/>
                <w:szCs w:val="1"/>
                <w:color w:val="auto"/>
              </w:rPr>
            </w:pPr>
          </w:p>
        </w:tc>
      </w:tr>
      <w:tr>
        <w:trPr>
          <w:trHeight w:val="142"/>
        </w:trPr>
        <w:tc>
          <w:tcPr>
            <w:tcW w:w="44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262,476,906</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215,192,547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Maturity /</w:t>
            </w: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6" w:lineRule="exact"/>
              <w:rPr>
                <w:sz w:val="20"/>
                <w:szCs w:val="20"/>
                <w:color w:val="auto"/>
              </w:rPr>
            </w:pPr>
            <w:r>
              <w:rPr>
                <w:rFonts w:ascii="Arial" w:cs="Arial" w:eastAsia="Arial" w:hAnsi="Arial"/>
                <w:sz w:val="13"/>
                <w:szCs w:val="13"/>
                <w:b w:val="1"/>
                <w:bCs w:val="1"/>
                <w:color w:val="auto"/>
              </w:rPr>
              <w:t>Current</w:t>
            </w:r>
          </w:p>
        </w:tc>
        <w:tc>
          <w:tcPr>
            <w:tcW w:w="90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4"/>
              </w:rPr>
              <w:t>Spread Above</w:t>
            </w:r>
          </w:p>
        </w:tc>
        <w:tc>
          <w:tcPr>
            <w:tcW w:w="760" w:type="dxa"/>
            <w:vAlign w:val="bottom"/>
            <w:gridSpan w:val="2"/>
          </w:tcPr>
          <w:p>
            <w:pPr>
              <w:jc w:val="right"/>
              <w:ind w:right="320"/>
              <w:spacing w:after="0" w:line="126"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1280" w:type="dxa"/>
            <w:vAlign w:val="bottom"/>
          </w:tcPr>
          <w:p>
            <w:pPr>
              <w:ind w:left="60"/>
              <w:spacing w:after="0"/>
              <w:rPr>
                <w:sz w:val="20"/>
                <w:szCs w:val="20"/>
                <w:color w:val="auto"/>
              </w:rPr>
            </w:pPr>
            <w:r>
              <w:rPr>
                <w:rFonts w:ascii="Arial" w:cs="Arial" w:eastAsia="Arial" w:hAnsi="Arial"/>
                <w:sz w:val="13"/>
                <w:szCs w:val="13"/>
                <w:b w:val="1"/>
                <w:bCs w:val="1"/>
                <w:color w:val="auto"/>
              </w:rPr>
              <w:t>Expiration</w:t>
            </w:r>
          </w:p>
        </w:tc>
        <w:tc>
          <w:tcPr>
            <w:tcW w:w="262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7"/>
              </w:rPr>
              <w:t>Coupon</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Controlled, Affiliated Portfolio Companies—19.4% </w:t>
            </w:r>
            <w:r>
              <w:rPr>
                <w:rFonts w:ascii="Arial" w:cs="Arial" w:eastAsia="Arial" w:hAnsi="Arial"/>
                <w:sz w:val="10"/>
                <w:szCs w:val="10"/>
                <w:b w:val="1"/>
                <w:bCs w:val="1"/>
                <w:color w:val="auto"/>
              </w:rPr>
              <w:t>(1), (2)</w:t>
            </w:r>
          </w:p>
        </w:tc>
        <w:tc>
          <w:tcPr>
            <w:tcW w:w="2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Debt—14.7%</w:t>
            </w: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w:t>
            </w:r>
          </w:p>
        </w:tc>
        <w:tc>
          <w:tcPr>
            <w:tcW w:w="1280" w:type="dxa"/>
            <w:vAlign w:val="bottom"/>
            <w:shd w:val="clear" w:color="auto" w:fill="CCEEFF"/>
          </w:tcPr>
          <w:p>
            <w:pPr>
              <w:jc w:val="center"/>
              <w:ind w:right="517"/>
              <w:spacing w:after="0" w:line="121" w:lineRule="exact"/>
              <w:rPr>
                <w:sz w:val="20"/>
                <w:szCs w:val="20"/>
                <w:color w:val="auto"/>
              </w:rPr>
            </w:pPr>
            <w:r>
              <w:rPr>
                <w:rFonts w:ascii="Arial" w:cs="Arial" w:eastAsia="Arial" w:hAnsi="Arial"/>
                <w:sz w:val="13"/>
                <w:szCs w:val="13"/>
                <w:color w:val="auto"/>
                <w:w w:val="89"/>
              </w:rPr>
              <w:t>07/18/2019</w:t>
            </w:r>
          </w:p>
        </w:tc>
        <w:tc>
          <w:tcPr>
            <w:tcW w:w="2620" w:type="dxa"/>
            <w:vAlign w:val="bottom"/>
            <w:gridSpan w:val="2"/>
            <w:shd w:val="clear" w:color="auto" w:fill="CCEEFF"/>
          </w:tcPr>
          <w:p>
            <w:pPr>
              <w:jc w:val="center"/>
              <w:ind w:right="640"/>
              <w:spacing w:after="0" w:line="121" w:lineRule="exact"/>
              <w:rPr>
                <w:sz w:val="20"/>
                <w:szCs w:val="20"/>
                <w:color w:val="auto"/>
              </w:rPr>
            </w:pPr>
            <w:r>
              <w:rPr>
                <w:rFonts w:ascii="Arial" w:cs="Arial" w:eastAsia="Arial" w:hAnsi="Arial"/>
                <w:sz w:val="13"/>
                <w:szCs w:val="13"/>
                <w:color w:val="auto"/>
                <w:w w:val="91"/>
              </w:rPr>
              <w:t>Energy and Utilities</w:t>
            </w:r>
          </w:p>
        </w:tc>
        <w:tc>
          <w:tcPr>
            <w:tcW w:w="9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10.00%</w:t>
            </w: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L+800</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w w:val="89"/>
              </w:rPr>
              <w:t>84,606,067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83,653,689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68,319,399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3"/>
              </w:rPr>
              <w:t>(PIK 10.00%)</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2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1280" w:type="dxa"/>
            <w:vAlign w:val="bottom"/>
          </w:tcPr>
          <w:p>
            <w:pPr>
              <w:jc w:val="center"/>
              <w:ind w:right="517"/>
              <w:spacing w:after="0" w:line="121" w:lineRule="exact"/>
              <w:rPr>
                <w:sz w:val="20"/>
                <w:szCs w:val="20"/>
                <w:color w:val="auto"/>
              </w:rPr>
            </w:pPr>
            <w:r>
              <w:rPr>
                <w:rFonts w:ascii="Arial" w:cs="Arial" w:eastAsia="Arial" w:hAnsi="Arial"/>
                <w:sz w:val="13"/>
                <w:szCs w:val="13"/>
                <w:color w:val="auto"/>
                <w:w w:val="89"/>
              </w:rPr>
              <w:t>12/31/2018</w:t>
            </w:r>
          </w:p>
        </w:tc>
        <w:tc>
          <w:tcPr>
            <w:tcW w:w="2620" w:type="dxa"/>
            <w:vAlign w:val="bottom"/>
            <w:gridSpan w:val="2"/>
          </w:tcPr>
          <w:p>
            <w:pPr>
              <w:jc w:val="center"/>
              <w:ind w:right="640"/>
              <w:spacing w:after="0" w:line="121" w:lineRule="exact"/>
              <w:rPr>
                <w:sz w:val="20"/>
                <w:szCs w:val="20"/>
                <w:color w:val="auto"/>
              </w:rPr>
            </w:pPr>
            <w:r>
              <w:rPr>
                <w:rFonts w:ascii="Arial" w:cs="Arial" w:eastAsia="Arial" w:hAnsi="Arial"/>
                <w:sz w:val="13"/>
                <w:szCs w:val="13"/>
                <w:color w:val="auto"/>
                <w:w w:val="95"/>
              </w:rPr>
              <w:t>Media</w:t>
            </w:r>
          </w:p>
        </w:tc>
        <w:tc>
          <w:tcPr>
            <w:tcW w:w="90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14.00%</w:t>
            </w: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L+1,300</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w w:val="89"/>
              </w:rPr>
              <w:t>26,516,321</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24,845,647</w:t>
            </w:r>
          </w:p>
        </w:tc>
        <w:tc>
          <w:tcPr>
            <w:tcW w:w="60" w:type="dxa"/>
            <w:vAlign w:val="bottom"/>
          </w:tcPr>
          <w:p>
            <w:pPr>
              <w:spacing w:after="0"/>
              <w:rPr>
                <w:sz w:val="10"/>
                <w:szCs w:val="10"/>
                <w:color w:val="auto"/>
              </w:rPr>
            </w:pPr>
          </w:p>
        </w:tc>
        <w:tc>
          <w:tcPr>
            <w:tcW w:w="8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26,516,321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w w:val="93"/>
              </w:rPr>
              <w:t>(PIK 14.00%)</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9"/>
              </w:rPr>
              <w:t>108,499,336</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94,835,720</w:t>
            </w: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Debt—1.2%</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1280" w:type="dxa"/>
            <w:vAlign w:val="bottom"/>
            <w:shd w:val="clear" w:color="auto" w:fill="CCEEFF"/>
          </w:tcPr>
          <w:p>
            <w:pPr>
              <w:jc w:val="center"/>
              <w:ind w:right="517"/>
              <w:spacing w:after="0" w:line="121" w:lineRule="exact"/>
              <w:rPr>
                <w:sz w:val="20"/>
                <w:szCs w:val="20"/>
                <w:color w:val="auto"/>
              </w:rPr>
            </w:pPr>
            <w:r>
              <w:rPr>
                <w:rFonts w:ascii="Arial" w:cs="Arial" w:eastAsia="Arial" w:hAnsi="Arial"/>
                <w:sz w:val="13"/>
                <w:szCs w:val="13"/>
                <w:color w:val="auto"/>
                <w:w w:val="89"/>
              </w:rPr>
              <w:t>07/01/2019</w:t>
            </w:r>
          </w:p>
        </w:tc>
        <w:tc>
          <w:tcPr>
            <w:tcW w:w="2620" w:type="dxa"/>
            <w:vAlign w:val="bottom"/>
            <w:gridSpan w:val="2"/>
            <w:shd w:val="clear" w:color="auto" w:fill="CCEEFF"/>
          </w:tcPr>
          <w:p>
            <w:pPr>
              <w:jc w:val="center"/>
              <w:ind w:right="640"/>
              <w:spacing w:after="0" w:line="121" w:lineRule="exact"/>
              <w:rPr>
                <w:sz w:val="20"/>
                <w:szCs w:val="20"/>
                <w:color w:val="auto"/>
              </w:rPr>
            </w:pPr>
            <w:r>
              <w:rPr>
                <w:rFonts w:ascii="Arial" w:cs="Arial" w:eastAsia="Arial" w:hAnsi="Arial"/>
                <w:sz w:val="13"/>
                <w:szCs w:val="13"/>
                <w:color w:val="auto"/>
                <w:w w:val="95"/>
              </w:rPr>
              <w:t>Media</w:t>
            </w:r>
          </w:p>
        </w:tc>
        <w:tc>
          <w:tcPr>
            <w:tcW w:w="9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16.00%</w:t>
            </w: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L+1,500</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8,675,815</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8,675,815</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7,346,315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3"/>
              </w:rPr>
              <w:t>(PIK 16.00%)</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Equity—3.1% </w:t>
            </w:r>
            <w:r>
              <w:rPr>
                <w:rFonts w:ascii="Arial" w:cs="Arial" w:eastAsia="Arial" w:hAnsi="Arial"/>
                <w:sz w:val="10"/>
                <w:szCs w:val="10"/>
                <w:b w:val="1"/>
                <w:bCs w:val="1"/>
                <w:color w:val="auto"/>
              </w:rPr>
              <w:t>(6)</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1280" w:type="dxa"/>
            <w:vAlign w:val="bottom"/>
            <w:shd w:val="clear" w:color="auto" w:fill="CCEEFF"/>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shd w:val="clear" w:color="auto" w:fill="CCEEFF"/>
          </w:tcPr>
          <w:p>
            <w:pPr>
              <w:jc w:val="center"/>
              <w:ind w:right="640"/>
              <w:spacing w:after="0" w:line="135" w:lineRule="exact"/>
              <w:rPr>
                <w:sz w:val="20"/>
                <w:szCs w:val="20"/>
                <w:color w:val="auto"/>
              </w:rPr>
            </w:pPr>
            <w:r>
              <w:rPr>
                <w:rFonts w:ascii="Arial" w:cs="Arial" w:eastAsia="Arial" w:hAnsi="Arial"/>
                <w:sz w:val="13"/>
                <w:szCs w:val="13"/>
                <w:color w:val="auto"/>
                <w:w w:val="95"/>
              </w:rPr>
              <w:t>Distribution</w:t>
            </w:r>
          </w:p>
        </w:tc>
        <w:tc>
          <w:tcPr>
            <w:tcW w:w="9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143,183</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14,318,325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1280" w:type="dxa"/>
            <w:vAlign w:val="bottom"/>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tcPr>
          <w:p>
            <w:pPr>
              <w:jc w:val="center"/>
              <w:ind w:right="640"/>
              <w:spacing w:after="0" w:line="135" w:lineRule="exact"/>
              <w:rPr>
                <w:sz w:val="20"/>
                <w:szCs w:val="20"/>
                <w:color w:val="auto"/>
              </w:rPr>
            </w:pPr>
            <w:r>
              <w:rPr>
                <w:rFonts w:ascii="Arial" w:cs="Arial" w:eastAsia="Arial" w:hAnsi="Arial"/>
                <w:sz w:val="13"/>
                <w:szCs w:val="13"/>
                <w:color w:val="auto"/>
                <w:w w:val="95"/>
              </w:rPr>
              <w:t>Media</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15.00%</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103,916</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7,000,000</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21,318,325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Equity—0.4% </w:t>
            </w:r>
            <w:r>
              <w:rPr>
                <w:rFonts w:ascii="Arial" w:cs="Arial" w:eastAsia="Arial" w:hAnsi="Arial"/>
                <w:sz w:val="10"/>
                <w:szCs w:val="10"/>
                <w:b w:val="1"/>
                <w:bCs w:val="1"/>
                <w:color w:val="auto"/>
              </w:rPr>
              <w:t>(6)</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1280" w:type="dxa"/>
            <w:vAlign w:val="bottom"/>
            <w:shd w:val="clear" w:color="auto" w:fill="CCEEFF"/>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shd w:val="clear" w:color="auto" w:fill="CCEEFF"/>
          </w:tcPr>
          <w:p>
            <w:pPr>
              <w:jc w:val="center"/>
              <w:ind w:right="640"/>
              <w:spacing w:after="0" w:line="135" w:lineRule="exact"/>
              <w:rPr>
                <w:sz w:val="20"/>
                <w:szCs w:val="20"/>
                <w:color w:val="auto"/>
              </w:rPr>
            </w:pPr>
            <w:r>
              <w:rPr>
                <w:rFonts w:ascii="Arial" w:cs="Arial" w:eastAsia="Arial" w:hAnsi="Arial"/>
                <w:sz w:val="13"/>
                <w:szCs w:val="13"/>
                <w:color w:val="auto"/>
                <w:w w:val="95"/>
              </w:rPr>
              <w:t>Distribution</w:t>
            </w:r>
          </w:p>
        </w:tc>
        <w:tc>
          <w:tcPr>
            <w:tcW w:w="9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65,933</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24,761,831</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2,686,073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1280" w:type="dxa"/>
            <w:vAlign w:val="bottom"/>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tcPr>
          <w:p>
            <w:pPr>
              <w:jc w:val="center"/>
              <w:ind w:right="640"/>
              <w:spacing w:after="0" w:line="135" w:lineRule="exact"/>
              <w:rPr>
                <w:sz w:val="20"/>
                <w:szCs w:val="20"/>
                <w:color w:val="auto"/>
              </w:rPr>
            </w:pPr>
            <w:r>
              <w:rPr>
                <w:rFonts w:ascii="Arial" w:cs="Arial" w:eastAsia="Arial" w:hAnsi="Arial"/>
                <w:sz w:val="13"/>
                <w:szCs w:val="13"/>
                <w:color w:val="auto"/>
                <w:w w:val="91"/>
              </w:rPr>
              <w:t>Energy and Utilities</w:t>
            </w:r>
          </w:p>
        </w:tc>
        <w:tc>
          <w:tcPr>
            <w:tcW w:w="9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23,141</w:t>
            </w: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20,824,388</w:t>
            </w: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1280" w:type="dxa"/>
            <w:vAlign w:val="bottom"/>
            <w:shd w:val="clear" w:color="auto" w:fill="CCEEFF"/>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shd w:val="clear" w:color="auto" w:fill="CCEEFF"/>
          </w:tcPr>
          <w:p>
            <w:pPr>
              <w:jc w:val="center"/>
              <w:ind w:right="640"/>
              <w:spacing w:after="0" w:line="135" w:lineRule="exact"/>
              <w:rPr>
                <w:sz w:val="20"/>
                <w:szCs w:val="20"/>
                <w:color w:val="auto"/>
              </w:rPr>
            </w:pPr>
            <w:r>
              <w:rPr>
                <w:rFonts w:ascii="Arial" w:cs="Arial" w:eastAsia="Arial" w:hAnsi="Arial"/>
                <w:sz w:val="13"/>
                <w:szCs w:val="13"/>
                <w:color w:val="auto"/>
                <w:w w:val="95"/>
              </w:rPr>
              <w:t>Media</w:t>
            </w:r>
          </w:p>
        </w:tc>
        <w:tc>
          <w:tcPr>
            <w:tcW w:w="9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11,100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2,211,000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47,797,219</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2,686,073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9"/>
              </w:rPr>
              <w:t>186,290,695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9"/>
              </w:rPr>
              <w:t>125,019,637</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Investments—179.3%</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1,253,957,146</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1,153,679,675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Equivalents—11.8%</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w w:val="89"/>
              </w:rPr>
              <w:t>BlackRock Liquidity Funds, Temp Cash, Institutional Shares</w:t>
            </w: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64,897,736</w:t>
            </w: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64,897,736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10,719,397</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10,710,377</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75,617,133</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75,608,113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Equivalents—191.1%</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1,329,574,279</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1,229,287,788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Assets—(91.1%)</w:t>
            </w:r>
          </w:p>
        </w:tc>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4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(585,920,932)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9"/>
              </w:rPr>
              <w:t>643,366,856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865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25" w:lineRule="exact"/>
        <w:rPr>
          <w:sz w:val="20"/>
          <w:szCs w:val="20"/>
          <w:color w:val="auto"/>
        </w:rPr>
      </w:pPr>
    </w:p>
    <w:p>
      <w:pPr>
        <w:ind w:left="340" w:right="200" w:hanging="332"/>
        <w:spacing w:after="0" w:line="243"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22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9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9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Investment is held through our consolidated Taxable Subsidiaries (See Note 1).</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220" w:hanging="332"/>
        <w:spacing w:after="0" w:line="237"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117" w:lineRule="exact"/>
        <w:rPr>
          <w:sz w:val="20"/>
          <w:szCs w:val="20"/>
          <w:color w:val="auto"/>
        </w:rPr>
      </w:pPr>
    </w:p>
    <w:p>
      <w:pPr>
        <w:ind w:right="140" w:firstLine="685"/>
        <w:spacing w:after="0" w:line="256"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91" w:lineRule="exact"/>
        <w:rPr>
          <w:sz w:val="20"/>
          <w:szCs w:val="20"/>
          <w:color w:val="auto"/>
        </w:rPr>
      </w:pPr>
    </w:p>
    <w:p>
      <w:pPr>
        <w:ind w:right="260" w:firstLine="685"/>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200" w:firstLine="685"/>
        <w:spacing w:after="0" w:line="291"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7" w:lineRule="exact"/>
        <w:rPr>
          <w:sz w:val="20"/>
          <w:szCs w:val="20"/>
          <w:color w:val="auto"/>
        </w:rPr>
      </w:pPr>
    </w:p>
    <w:p>
      <w:pPr>
        <w:ind w:firstLine="685"/>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8" w:lineRule="exact"/>
        <w:rPr>
          <w:sz w:val="20"/>
          <w:szCs w:val="20"/>
          <w:color w:val="auto"/>
        </w:rPr>
      </w:pPr>
    </w:p>
    <w:p>
      <w:pPr>
        <w:jc w:val="both"/>
        <w:ind w:right="80" w:firstLine="685"/>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260" w:firstLine="685"/>
        <w:spacing w:after="0" w:line="291"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3" w:lineRule="exact"/>
        <w:rPr>
          <w:sz w:val="20"/>
          <w:szCs w:val="20"/>
          <w:color w:val="auto"/>
        </w:rPr>
      </w:pPr>
    </w:p>
    <w:p>
      <w:pPr>
        <w:ind w:left="800" w:right="60" w:hanging="346"/>
        <w:spacing w:after="0" w:line="253" w:lineRule="auto"/>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46"/>
        <w:spacing w:after="0"/>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340" w:hanging="346"/>
        <w:spacing w:after="0" w:line="264" w:lineRule="auto"/>
        <w:tabs>
          <w:tab w:leader="none" w:pos="8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220" w:hanging="346"/>
        <w:spacing w:after="0" w:line="238" w:lineRule="auto"/>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340" w:hanging="346"/>
        <w:spacing w:after="0" w:line="253" w:lineRule="auto"/>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300" w:firstLine="685"/>
        <w:spacing w:after="0" w:line="256"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101"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180" w:firstLine="685"/>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paying any material level of federal income taxes. Although we generally do not incur federal income taxes as a RIC for federal income tax purposes, we may elect to retain a portion of our calendar year income, which may result in an excise tax, or we may incur taxes through our Taxable Subsidiaries. For the three months ended December 31, 2016 and 2015, we recorded a provision for taxes of $0.4 million and $1.3 million, respectively.</w:t>
      </w:r>
    </w:p>
    <w:p>
      <w:pPr>
        <w:spacing w:after="0" w:line="118" w:lineRule="exact"/>
        <w:rPr>
          <w:sz w:val="20"/>
          <w:szCs w:val="20"/>
          <w:color w:val="auto"/>
        </w:rPr>
      </w:pPr>
    </w:p>
    <w:p>
      <w:pPr>
        <w:jc w:val="both"/>
        <w:ind w:right="80" w:firstLine="685"/>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01" w:lineRule="exact"/>
        <w:rPr>
          <w:sz w:val="20"/>
          <w:szCs w:val="20"/>
          <w:color w:val="auto"/>
        </w:rPr>
      </w:pPr>
    </w:p>
    <w:p>
      <w:pPr>
        <w:ind w:right="200" w:firstLine="685"/>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15" w:lineRule="exact"/>
        <w:rPr>
          <w:sz w:val="20"/>
          <w:szCs w:val="20"/>
          <w:color w:val="auto"/>
        </w:rPr>
      </w:pPr>
    </w:p>
    <w:p>
      <w:pPr>
        <w:ind w:right="20" w:firstLine="685"/>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260" w:hanging="455"/>
        <w:spacing w:after="0"/>
        <w:tabs>
          <w:tab w:leader="none" w:pos="12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260" w:hanging="455"/>
        <w:spacing w:after="0"/>
        <w:tabs>
          <w:tab w:leader="none" w:pos="12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2" w:lineRule="exact"/>
        <w:rPr>
          <w:sz w:val="20"/>
          <w:szCs w:val="20"/>
          <w:color w:val="auto"/>
        </w:rPr>
      </w:pPr>
    </w:p>
    <w:p>
      <w:pPr>
        <w:jc w:val="both"/>
        <w:ind w:right="120" w:firstLine="685"/>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160" w:firstLine="685"/>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27"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referred to as Management Fees.</w:t>
      </w:r>
    </w:p>
    <w:p>
      <w:pPr>
        <w:spacing w:after="0" w:line="117" w:lineRule="exact"/>
        <w:rPr>
          <w:sz w:val="20"/>
          <w:szCs w:val="20"/>
          <w:color w:val="auto"/>
        </w:rPr>
      </w:pPr>
    </w:p>
    <w:p>
      <w:pPr>
        <w:ind w:right="60" w:firstLine="685"/>
        <w:spacing w:after="0" w:line="245"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Since December 31, 2015 and through December 31, 2017, the Investment Adviser has voluntarily agreed, in consultation with the board of directors, to waive 16% of base management fees, correlated to our 16% energy cost exposure (oil &amp; gas and energy &amp; utilities industries) at cost as of December 31, 2015. For the three months ended December 31, 2016 and 2015, the Investment Adviser earned a base management fee of $5.3 million (after a waiver of $1.0 million) and $5.5 million (after a waiver of $1.0 million), respectively, from us.</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20" w:firstLine="685"/>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Since December 31, 2015 and through December 31, 2017, the Investment Adviser has voluntarily agreed, in consultation with the board of directors, to waive 16% of incentive fees, correlated to our 16% energy cost exposure (oil &amp; gas and energy &amp; utilities industries) at cost as of December 31, 2015. For the three months ended December 31, 2016 and 2015, the Investment Adviser earned an incentive fee of $2.9 million (after a waiver of $0.5 million) and $3.2 million (after a waiver of $0.6 million), respectively, from us.</w:t>
      </w:r>
    </w:p>
    <w:p>
      <w:pPr>
        <w:spacing w:after="0" w:line="116" w:lineRule="exact"/>
        <w:rPr>
          <w:sz w:val="20"/>
          <w:szCs w:val="20"/>
          <w:color w:val="auto"/>
        </w:rPr>
      </w:pPr>
    </w:p>
    <w:p>
      <w:pPr>
        <w:ind w:right="80" w:firstLine="685"/>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2016 and 2015, the Investment Adviser did not earn an incentive fee on capital gains as calculated under the Investment Management Agreement (as described above).</w:t>
      </w:r>
    </w:p>
    <w:p>
      <w:pPr>
        <w:spacing w:after="0" w:line="105"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each of the three months ended December 31, 2016 and 2015, the Investment Adviser did not accrue such an incentive fee.</w:t>
      </w:r>
    </w:p>
    <w:p>
      <w:pPr>
        <w:spacing w:after="0" w:line="98" w:lineRule="exact"/>
        <w:rPr>
          <w:sz w:val="20"/>
          <w:szCs w:val="20"/>
          <w:color w:val="auto"/>
        </w:rPr>
      </w:pPr>
    </w:p>
    <w:p>
      <w:pPr>
        <w:ind w:right="80" w:firstLine="685"/>
        <w:spacing w:after="0" w:line="246"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2017.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three months ended December 31, 2016 and 2015, the Investment Adviser was reimbursed $0.5 million and $0.3 million, respectively, from us, including expenses incurred on behalf of the Administrator, for the services described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Purchases of investments, including PIK interest, for the three months ended December 31, 2016 and 2015 totaled $232.1 million and $134.8 million, respectively. Sales and repayments of investments for the same periods totaled $64.2 million and $108.1 million, respectively. For the three months ended December 31, 2016, the Company bought $5.0 million in total investments from an affiliated fund managed by our Investment Adviser in accordance with, and pursuant to procedures adopted under, Rule 17a-7 of the 1940 Act. The affiliated fund realized a gain of less than $0.1 million.</w:t>
      </w:r>
    </w:p>
    <w:p>
      <w:pPr>
        <w:spacing w:after="0" w:line="115" w:lineRule="exact"/>
        <w:rPr>
          <w:sz w:val="20"/>
          <w:szCs w:val="20"/>
          <w:color w:val="auto"/>
        </w:rPr>
      </w:pPr>
    </w:p>
    <w:tbl>
      <w:tblPr>
        <w:tblLayout w:type="fixed"/>
        <w:tblInd w:w="700" w:type="dxa"/>
        <w:tblCellMar>
          <w:top w:w="0" w:type="dxa"/>
          <w:left w:w="0" w:type="dxa"/>
          <w:bottom w:w="0" w:type="dxa"/>
          <w:right w:w="0" w:type="dxa"/>
        </w:tblCellMar>
      </w:tblPr>
      <w:tr>
        <w:trPr>
          <w:trHeight w:val="182"/>
        </w:trPr>
        <w:tc>
          <w:tcPr>
            <w:tcW w:w="4740" w:type="dxa"/>
            <w:vAlign w:val="bottom"/>
            <w:gridSpan w:val="3"/>
          </w:tcPr>
          <w:p>
            <w:pPr>
              <w:spacing w:after="0"/>
              <w:rPr>
                <w:sz w:val="20"/>
                <w:szCs w:val="20"/>
                <w:color w:val="auto"/>
              </w:rPr>
            </w:pPr>
            <w:r>
              <w:rPr>
                <w:rFonts w:ascii="Arial" w:cs="Arial" w:eastAsia="Arial" w:hAnsi="Arial"/>
                <w:sz w:val="14"/>
                <w:szCs w:val="14"/>
                <w:color w:val="auto"/>
              </w:rPr>
              <w:t>Investments, cash and cash equivalents consisted of the following: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20" w:type="dxa"/>
            <w:vAlign w:val="bottom"/>
          </w:tcPr>
          <w:p>
            <w:pPr>
              <w:spacing w:after="0"/>
              <w:rPr>
                <w:sz w:val="24"/>
                <w:szCs w:val="24"/>
                <w:color w:val="auto"/>
              </w:rPr>
            </w:pPr>
          </w:p>
        </w:tc>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0" w:type="dxa"/>
            <w:vAlign w:val="bottom"/>
          </w:tcPr>
          <w:p>
            <w:pPr>
              <w:spacing w:after="0"/>
              <w:rPr>
                <w:sz w:val="24"/>
                <w:szCs w:val="24"/>
                <w:color w:val="auto"/>
              </w:rPr>
            </w:pPr>
          </w:p>
        </w:tc>
        <w:tc>
          <w:tcPr>
            <w:tcW w:w="2500" w:type="dxa"/>
            <w:vAlign w:val="bottom"/>
            <w:gridSpan w:val="6"/>
          </w:tcPr>
          <w:p>
            <w:pPr>
              <w:ind w:left="4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24"/>
                <w:szCs w:val="2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5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543,041,856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522,190,511</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418,873,576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397,102,721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441,804,534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442,872,294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451,756,995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425,412,443</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211,801,413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206,702,440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189,453,101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177,631,517</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203,814,838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153,778,534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193,873,474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153,532,994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1,400,462,641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1,325,543,779</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1,253,957,146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1,153,679,675</w:t>
            </w: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45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45,335,225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45,340,576</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75,617,133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1,445,797,866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1,370,884,355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8"/>
              </w:rPr>
              <w:t>1,329,574,279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1,229,287,788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685"/>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2016</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13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w:t>
            </w:r>
          </w:p>
        </w:tc>
        <w:tc>
          <w:tcPr>
            <w:tcW w:w="13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Energy and Utilities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Services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Electronics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Oil and Gas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Buildings and Real Estate</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Media</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Printing and Publishing</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Diversified Natural Resources, Precious Metals and Minerals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40" w:type="dxa"/>
            <w:vAlign w:val="bottom"/>
            <w:gridSpan w:val="2"/>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440" w:type="dxa"/>
            <w:vAlign w:val="bottom"/>
            <w:gridSpan w:val="2"/>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920" w:type="dxa"/>
            <w:vAlign w:val="bottom"/>
            <w:gridSpan w:val="4"/>
          </w:tcPr>
          <w:p>
            <w:pPr>
              <w:jc w:val="right"/>
              <w:ind w:right="2480"/>
              <w:spacing w:after="0"/>
              <w:rPr>
                <w:sz w:val="20"/>
                <w:szCs w:val="20"/>
                <w:color w:val="auto"/>
              </w:rPr>
            </w:pPr>
            <w:r>
              <w:rPr>
                <w:rFonts w:ascii="Arial" w:cs="Arial" w:eastAsia="Arial" w:hAnsi="Arial"/>
                <w:sz w:val="14"/>
                <w:szCs w:val="14"/>
                <w:color w:val="auto"/>
              </w:rPr>
              <w:t>F-16</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20" w:firstLine="685"/>
        <w:spacing w:after="0" w:line="251" w:lineRule="auto"/>
        <w:rPr>
          <w:sz w:val="20"/>
          <w:szCs w:val="20"/>
          <w:color w:val="auto"/>
        </w:rPr>
      </w:pPr>
      <w:r>
        <w:rPr>
          <w:rFonts w:ascii="Arial" w:cs="Arial" w:eastAsia="Arial" w:hAnsi="Arial"/>
          <w:sz w:val="13"/>
          <w:szCs w:val="13"/>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40" w:right="960" w:hanging="796"/>
        <w:spacing w:after="0" w:line="238"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40" w:right="940" w:hanging="796"/>
        <w:spacing w:after="0" w:line="253" w:lineRule="auto"/>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93" w:lineRule="exact"/>
        <w:rPr>
          <w:sz w:val="20"/>
          <w:szCs w:val="20"/>
          <w:color w:val="auto"/>
        </w:rPr>
      </w:pPr>
    </w:p>
    <w:p>
      <w:pPr>
        <w:ind w:right="140" w:firstLine="685"/>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7" w:lineRule="exact"/>
        <w:rPr>
          <w:sz w:val="20"/>
          <w:szCs w:val="20"/>
          <w:color w:val="auto"/>
        </w:rPr>
      </w:pPr>
    </w:p>
    <w:p>
      <w:pPr>
        <w:ind w:right="60" w:firstLine="685"/>
        <w:spacing w:after="0" w:line="256" w:lineRule="auto"/>
        <w:rPr>
          <w:sz w:val="20"/>
          <w:szCs w:val="20"/>
          <w:color w:val="auto"/>
        </w:rPr>
      </w:pPr>
      <w:r>
        <w:rPr>
          <w:rFonts w:ascii="Arial" w:cs="Arial" w:eastAsia="Arial" w:hAnsi="Arial"/>
          <w:sz w:val="13"/>
          <w:szCs w:val="13"/>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91" w:lineRule="exact"/>
        <w:rPr>
          <w:sz w:val="20"/>
          <w:szCs w:val="20"/>
          <w:color w:val="auto"/>
        </w:rPr>
      </w:pPr>
    </w:p>
    <w:p>
      <w:pPr>
        <w:ind w:right="100" w:firstLine="685"/>
        <w:spacing w:after="0" w:line="234"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2016 and 2015, our ability to observe valuation inputs resulted in no reclassifications and one reclassification of an asset from Level 2 to 1, respectively.</w:t>
      </w:r>
    </w:p>
    <w:p>
      <w:pPr>
        <w:spacing w:after="0" w:line="115" w:lineRule="exact"/>
        <w:rPr>
          <w:sz w:val="20"/>
          <w:szCs w:val="20"/>
          <w:color w:val="auto"/>
        </w:rPr>
      </w:pPr>
    </w:p>
    <w:p>
      <w:pPr>
        <w:jc w:val="both"/>
        <w:ind w:right="200" w:firstLine="685"/>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80" w:firstLine="685"/>
        <w:spacing w:after="0" w:line="256"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91" w:lineRule="exact"/>
        <w:rPr>
          <w:sz w:val="20"/>
          <w:szCs w:val="20"/>
          <w:color w:val="auto"/>
        </w:rPr>
      </w:pPr>
    </w:p>
    <w:p>
      <w:pPr>
        <w:ind w:right="100" w:firstLine="685"/>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Fair Value at</w:t>
            </w:r>
          </w:p>
        </w:tc>
        <w:tc>
          <w:tcPr>
            <w:tcW w:w="1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Valuation Technique</w:t>
            </w:r>
          </w:p>
        </w:tc>
        <w:tc>
          <w:tcPr>
            <w:tcW w:w="2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December 31, 2016</w:t>
            </w:r>
          </w:p>
        </w:tc>
        <w:tc>
          <w:tcPr>
            <w:tcW w:w="192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126,200,242</w:t>
            </w:r>
          </w:p>
        </w:tc>
        <w:tc>
          <w:tcPr>
            <w:tcW w:w="4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N/A</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159,739,313</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4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9,652,978</w:t>
            </w:r>
          </w:p>
        </w:tc>
        <w:tc>
          <w:tcPr>
            <w:tcW w:w="19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4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First lien</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395,990,269</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9.8% – 18.0% (13.0%)</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296,166,981</w:t>
            </w:r>
          </w:p>
        </w:tc>
        <w:tc>
          <w:tcPr>
            <w:tcW w:w="19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9.6% – 18.0% (13.5%)</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184,015,462</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11.0% – 18.6% (10.7%)</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125,589,910</w:t>
            </w:r>
          </w:p>
        </w:tc>
        <w:tc>
          <w:tcPr>
            <w:tcW w:w="192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3"/>
              </w:rPr>
              <w:t>Enterprise Market Value</w:t>
            </w:r>
          </w:p>
        </w:tc>
        <w:tc>
          <w:tcPr>
            <w:tcW w:w="21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9"/>
              </w:rPr>
              <w:t>EBITDA multiple</w:t>
            </w:r>
          </w:p>
        </w:tc>
        <w:tc>
          <w:tcPr>
            <w:tcW w:w="1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5.5x – 15.5x (8.8x)</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1,297,355,155</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136,122,503</w:t>
            </w:r>
          </w:p>
        </w:tc>
        <w:tc>
          <w:tcPr>
            <w:tcW w:w="192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00"/>
              <w:spacing w:after="0" w:line="143" w:lineRule="exact"/>
              <w:rPr>
                <w:sz w:val="20"/>
                <w:szCs w:val="20"/>
                <w:color w:val="auto"/>
              </w:rPr>
            </w:pPr>
            <w:r>
              <w:rPr>
                <w:rFonts w:ascii="Arial" w:cs="Arial" w:eastAsia="Arial" w:hAnsi="Arial"/>
                <w:sz w:val="14"/>
                <w:szCs w:val="14"/>
                <w:color w:val="auto"/>
                <w:w w:val="97"/>
              </w:rPr>
              <w:t>Market Yield</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 at</w:t>
            </w:r>
          </w:p>
        </w:tc>
        <w:tc>
          <w:tcPr>
            <w:tcW w:w="1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Valuation Technique</w:t>
            </w:r>
          </w:p>
        </w:tc>
        <w:tc>
          <w:tcPr>
            <w:tcW w:w="2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92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35,569,934</w:t>
            </w:r>
          </w:p>
        </w:tc>
        <w:tc>
          <w:tcPr>
            <w:tcW w:w="4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N/A</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122,923,804</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4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8,995,448</w:t>
            </w:r>
          </w:p>
        </w:tc>
        <w:tc>
          <w:tcPr>
            <w:tcW w:w="19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4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First lien</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361,532,787</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8.8% – 21.7% (13.1%)</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302,488,639</w:t>
            </w:r>
          </w:p>
        </w:tc>
        <w:tc>
          <w:tcPr>
            <w:tcW w:w="19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9.5% – 17.3% (13.1%)</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168,636,069</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11.0% – 15.7% (10.2%)</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125,633,017</w:t>
            </w:r>
          </w:p>
        </w:tc>
        <w:tc>
          <w:tcPr>
            <w:tcW w:w="192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3"/>
              </w:rPr>
              <w:t>Enterprise Market Value</w:t>
            </w:r>
          </w:p>
        </w:tc>
        <w:tc>
          <w:tcPr>
            <w:tcW w:w="21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9"/>
              </w:rPr>
              <w:t>EBITDA multiple</w:t>
            </w:r>
          </w:p>
        </w:tc>
        <w:tc>
          <w:tcPr>
            <w:tcW w:w="1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5.0x – 15.5x (8.2x)</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1,125,779,698</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39,551,187</w:t>
            </w:r>
          </w:p>
        </w:tc>
        <w:tc>
          <w:tcPr>
            <w:tcW w:w="192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00"/>
              <w:spacing w:after="0" w:line="143" w:lineRule="exact"/>
              <w:rPr>
                <w:sz w:val="20"/>
                <w:szCs w:val="20"/>
                <w:color w:val="auto"/>
              </w:rPr>
            </w:pPr>
            <w:r>
              <w:rPr>
                <w:rFonts w:ascii="Arial" w:cs="Arial" w:eastAsia="Arial" w:hAnsi="Arial"/>
                <w:sz w:val="14"/>
                <w:szCs w:val="14"/>
                <w:color w:val="auto"/>
                <w:w w:val="97"/>
              </w:rPr>
              <w:t>Market Yield</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9"/>
              </w:rPr>
              <w:t>Fair Value at December 31, 2016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2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1,171,765,245</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1,171,765,245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153,778,534</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1,817,390</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26,371,234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125,589,910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1,325,543,779</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1,817,390</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26,371,234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1,297,355,155</w:t>
            </w:r>
          </w:p>
        </w:tc>
        <w:tc>
          <w:tcPr>
            <w:tcW w:w="0" w:type="dxa"/>
            <w:vAlign w:val="bottom"/>
          </w:tcPr>
          <w:p>
            <w:pPr>
              <w:spacing w:after="0"/>
              <w:rPr>
                <w:sz w:val="1"/>
                <w:szCs w:val="1"/>
                <w:color w:val="auto"/>
              </w:rPr>
            </w:pP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45,340,576</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45,340,576</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1,370,884,355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47,157,966</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26,371,234</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1,297,355,155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136,122,503</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ind w:left="820"/>
              <w:spacing w:after="0" w:line="143"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136,122,503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250,635,000</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250,635,000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71,535,000</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71,535,000</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458,292,503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71,535,000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250,635,000</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136,122,503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8"/>
              </w:rPr>
              <w:t>Fair Value at September 30, 2016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2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153,532,994</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2,758,757</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25,141,220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125,633,017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1,153,679,675</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2,758,757</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25,141,220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75,608,113</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75,608,113</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6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1,229,287,788</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78,366,870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25,141,220</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39,551,187</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ind w:left="820"/>
              <w:spacing w:after="0" w:line="143"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39,551,187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254,175,000</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254,175,000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72,618,000</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72,618,000</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6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366,344,187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72,618,000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254,175,000</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39,551,187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220" w:type="dxa"/>
            <w:vAlign w:val="bottom"/>
          </w:tcPr>
          <w:p>
            <w:pPr>
              <w:spacing w:after="0"/>
              <w:rPr>
                <w:sz w:val="24"/>
                <w:szCs w:val="24"/>
                <w:color w:val="auto"/>
              </w:rPr>
            </w:pPr>
          </w:p>
        </w:tc>
        <w:tc>
          <w:tcPr>
            <w:tcW w:w="1840" w:type="dxa"/>
            <w:vAlign w:val="bottom"/>
            <w:gridSpan w:val="3"/>
          </w:tcPr>
          <w:p>
            <w:pPr>
              <w:jc w:val="right"/>
              <w:ind w:right="128"/>
              <w:spacing w:after="0"/>
              <w:rPr>
                <w:sz w:val="20"/>
                <w:szCs w:val="20"/>
                <w:color w:val="auto"/>
              </w:rPr>
            </w:pPr>
            <w:r>
              <w:rPr>
                <w:rFonts w:ascii="Arial" w:cs="Arial" w:eastAsia="Arial" w:hAnsi="Arial"/>
                <w:sz w:val="14"/>
                <w:szCs w:val="14"/>
                <w:color w:val="auto"/>
              </w:rPr>
              <w:t>F-18</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0"/>
          </w:tcPr>
          <w:p>
            <w:pPr>
              <w:jc w:val="right"/>
              <w:ind w:right="468"/>
              <w:spacing w:after="0"/>
              <w:rPr>
                <w:sz w:val="20"/>
                <w:szCs w:val="20"/>
                <w:color w:val="auto"/>
              </w:rPr>
            </w:pPr>
            <w:r>
              <w:rPr>
                <w:rFonts w:ascii="Arial" w:cs="Arial" w:eastAsia="Arial" w:hAnsi="Arial"/>
                <w:sz w:val="14"/>
                <w:szCs w:val="14"/>
                <w:b w:val="1"/>
                <w:bCs w:val="1"/>
                <w:color w:val="auto"/>
              </w:rPr>
              <w:t>Three Months Ended December 31,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125,633,017</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1,125,779,698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(34,173,159)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11,800,414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(22,372,745)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unrealized appreciation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35,054,433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(9,984,472)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25,069,961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226,774,334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11,778,800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238,553,134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(56,037,044)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(13,637,849)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(69,674,893)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1,171,765,245</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125,589,910</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1,297,355,155</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gridSpan w:val="2"/>
          </w:tcPr>
          <w:p>
            <w:pPr>
              <w:ind w:left="14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11,161,106</w:t>
            </w:r>
          </w:p>
        </w:tc>
        <w:tc>
          <w:tcPr>
            <w:tcW w:w="1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252,650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11,413,756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9"/>
          </w:tcPr>
          <w:p>
            <w:pPr>
              <w:jc w:val="right"/>
              <w:ind w:right="468"/>
              <w:spacing w:after="0"/>
              <w:rPr>
                <w:sz w:val="20"/>
                <w:szCs w:val="20"/>
                <w:color w:val="auto"/>
              </w:rPr>
            </w:pPr>
            <w:r>
              <w:rPr>
                <w:rFonts w:ascii="Arial" w:cs="Arial" w:eastAsia="Arial" w:hAnsi="Arial"/>
                <w:sz w:val="14"/>
                <w:szCs w:val="14"/>
                <w:b w:val="1"/>
                <w:bCs w:val="1"/>
                <w:color w:val="auto"/>
              </w:rPr>
              <w:t>Three Months Ended 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1,297,427,455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(27,123,807)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1,691,446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(25,432,361)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(35,926,407)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(3,177,458)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(39,103,865)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104,756,425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31,628,493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136,384,918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(104,127,278)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(3,941,446)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(108,068,724)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1,131,836,802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129,370,621</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1,261,207,423</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(depreciation) appreciation reported within the net change in unrealized (depreciation) appreciation 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gridSpan w:val="2"/>
          </w:tcPr>
          <w:p>
            <w:pPr>
              <w:ind w:left="140"/>
              <w:spacing w:after="0"/>
              <w:rPr>
                <w:sz w:val="20"/>
                <w:szCs w:val="20"/>
                <w:color w:val="auto"/>
              </w:rPr>
            </w:pPr>
            <w:r>
              <w:rPr>
                <w:rFonts w:ascii="Arial" w:cs="Arial" w:eastAsia="Arial" w:hAnsi="Arial"/>
                <w:sz w:val="14"/>
                <w:szCs w:val="14"/>
                <w:color w:val="auto"/>
              </w:rPr>
              <w:t>investments in our Consolidated Statements of Operations attributable to our Level 3 assets still held at the reporting date.</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(59,533,459)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2,796,027</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(56,737,432)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Long-Term Credit Facility </w:t>
            </w:r>
            <w:r>
              <w:rPr>
                <w:rFonts w:ascii="Arial" w:cs="Arial" w:eastAsia="Arial" w:hAnsi="Arial"/>
                <w:sz w:val="12"/>
                <w:szCs w:val="12"/>
                <w:b w:val="1"/>
                <w:bCs w:val="1"/>
                <w:color w:val="auto"/>
              </w:rPr>
              <w:t>(1)</w:t>
            </w: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auto"/>
            </w:tcBorders>
            <w:vMerge w:val="continue"/>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$50,339,700 and $106,864,300, respectively)</w:t>
            </w:r>
          </w:p>
        </w:tc>
        <w:tc>
          <w:tcPr>
            <w:tcW w:w="440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ind w:right="63"/>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39,551,187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102,356,860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(1,207,684)</w:t>
            </w: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(3,805,775)</w:t>
            </w: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(2)</w:t>
            </w:r>
          </w:p>
        </w:tc>
        <w:tc>
          <w:tcPr>
            <w:tcW w:w="4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110,260,000</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126,316,923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(2)</w:t>
            </w: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(12,481,000)</w:t>
            </w: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(105,185,900)</w:t>
            </w: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700" w:type="dxa"/>
            <w:vAlign w:val="bottom"/>
          </w:tcPr>
          <w:p>
            <w:pPr>
              <w:spacing w:after="0" w:line="155" w:lineRule="exact"/>
              <w:rPr>
                <w:sz w:val="20"/>
                <w:szCs w:val="20"/>
                <w:color w:val="auto"/>
              </w:rPr>
            </w:pPr>
            <w:r>
              <w:rPr>
                <w:rFonts w:ascii="Arial" w:cs="Arial" w:eastAsia="Arial" w:hAnsi="Arial"/>
                <w:sz w:val="14"/>
                <w:szCs w:val="14"/>
                <w:color w:val="auto"/>
              </w:rPr>
              <w:t>Ending Balance (cost – $148,118,700 and $127,995,323, respectively)</w:t>
            </w:r>
          </w:p>
        </w:tc>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ind w:right="63"/>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136,122,503</w:t>
            </w:r>
          </w:p>
        </w:tc>
        <w:tc>
          <w:tcPr>
            <w:tcW w:w="22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119,682,108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4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line="155" w:lineRule="exact"/>
              <w:rPr>
                <w:sz w:val="20"/>
                <w:szCs w:val="20"/>
                <w:color w:val="auto"/>
              </w:rPr>
            </w:pPr>
            <w:r>
              <w:rPr>
                <w:rFonts w:ascii="Arial" w:cs="Arial" w:eastAsia="Arial" w:hAnsi="Arial"/>
                <w:sz w:val="14"/>
                <w:szCs w:val="14"/>
                <w:color w:val="auto"/>
              </w:rPr>
              <w:t>Ending Balance (cost – $148,118,700 and $142,995,323, respectively)</w:t>
            </w:r>
          </w:p>
        </w:tc>
        <w:tc>
          <w:tcPr>
            <w:tcW w:w="43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136,122,503</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134,682,108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2"/>
          <w:szCs w:val="12"/>
          <w:color w:val="auto"/>
        </w:rPr>
      </w:pPr>
      <w:r>
        <w:rPr>
          <w:rFonts w:ascii="Arial" w:cs="Arial" w:eastAsia="Arial" w:hAnsi="Arial"/>
          <w:sz w:val="14"/>
          <w:szCs w:val="14"/>
          <w:color w:val="auto"/>
        </w:rPr>
        <w:t>The carrying value of our consolidated financial liabilities approximates fair value.</w:t>
      </w:r>
    </w:p>
    <w:p>
      <w:pPr>
        <w:ind w:left="340" w:hanging="332"/>
        <w:spacing w:after="0"/>
        <w:tabs>
          <w:tab w:leader="none" w:pos="340" w:val="left"/>
        </w:tabs>
        <w:numPr>
          <w:ilvl w:val="0"/>
          <w:numId w:val="97"/>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92" w:lineRule="exact"/>
        <w:rPr>
          <w:sz w:val="20"/>
          <w:szCs w:val="20"/>
          <w:color w:val="auto"/>
        </w:rPr>
      </w:pPr>
    </w:p>
    <w:p>
      <w:pPr>
        <w:ind w:right="40" w:firstLine="685"/>
        <w:spacing w:after="0" w:line="253" w:lineRule="auto"/>
        <w:rPr>
          <w:sz w:val="20"/>
          <w:szCs w:val="20"/>
          <w:color w:val="auto"/>
        </w:rPr>
      </w:pPr>
      <w:r>
        <w:rPr>
          <w:rFonts w:ascii="Arial" w:cs="Arial" w:eastAsia="Arial" w:hAnsi="Arial"/>
          <w:sz w:val="14"/>
          <w:szCs w:val="14"/>
          <w:color w:val="auto"/>
        </w:rPr>
        <w:t>As of December 31, 2016, we had outstanding non-U.S. dollar borrowings on our Credit Facility. Net change in fair value from foreign currency translation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960" w:type="dxa"/>
            <w:vAlign w:val="bottom"/>
          </w:tcPr>
          <w:p>
            <w:pPr>
              <w:spacing w:after="0"/>
              <w:rPr>
                <w:sz w:val="14"/>
                <w:szCs w:val="14"/>
                <w:color w:val="auto"/>
              </w:rPr>
            </w:pPr>
          </w:p>
        </w:tc>
        <w:tc>
          <w:tcPr>
            <w:tcW w:w="2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Borrowed</w:t>
            </w:r>
          </w:p>
        </w:tc>
        <w:tc>
          <w:tcPr>
            <w:tcW w:w="14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3"/>
              </w:rPr>
              <w:t>Borrowing Cost</w:t>
            </w:r>
          </w:p>
        </w:tc>
        <w:tc>
          <w:tcPr>
            <w:tcW w:w="38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Current Value</w:t>
            </w:r>
          </w:p>
        </w:tc>
        <w:tc>
          <w:tcPr>
            <w:tcW w:w="760" w:type="dxa"/>
            <w:vAlign w:val="bottom"/>
          </w:tcPr>
          <w:p>
            <w:pPr>
              <w:spacing w:after="0"/>
              <w:rPr>
                <w:sz w:val="14"/>
                <w:szCs w:val="14"/>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Reset Date</w:t>
            </w:r>
          </w:p>
        </w:tc>
        <w:tc>
          <w:tcPr>
            <w:tcW w:w="76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6"/>
        </w:trPr>
        <w:tc>
          <w:tcPr>
            <w:tcW w:w="112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rPr>
              <w:t>British Pound</w:t>
            </w:r>
          </w:p>
        </w:tc>
        <w:tc>
          <w:tcPr>
            <w:tcW w:w="19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30,000,000</w:t>
            </w:r>
          </w:p>
        </w:tc>
        <w:tc>
          <w:tcPr>
            <w:tcW w:w="7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48,858,700</w:t>
            </w:r>
          </w:p>
        </w:tc>
        <w:tc>
          <w:tcPr>
            <w:tcW w:w="3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37,069,530</w:t>
            </w:r>
          </w:p>
        </w:tc>
        <w:tc>
          <w:tcPr>
            <w:tcW w:w="7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89"/>
              </w:rPr>
              <w:t>January 3, 2017</w:t>
            </w:r>
          </w:p>
        </w:tc>
        <w:tc>
          <w:tcPr>
            <w:tcW w:w="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8"/>
              <w:spacing w:after="0" w:line="136"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(11,789,170)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2300" w:type="dxa"/>
            <w:vAlign w:val="bottom"/>
            <w:gridSpan w:val="2"/>
          </w:tcPr>
          <w:p>
            <w:pPr>
              <w:ind w:left="19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44,000,000</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45,760,000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46,409,088</w:t>
            </w:r>
          </w:p>
        </w:tc>
        <w:tc>
          <w:tcPr>
            <w:tcW w:w="76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color w:val="auto"/>
                <w:w w:val="89"/>
              </w:rPr>
              <w:t>January 3, 2017</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649,088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94,618,700</w:t>
            </w:r>
          </w:p>
        </w:tc>
        <w:tc>
          <w:tcPr>
            <w:tcW w:w="5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83,478,618</w:t>
            </w:r>
          </w:p>
        </w:tc>
        <w:tc>
          <w:tcPr>
            <w:tcW w:w="7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(11,140,082)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685"/>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96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Amount Borrowed</w:t>
            </w:r>
          </w:p>
        </w:tc>
        <w:tc>
          <w:tcPr>
            <w:tcW w:w="76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Borrowing Cost</w:t>
            </w:r>
          </w:p>
        </w:tc>
        <w:tc>
          <w:tcPr>
            <w:tcW w:w="760" w:type="dxa"/>
            <w:vAlign w:val="bottom"/>
          </w:tcPr>
          <w:p>
            <w:pPr>
              <w:spacing w:after="0"/>
              <w:rPr>
                <w:sz w:val="14"/>
                <w:szCs w:val="14"/>
                <w:color w:val="auto"/>
              </w:rPr>
            </w:pPr>
          </w:p>
        </w:tc>
        <w:tc>
          <w:tcPr>
            <w:tcW w:w="1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Current Value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7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6"/>
        </w:trPr>
        <w:tc>
          <w:tcPr>
            <w:tcW w:w="112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rPr>
              <w:t>British Pound</w:t>
            </w:r>
          </w:p>
        </w:tc>
        <w:tc>
          <w:tcPr>
            <w:tcW w:w="19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88"/>
              <w:spacing w:after="0" w:line="136"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31,000,000</w:t>
            </w:r>
          </w:p>
        </w:tc>
        <w:tc>
          <w:tcPr>
            <w:tcW w:w="7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8"/>
              <w:spacing w:after="0" w:line="136"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50,339,700</w:t>
            </w:r>
          </w:p>
        </w:tc>
        <w:tc>
          <w:tcPr>
            <w:tcW w:w="7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40,180,433</w:t>
            </w:r>
          </w:p>
        </w:tc>
        <w:tc>
          <w:tcPr>
            <w:tcW w:w="7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3"/>
              </w:rPr>
              <w:t>October 3, 2016</w:t>
            </w:r>
          </w:p>
        </w:tc>
        <w:tc>
          <w:tcPr>
            <w:tcW w:w="7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rPr>
              <w:t>$   (10,159,267)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F-19</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685"/>
        <w:spacing w:after="0" w:line="244"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months ended December 31, 2016 and 2015, our Credit Facility and our Notes had a net change in unrealized depreciation of $5.8 million and $7.7 million, respectively. As of December 31, 2016 and September 30, 2016, net unrealized depreciation on our Credit Facility and our Notes totaled $11.1 million and $5.2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360" w:firstLine="68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Fair Value at</w:t>
            </w:r>
          </w:p>
        </w:tc>
        <w:tc>
          <w:tcPr>
            <w:tcW w:w="20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Purchases of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 of /</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2"/>
              </w:rPr>
              <w:t>Realized Gains</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1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Accrued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42"/>
        </w:trPr>
        <w:tc>
          <w:tcPr>
            <w:tcW w:w="4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8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80" w:type="dxa"/>
            <w:vAlign w:val="bottom"/>
            <w:gridSpan w:val="2"/>
          </w:tcPr>
          <w:p>
            <w:pPr>
              <w:ind w:left="160"/>
              <w:spacing w:after="0"/>
              <w:rPr>
                <w:sz w:val="20"/>
                <w:szCs w:val="20"/>
                <w:color w:val="auto"/>
              </w:rPr>
            </w:pPr>
            <w:r>
              <w:rPr>
                <w:rFonts w:ascii="Arial" w:cs="Arial" w:eastAsia="Arial" w:hAnsi="Arial"/>
                <w:sz w:val="14"/>
                <w:szCs w:val="14"/>
                <w:color w:val="auto"/>
              </w:rPr>
              <w:t>(JF Acquisition, LLC)</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22,837,602</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9,599,721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68,319,399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2,138,653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2,264,465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70,480,085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33,862,636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(2,570,000)</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1,381,599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32,436,485</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57,109,394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197,160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817,473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61,101,083</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18,130,545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Cano Health, LLC </w:t>
            </w: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11,803,500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52,311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11,803,500</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Corfin Industries LLC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25,853,063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(59,250)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675,462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26,069,202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2,799,695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1,669,502</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22,522,000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230,873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22,760,675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ETX Energy, LLC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35,416,730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193,544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45,742,822</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8,233,630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(11,132)</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616,258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15,523,777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34,898,025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913,797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35,537,758</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28,360,010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(9,250,000)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742,494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28,456,462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Controlled and Non-Controlled Affiliates</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340,212,184</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26,753,365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(11,890,382)</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7,894,245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379,311,617</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Excludes delayed draw investments.</w:t>
      </w:r>
    </w:p>
    <w:p>
      <w:pPr>
        <w:ind w:left="340" w:hanging="332"/>
        <w:spacing w:after="0" w:line="221"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Includes PIK.</w:t>
      </w: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236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142"/>
        </w:trPr>
        <w:tc>
          <w:tcPr>
            <w:tcW w:w="7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r>
      <w:tr>
        <w:trPr>
          <w:trHeight w:val="142"/>
        </w:trPr>
        <w:tc>
          <w:tcPr>
            <w:tcW w:w="7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24,049,127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(40,755,183)</w:t>
            </w:r>
          </w:p>
        </w:tc>
        <w:tc>
          <w:tcPr>
            <w:tcW w:w="80" w:type="dxa"/>
            <w:vAlign w:val="bottom"/>
            <w:shd w:val="clear" w:color="auto" w:fill="CCEEFF"/>
          </w:tcPr>
          <w:p>
            <w:pPr>
              <w:spacing w:after="0"/>
              <w:rPr>
                <w:sz w:val="12"/>
                <w:szCs w:val="12"/>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71,060,836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72,740,547</w:t>
            </w:r>
          </w:p>
        </w:tc>
        <w:tc>
          <w:tcPr>
            <w:tcW w:w="8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resulting from operations per share</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0.34</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(0.56)</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40" w:firstLine="685"/>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2016 and September 30, 2016, cash and cash equivalents consisted of $45.3 million and $75.6 million, respectively, at fair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40"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508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5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0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340" w:type="dxa"/>
            <w:vAlign w:val="bottom"/>
          </w:tcPr>
          <w:p>
            <w:pPr>
              <w:spacing w:after="0"/>
              <w:rPr>
                <w:sz w:val="12"/>
                <w:szCs w:val="12"/>
                <w:color w:val="auto"/>
              </w:rPr>
            </w:pPr>
          </w:p>
        </w:tc>
        <w:tc>
          <w:tcPr>
            <w:tcW w:w="5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9.82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0.34</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8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Net asset value, end of period</w:t>
            </w:r>
          </w:p>
        </w:tc>
        <w:tc>
          <w:tcPr>
            <w:tcW w:w="7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0" w:type="dxa"/>
            <w:vAlign w:val="bottom"/>
          </w:tcPr>
          <w:p>
            <w:pPr>
              <w:spacing w:after="0"/>
              <w:rPr>
                <w:sz w:val="12"/>
                <w:szCs w:val="12"/>
                <w:color w:val="auto"/>
              </w:rPr>
            </w:pPr>
          </w:p>
        </w:tc>
        <w:tc>
          <w:tcPr>
            <w:tcW w:w="4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020" w:type="dxa"/>
            <w:vAlign w:val="bottom"/>
            <w:gridSpan w:val="2"/>
            <w:shd w:val="clear" w:color="auto" w:fill="CCEEFF"/>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7.66</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9"/>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6.18</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580"/>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5.51%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7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71,060,836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71,745,710</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Ratios**/ Supplemental Data:</w:t>
            </w: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xml:space="preserve">6.13% </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9.97%</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10.17%</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0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647,518,949</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647,309,399</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8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7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597,533,598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598,313,633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0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0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2,412</w:t>
            </w:r>
          </w:p>
        </w:tc>
        <w:tc>
          <w:tcPr>
            <w:tcW w:w="340" w:type="dxa"/>
            <w:vAlign w:val="bottom"/>
          </w:tcPr>
          <w:p>
            <w:pPr>
              <w:spacing w:after="0"/>
              <w:rPr>
                <w:sz w:val="12"/>
                <w:szCs w:val="12"/>
                <w:color w:val="auto"/>
              </w:rPr>
            </w:pPr>
          </w:p>
        </w:tc>
        <w:tc>
          <w:tcPr>
            <w:tcW w:w="5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2,422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865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99" w:lineRule="exact"/>
        <w:rPr>
          <w:sz w:val="20"/>
          <w:szCs w:val="20"/>
          <w:color w:val="auto"/>
        </w:rPr>
      </w:pPr>
    </w:p>
    <w:p>
      <w:pPr>
        <w:ind w:right="8440" w:firstLine="8"/>
        <w:spacing w:after="0" w:line="303" w:lineRule="auto"/>
        <w:tabs>
          <w:tab w:leader="none" w:pos="338" w:val="left"/>
        </w:tabs>
        <w:numPr>
          <w:ilvl w:val="0"/>
          <w:numId w:val="99"/>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1"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340" w:right="20" w:hanging="332"/>
        <w:spacing w:after="0" w:line="251"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340" w:right="60" w:hanging="332"/>
        <w:spacing w:after="0" w:line="251"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For the three months ended December 31, 2016 and 2015, the ratio of operating expenses before the waiver of Management Fees to average net assets was 7.18% and 7.07%, respectively, and the ratio of total expenses before the waiver of Management Fees to average net assets was 11.33% and 10.91%, respectively.</w:t>
      </w: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Does not annualize provision for taxes.</w:t>
      </w:r>
    </w:p>
    <w:p>
      <w:pPr>
        <w:spacing w:after="0" w:line="28" w:lineRule="exact"/>
        <w:rPr>
          <w:rFonts w:ascii="Arial" w:cs="Arial" w:eastAsia="Arial" w:hAnsi="Arial"/>
          <w:sz w:val="12"/>
          <w:szCs w:val="12"/>
          <w:color w:val="auto"/>
        </w:rPr>
      </w:pP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2"/>
          <w:szCs w:val="12"/>
          <w:color w:val="auto"/>
        </w:rPr>
      </w:pPr>
    </w:p>
    <w:p>
      <w:pPr>
        <w:ind w:left="340" w:right="220" w:hanging="332"/>
        <w:spacing w:after="0" w:line="238"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an exemptive relief letter provided by the SEC in June 2011.</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jc w:val="both"/>
        <w:ind w:right="280" w:firstLine="685"/>
        <w:spacing w:after="0" w:line="234" w:lineRule="auto"/>
        <w:rPr>
          <w:sz w:val="20"/>
          <w:szCs w:val="20"/>
          <w:color w:val="auto"/>
        </w:rPr>
      </w:pPr>
      <w:r>
        <w:rPr>
          <w:rFonts w:ascii="Arial" w:cs="Arial" w:eastAsia="Arial" w:hAnsi="Arial"/>
          <w:sz w:val="14"/>
          <w:szCs w:val="14"/>
          <w:color w:val="auto"/>
        </w:rPr>
        <w:t>Our annualized weighted average cost of debt for the three months ended December 31, 2016 and 2015, inclusive of the fee on the undrawn commitment on the Credit Facility and amortized upfront fees on SBA debentures but excluding debt issuance costs, was 4.51% and 4.50%,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23" w:lineRule="exact"/>
        <w:rPr>
          <w:sz w:val="20"/>
          <w:szCs w:val="20"/>
          <w:color w:val="auto"/>
        </w:rPr>
      </w:pPr>
    </w:p>
    <w:p>
      <w:pPr>
        <w:ind w:firstLine="685"/>
        <w:spacing w:after="0" w:line="244" w:lineRule="auto"/>
        <w:rPr>
          <w:sz w:val="20"/>
          <w:szCs w:val="20"/>
          <w:color w:val="auto"/>
        </w:rPr>
      </w:pPr>
      <w:r>
        <w:rPr>
          <w:rFonts w:ascii="Arial" w:cs="Arial" w:eastAsia="Arial" w:hAnsi="Arial"/>
          <w:sz w:val="13"/>
          <w:szCs w:val="13"/>
          <w:color w:val="auto"/>
        </w:rPr>
        <w:t>As of December 31, 2016, we had a $545 million multi-currency Credit Facility with certain lenders and SunTrust Bank, acting as administrative agent, and JPMorgan Chase Bank, N.A., acting as syndication agent for the lenders. As of December 31, 2016 and September 30, 2016, there was $148.1 million and $50.3 million, respectively, in outstanding borrowings under the Credit Facility. The Credit Facility had a weighted average interest rate of 2.63% and 2.76%, as of December 31, 2016 and September 30, 2016, respectively, excluding the undrawn commitments fees of</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auto"/>
        </w:rPr>
        <w:t>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firstLine="571"/>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December 31, 2016. We have funded SBIC II with $52.5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20" w:firstLine="685"/>
        <w:spacing w:after="0" w:line="238" w:lineRule="auto"/>
        <w:rPr>
          <w:sz w:val="20"/>
          <w:szCs w:val="20"/>
          <w:color w:val="auto"/>
        </w:rPr>
      </w:pPr>
      <w:r>
        <w:rPr>
          <w:rFonts w:ascii="Arial" w:cs="Arial" w:eastAsia="Arial" w:hAnsi="Arial"/>
          <w:sz w:val="14"/>
          <w:szCs w:val="14"/>
          <w:color w:val="auto"/>
        </w:rPr>
        <w:t>As of December 31, 2016 and September 30, 2016, our SBIC Funds had $225.0 million in debt commitments, of which $197.5 million was drawn, respectively. As of December 31, 2016 and September 30, 2016, the unamortized fees on the SBA debentures was $4.1 million and $4.3 million, respectively. The SBA debentures’ upfront fees of 3.43% consist of a commitment fee of 1.00% and an issuance discount of 2.43%, which are being amortized.</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fixed-rate SBA debentures as of December 31, 2016 and September 30, 2016 were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Issuance Dates</w:t>
            </w:r>
          </w:p>
        </w:tc>
        <w:tc>
          <w:tcPr>
            <w:tcW w:w="660" w:type="dxa"/>
            <w:vAlign w:val="bottom"/>
            <w:vMerge w:val="restart"/>
          </w:tcPr>
          <w:p>
            <w:pPr>
              <w:spacing w:after="0"/>
              <w:rPr>
                <w:sz w:val="14"/>
                <w:szCs w:val="14"/>
                <w:color w:val="auto"/>
              </w:rPr>
            </w:pPr>
          </w:p>
        </w:tc>
        <w:tc>
          <w:tcPr>
            <w:tcW w:w="17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Maturity</w:t>
            </w:r>
          </w:p>
        </w:tc>
        <w:tc>
          <w:tcPr>
            <w:tcW w:w="680" w:type="dxa"/>
            <w:vAlign w:val="bottom"/>
            <w:vMerge w:val="restart"/>
          </w:tcPr>
          <w:p>
            <w:pPr>
              <w:spacing w:after="0"/>
              <w:rPr>
                <w:sz w:val="14"/>
                <w:szCs w:val="14"/>
                <w:color w:val="auto"/>
              </w:rPr>
            </w:pPr>
          </w:p>
        </w:tc>
        <w:tc>
          <w:tcPr>
            <w:tcW w:w="2220" w:type="dxa"/>
            <w:vAlign w:val="bottom"/>
            <w:gridSpan w:val="2"/>
          </w:tcPr>
          <w:p>
            <w:pPr>
              <w:ind w:left="500"/>
              <w:spacing w:after="0"/>
              <w:rPr>
                <w:sz w:val="20"/>
                <w:szCs w:val="20"/>
                <w:color w:val="auto"/>
              </w:rPr>
            </w:pPr>
            <w:r>
              <w:rPr>
                <w:rFonts w:ascii="Arial" w:cs="Arial" w:eastAsia="Arial" w:hAnsi="Arial"/>
                <w:sz w:val="14"/>
                <w:szCs w:val="14"/>
                <w:b w:val="1"/>
                <w:bCs w:val="1"/>
                <w:color w:val="auto"/>
              </w:rPr>
              <w:t>Fixed All-in</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Principal Balance</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xml:space="preserve">coupon rate </w:t>
            </w:r>
            <w:r>
              <w:rPr>
                <w:rFonts w:ascii="Arial" w:cs="Arial" w:eastAsia="Arial" w:hAnsi="Arial"/>
                <w:sz w:val="12"/>
                <w:szCs w:val="12"/>
                <w:b w:val="1"/>
                <w:bCs w:val="1"/>
                <w:color w:val="auto"/>
              </w:rPr>
              <w:t>(1)</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September 22, 2010</w:t>
            </w: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September 1, 2020</w:t>
            </w:r>
          </w:p>
        </w:tc>
        <w:tc>
          <w:tcPr>
            <w:tcW w:w="680" w:type="dxa"/>
            <w:vAlign w:val="bottom"/>
            <w:shd w:val="clear" w:color="auto" w:fill="CCEEFF"/>
          </w:tcPr>
          <w:p>
            <w:pPr>
              <w:spacing w:after="0"/>
              <w:rPr>
                <w:sz w:val="15"/>
                <w:szCs w:val="15"/>
                <w:color w:val="auto"/>
              </w:rPr>
            </w:pPr>
          </w:p>
        </w:tc>
        <w:tc>
          <w:tcPr>
            <w:tcW w:w="2220" w:type="dxa"/>
            <w:vAlign w:val="bottom"/>
            <w:gridSpan w:val="2"/>
            <w:vMerge w:val="restart"/>
            <w:shd w:val="clear" w:color="auto" w:fill="CCEEFF"/>
          </w:tcPr>
          <w:p>
            <w:pPr>
              <w:ind w:left="1500"/>
              <w:spacing w:after="0"/>
              <w:rPr>
                <w:sz w:val="20"/>
                <w:szCs w:val="20"/>
                <w:color w:val="auto"/>
              </w:rPr>
            </w:pPr>
            <w:r>
              <w:rPr>
                <w:rFonts w:ascii="Arial" w:cs="Arial" w:eastAsia="Arial" w:hAnsi="Arial"/>
                <w:sz w:val="14"/>
                <w:szCs w:val="14"/>
                <w:color w:val="auto"/>
              </w:rPr>
              <w:t>3.50%</w:t>
            </w:r>
          </w:p>
        </w:tc>
        <w:tc>
          <w:tcPr>
            <w:tcW w:w="560" w:type="dxa"/>
            <w:vAlign w:val="bottom"/>
            <w:gridSpan w:val="2"/>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15"/>
        </w:trPr>
        <w:tc>
          <w:tcPr>
            <w:tcW w:w="3640" w:type="dxa"/>
            <w:vAlign w:val="bottom"/>
            <w:gridSpan w:val="2"/>
            <w:vMerge w:val="continue"/>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20" w:type="dxa"/>
            <w:vAlign w:val="bottom"/>
            <w:gridSpan w:val="2"/>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164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March 29, 2011</w:t>
            </w: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March 1, 2021</w:t>
            </w:r>
          </w:p>
        </w:tc>
        <w:tc>
          <w:tcPr>
            <w:tcW w:w="2220" w:type="dxa"/>
            <w:vAlign w:val="bottom"/>
            <w:gridSpan w:val="2"/>
          </w:tcPr>
          <w:p>
            <w:pPr>
              <w:ind w:left="1500"/>
              <w:spacing w:after="0" w:line="149" w:lineRule="exact"/>
              <w:rPr>
                <w:sz w:val="20"/>
                <w:szCs w:val="20"/>
                <w:color w:val="auto"/>
              </w:rPr>
            </w:pPr>
            <w:r>
              <w:rPr>
                <w:rFonts w:ascii="Arial" w:cs="Arial" w:eastAsia="Arial" w:hAnsi="Arial"/>
                <w:sz w:val="14"/>
                <w:szCs w:val="14"/>
                <w:color w:val="auto"/>
              </w:rPr>
              <w:t>4.46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1, 2021</w:t>
            </w:r>
          </w:p>
        </w:tc>
        <w:tc>
          <w:tcPr>
            <w:tcW w:w="2220" w:type="dxa"/>
            <w:vAlign w:val="bottom"/>
            <w:gridSpan w:val="2"/>
            <w:shd w:val="clear" w:color="auto" w:fill="CCEEFF"/>
          </w:tcPr>
          <w:p>
            <w:pPr>
              <w:ind w:left="1500"/>
              <w:spacing w:after="0" w:line="149" w:lineRule="exact"/>
              <w:rPr>
                <w:sz w:val="20"/>
                <w:szCs w:val="20"/>
                <w:color w:val="auto"/>
              </w:rPr>
            </w:pPr>
            <w:r>
              <w:rPr>
                <w:rFonts w:ascii="Arial" w:cs="Arial" w:eastAsia="Arial" w:hAnsi="Arial"/>
                <w:sz w:val="14"/>
                <w:szCs w:val="14"/>
                <w:color w:val="auto"/>
              </w:rPr>
              <w:t>3.38</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March 23, 2016</w:t>
            </w: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March 1, 2026</w:t>
            </w:r>
          </w:p>
        </w:tc>
        <w:tc>
          <w:tcPr>
            <w:tcW w:w="2220" w:type="dxa"/>
            <w:vAlign w:val="bottom"/>
            <w:gridSpan w:val="2"/>
          </w:tcPr>
          <w:p>
            <w:pPr>
              <w:ind w:left="1500"/>
              <w:spacing w:after="0" w:line="149" w:lineRule="exact"/>
              <w:rPr>
                <w:sz w:val="20"/>
                <w:szCs w:val="20"/>
                <w:color w:val="auto"/>
              </w:rPr>
            </w:pPr>
            <w:r>
              <w:rPr>
                <w:rFonts w:ascii="Arial" w:cs="Arial" w:eastAsia="Arial" w:hAnsi="Arial"/>
                <w:sz w:val="14"/>
                <w:szCs w:val="14"/>
                <w:color w:val="auto"/>
              </w:rPr>
              <w:t>2.86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2016</w:t>
            </w: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1, 2026</w:t>
            </w:r>
          </w:p>
        </w:tc>
        <w:tc>
          <w:tcPr>
            <w:tcW w:w="2220" w:type="dxa"/>
            <w:vAlign w:val="bottom"/>
            <w:gridSpan w:val="2"/>
            <w:shd w:val="clear" w:color="auto" w:fill="CCEEFF"/>
          </w:tcPr>
          <w:p>
            <w:pPr>
              <w:ind w:left="1500"/>
              <w:spacing w:after="0" w:line="149" w:lineRule="exact"/>
              <w:rPr>
                <w:sz w:val="20"/>
                <w:szCs w:val="20"/>
                <w:color w:val="auto"/>
              </w:rPr>
            </w:pPr>
            <w:r>
              <w:rPr>
                <w:rFonts w:ascii="Arial" w:cs="Arial" w:eastAsia="Arial" w:hAnsi="Arial"/>
                <w:sz w:val="14"/>
                <w:szCs w:val="14"/>
                <w:color w:val="auto"/>
              </w:rPr>
              <w:t>2.41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Rate / Total</w:t>
            </w: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20" w:type="dxa"/>
            <w:vAlign w:val="bottom"/>
            <w:gridSpan w:val="2"/>
          </w:tcPr>
          <w:p>
            <w:pPr>
              <w:ind w:left="1500"/>
              <w:spacing w:after="0" w:line="155" w:lineRule="exact"/>
              <w:rPr>
                <w:sz w:val="20"/>
                <w:szCs w:val="20"/>
                <w:color w:val="auto"/>
              </w:rPr>
            </w:pPr>
            <w:r>
              <w:rPr>
                <w:rFonts w:ascii="Arial" w:cs="Arial" w:eastAsia="Arial" w:hAnsi="Arial"/>
                <w:sz w:val="14"/>
                <w:szCs w:val="14"/>
                <w:color w:val="auto"/>
              </w:rPr>
              <w:t>3.44%</w:t>
            </w:r>
          </w:p>
        </w:tc>
        <w:tc>
          <w:tcPr>
            <w:tcW w:w="340" w:type="dxa"/>
            <w:vAlign w:val="bottom"/>
            <w:vMerge w:val="continue"/>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197,500,000</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8783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4" w:lineRule="exact"/>
        <w:rPr>
          <w:sz w:val="20"/>
          <w:szCs w:val="20"/>
          <w:color w:val="auto"/>
        </w:rPr>
      </w:pPr>
    </w:p>
    <w:p>
      <w:pPr>
        <w:ind w:left="920" w:hanging="345"/>
        <w:spacing w:after="0"/>
        <w:tabs>
          <w:tab w:leader="none" w:pos="920" w:val="left"/>
        </w:tabs>
        <w:numPr>
          <w:ilvl w:val="0"/>
          <w:numId w:val="101"/>
        </w:numPr>
        <w:rPr>
          <w:rFonts w:ascii="Arial" w:cs="Arial" w:eastAsia="Arial" w:hAnsi="Arial"/>
          <w:sz w:val="12"/>
          <w:szCs w:val="12"/>
          <w:color w:val="auto"/>
        </w:rPr>
      </w:pPr>
      <w:r>
        <w:rPr>
          <w:rFonts w:ascii="Arial" w:cs="Arial" w:eastAsia="Arial" w:hAnsi="Arial"/>
          <w:sz w:val="14"/>
          <w:szCs w:val="14"/>
          <w:color w:val="auto"/>
        </w:rPr>
        <w:t>Excludes 3.43% of upfront fees.</w:t>
      </w:r>
    </w:p>
    <w:p>
      <w:pPr>
        <w:spacing w:after="0" w:line="136"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2016, our SBIC Funds were in compliance with their regulatory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jc w:val="both"/>
        <w:ind w:right="60" w:firstLine="685"/>
        <w:spacing w:after="0" w:line="264" w:lineRule="auto"/>
        <w:rPr>
          <w:sz w:val="20"/>
          <w:szCs w:val="20"/>
          <w:color w:val="auto"/>
        </w:rPr>
      </w:pPr>
      <w:r>
        <w:rPr>
          <w:rFonts w:ascii="Arial" w:cs="Arial" w:eastAsia="Arial" w:hAnsi="Arial"/>
          <w:sz w:val="13"/>
          <w:szCs w:val="13"/>
          <w:color w:val="auto"/>
        </w:rPr>
        <w:t>As of December 31, 2016 and September 30, 2016,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23" w:lineRule="exact"/>
        <w:rPr>
          <w:sz w:val="20"/>
          <w:szCs w:val="20"/>
          <w:color w:val="auto"/>
        </w:rPr>
      </w:pPr>
    </w:p>
    <w:p>
      <w:pPr>
        <w:ind w:right="40" w:firstLine="685"/>
        <w:spacing w:after="0" w:line="234" w:lineRule="auto"/>
        <w:rPr>
          <w:sz w:val="20"/>
          <w:szCs w:val="20"/>
          <w:color w:val="auto"/>
        </w:rPr>
      </w:pPr>
      <w:r>
        <w:rPr>
          <w:rFonts w:ascii="Arial" w:cs="Arial" w:eastAsia="Arial" w:hAnsi="Arial"/>
          <w:sz w:val="14"/>
          <w:szCs w:val="14"/>
          <w:color w:val="auto"/>
        </w:rPr>
        <w:t>As of December 31, 2016 and September 30, 2016, we had $71.3 million in aggregate principal amount of 2025 Notes outstanding.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40" w:firstLine="685"/>
        <w:spacing w:after="0" w:line="234"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2016 and September 30, 2016, we had $7.6 million and $3.1 million, respectively, in commitments to fund investments.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140" w:lineRule="exact"/>
        <w:rPr>
          <w:sz w:val="20"/>
          <w:szCs w:val="20"/>
          <w:color w:val="auto"/>
        </w:rPr>
      </w:pPr>
    </w:p>
    <w:p>
      <w:pPr>
        <w:ind w:right="20" w:firstLine="685"/>
        <w:spacing w:after="0" w:line="234"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December 31, 2016 and September 30, 2016, RAM Energy Holdings LLC triggered at least one of the significance tests. RAM Energy Holdings LLC became a controlled affiliated investment as of September 30, 2015. As a result and in accordance with Rule 4-08(g) of Regulation S-K, presented below is summarized unaudited financial information for RAM Energy Holdings LLC as of December 31, 2016 and September 30, 2016 as well as for the three months ended December 31, 2016 and 2015.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20"/>
                <w:szCs w:val="20"/>
                <w:color w:val="auto"/>
              </w:rPr>
            </w:pPr>
            <w:r>
              <w:rPr>
                <w:rFonts w:ascii="Arial" w:cs="Arial" w:eastAsia="Arial" w:hAnsi="Arial"/>
                <w:sz w:val="14"/>
                <w:szCs w:val="14"/>
                <w:b w:val="1"/>
                <w:bCs w:val="1"/>
                <w:color w:val="auto"/>
              </w:rPr>
              <w:t>Balance Sheet</w:t>
            </w:r>
          </w:p>
        </w:tc>
        <w:tc>
          <w:tcPr>
            <w:tcW w:w="40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2016</w:t>
            </w:r>
          </w:p>
        </w:tc>
      </w:tr>
      <w:tr>
        <w:trPr>
          <w:trHeight w:val="142"/>
        </w:trPr>
        <w:tc>
          <w:tcPr>
            <w:tcW w:w="2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assets</w:t>
            </w:r>
          </w:p>
        </w:tc>
        <w:tc>
          <w:tcPr>
            <w:tcW w:w="4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1,699,593</w:t>
            </w:r>
          </w:p>
        </w:tc>
        <w:tc>
          <w:tcPr>
            <w:tcW w:w="4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1,871,645</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Noncurrent assets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29,503,764</w:t>
            </w:r>
          </w:p>
        </w:tc>
        <w:tc>
          <w:tcPr>
            <w:tcW w:w="3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35,306,598</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6,410,604</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4,338,002</w:t>
            </w: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Noncurrent liabilities</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color w:val="auto"/>
              </w:rPr>
              <w:t>91,208,666</w:t>
            </w:r>
          </w:p>
        </w:tc>
        <w:tc>
          <w:tcPr>
            <w:tcW w:w="3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90,737,483</w:t>
            </w:r>
          </w:p>
        </w:tc>
      </w:tr>
    </w:tbl>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780" w:type="dxa"/>
            <w:vAlign w:val="bottom"/>
            <w:gridSpan w:val="9"/>
          </w:tcPr>
          <w:p>
            <w:pPr>
              <w:jc w:val="center"/>
              <w:ind w:left="1048"/>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780" w:type="dxa"/>
            <w:vAlign w:val="bottom"/>
            <w:gridSpan w:val="9"/>
          </w:tcPr>
          <w:p>
            <w:pPr>
              <w:jc w:val="center"/>
              <w:ind w:left="1048"/>
              <w:spacing w:after="0" w:line="149" w:lineRule="exact"/>
              <w:rPr>
                <w:sz w:val="20"/>
                <w:szCs w:val="20"/>
                <w:color w:val="auto"/>
              </w:rPr>
            </w:pPr>
            <w:r>
              <w:rPr>
                <w:rFonts w:ascii="Arial" w:cs="Arial" w:eastAsia="Arial" w:hAnsi="Arial"/>
                <w:sz w:val="14"/>
                <w:szCs w:val="14"/>
                <w:b w:val="1"/>
                <w:bCs w:val="1"/>
                <w:color w:val="auto"/>
              </w:rPr>
              <w:t>NOTES TO CONSOLIDATED FINANCIAL STATEMENTS – (Continued)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5"/>
          </w:tcPr>
          <w:p>
            <w:pPr>
              <w:jc w:val="center"/>
              <w:ind w:right="1560"/>
              <w:spacing w:after="0" w:line="149" w:lineRule="exact"/>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82"/>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260" w:type="dxa"/>
            <w:vAlign w:val="bottom"/>
            <w:gridSpan w:val="2"/>
            <w:vMerge w:val="continue"/>
          </w:tcPr>
          <w:p>
            <w:pPr>
              <w:spacing w:after="0"/>
              <w:rPr>
                <w:sz w:val="12"/>
                <w:szCs w:val="12"/>
                <w:color w:val="auto"/>
              </w:rPr>
            </w:pPr>
          </w:p>
        </w:tc>
        <w:tc>
          <w:tcPr>
            <w:tcW w:w="1620" w:type="dxa"/>
            <w:vAlign w:val="bottom"/>
            <w:gridSpan w:val="2"/>
          </w:tcPr>
          <w:p>
            <w:pPr>
              <w:spacing w:after="0"/>
              <w:rPr>
                <w:sz w:val="12"/>
                <w:szCs w:val="12"/>
                <w:color w:val="auto"/>
              </w:rPr>
            </w:pPr>
          </w:p>
        </w:tc>
        <w:tc>
          <w:tcPr>
            <w:tcW w:w="94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revenue</w:t>
            </w:r>
          </w:p>
        </w:tc>
        <w:tc>
          <w:tcPr>
            <w:tcW w:w="1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$1,828,378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2,402,530</w:t>
            </w:r>
          </w:p>
        </w:tc>
        <w:tc>
          <w:tcPr>
            <w:tcW w:w="100" w:type="dxa"/>
            <w:vAlign w:val="bottom"/>
            <w:tcBorders>
              <w:top w:val="single" w:sz="8" w:color="CCEEFF"/>
            </w:tcBorders>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1620" w:type="dxa"/>
            <w:vAlign w:val="bottom"/>
            <w:gridSpan w:val="2"/>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10,347,049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28,237,445</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620" w:type="dxa"/>
            <w:vAlign w:val="bottom"/>
            <w:gridSpan w:val="2"/>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(8,518,671)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(25,834,915)</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1"/>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3"/>
          </w:tcPr>
          <w:p>
            <w:pPr>
              <w:jc w:val="center"/>
              <w:ind w:right="1880"/>
              <w:spacing w:after="0"/>
              <w:rPr>
                <w:sz w:val="20"/>
                <w:szCs w:val="20"/>
                <w:color w:val="auto"/>
              </w:rPr>
            </w:pPr>
            <w:r>
              <w:rPr>
                <w:rFonts w:ascii="Arial" w:cs="Arial" w:eastAsia="Arial" w:hAnsi="Arial"/>
                <w:sz w:val="14"/>
                <w:szCs w:val="14"/>
                <w:color w:val="auto"/>
                <w:w w:val="97"/>
              </w:rPr>
              <w:t>F-23</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8"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115" w:lineRule="exact"/>
        <w:rPr>
          <w:sz w:val="20"/>
          <w:szCs w:val="20"/>
          <w:color w:val="auto"/>
        </w:rPr>
      </w:pPr>
    </w:p>
    <w:p>
      <w:pPr>
        <w:ind w:right="220" w:firstLine="685"/>
        <w:spacing w:after="0" w:line="256"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5"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jc w:val="both"/>
        <w:ind w:right="180" w:firstLine="685"/>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2016, our internal control over financial reporting is effective based on those criteria.</w:t>
      </w:r>
    </w:p>
    <w:p>
      <w:pPr>
        <w:spacing w:after="0" w:line="115" w:lineRule="exact"/>
        <w:rPr>
          <w:sz w:val="20"/>
          <w:szCs w:val="20"/>
          <w:color w:val="auto"/>
        </w:rPr>
      </w:pPr>
    </w:p>
    <w:p>
      <w:pPr>
        <w:ind w:right="860" w:firstLine="685"/>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2016. This report appears on page 47.</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4" w:lineRule="exact"/>
        <w:rPr>
          <w:sz w:val="20"/>
          <w:szCs w:val="20"/>
          <w:color w:val="auto"/>
        </w:rPr>
      </w:pPr>
    </w:p>
    <w:p>
      <w:pPr>
        <w:ind w:right="20" w:firstLine="685"/>
        <w:spacing w:after="0" w:line="234" w:lineRule="auto"/>
        <w:rPr>
          <w:sz w:val="20"/>
          <w:szCs w:val="20"/>
          <w:color w:val="auto"/>
        </w:rPr>
      </w:pPr>
      <w:r>
        <w:rPr>
          <w:rFonts w:ascii="Arial" w:cs="Arial" w:eastAsia="Arial" w:hAnsi="Arial"/>
          <w:sz w:val="14"/>
          <w:szCs w:val="14"/>
          <w:color w:val="auto"/>
        </w:rPr>
        <w:t>We have audited the accompanying consolidated statements of assets and liabilities of PennantPark Investment Corporation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15"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ind w:right="360"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2016 and 2015, and the results of their operations, changes in net assets and their cash flows for each of the three years in the period then ended September 30, 2016, in conformity with U.S. generally accepted accounting principles.</w:t>
      </w:r>
    </w:p>
    <w:p>
      <w:pPr>
        <w:spacing w:after="0" w:line="115" w:lineRule="exact"/>
        <w:rPr>
          <w:sz w:val="20"/>
          <w:szCs w:val="20"/>
          <w:color w:val="auto"/>
        </w:rPr>
      </w:pPr>
    </w:p>
    <w:p>
      <w:pPr>
        <w:ind w:right="60" w:firstLine="685"/>
        <w:spacing w:after="0" w:line="234"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Investment Corporation and its Subsidiaries’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and our report dated November 21, 2016 expressed an unqualified opinion on the effectiveness of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21, 2016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4"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 xml:space="preserve">We have audited PennantPark Investment Corporation and its Subsidiaries’ (collectively referred to as the “Company”)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7"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1" w:lineRule="exact"/>
        <w:rPr>
          <w:sz w:val="20"/>
          <w:szCs w:val="20"/>
          <w:color w:val="auto"/>
        </w:rPr>
      </w:pPr>
    </w:p>
    <w:p>
      <w:pPr>
        <w:ind w:right="20" w:firstLine="685"/>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right="100"/>
        <w:spacing w:after="0" w:line="2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w:t>
      </w:r>
      <w:r>
        <w:rPr>
          <w:rFonts w:ascii="Arial" w:cs="Arial" w:eastAsia="Arial" w:hAnsi="Arial"/>
          <w:sz w:val="14"/>
          <w:szCs w:val="14"/>
          <w:color w:val="auto"/>
        </w:rPr>
        <w:t>) pertain to the maintenance of records that, in reasonable detail, accurately and fairly reflect the transactions and dispositions of the assets of the company; (</w:t>
      </w:r>
      <w:r>
        <w:rPr>
          <w:rFonts w:ascii="Arial" w:cs="Arial" w:eastAsia="Arial" w:hAnsi="Arial"/>
          <w:sz w:val="14"/>
          <w:szCs w:val="14"/>
          <w:i w:val="1"/>
          <w:iCs w:val="1"/>
          <w:color w:val="auto"/>
        </w:rPr>
        <w:t>b</w:t>
      </w:r>
      <w:r>
        <w:rPr>
          <w:rFonts w:ascii="Arial" w:cs="Arial" w:eastAsia="Arial" w:hAnsi="Arial"/>
          <w:sz w:val="14"/>
          <w:szCs w:val="14"/>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4"/>
          <w:szCs w:val="14"/>
          <w:i w:val="1"/>
          <w:iCs w:val="1"/>
          <w:color w:val="auto"/>
        </w:rPr>
        <w:t>c</w:t>
      </w:r>
      <w:r>
        <w:rPr>
          <w:rFonts w:ascii="Arial" w:cs="Arial" w:eastAsia="Arial" w:hAnsi="Arial"/>
          <w:sz w:val="14"/>
          <w:szCs w:val="14"/>
          <w:color w:val="auto"/>
        </w:rPr>
        <w:t>)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20" w:firstLine="685"/>
        <w:spacing w:after="0" w:line="29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3" w:lineRule="exact"/>
        <w:rPr>
          <w:sz w:val="20"/>
          <w:szCs w:val="20"/>
          <w:color w:val="auto"/>
        </w:rPr>
      </w:pPr>
    </w:p>
    <w:p>
      <w:pPr>
        <w:ind w:right="60" w:firstLine="685"/>
        <w:spacing w:after="0" w:line="253" w:lineRule="auto"/>
        <w:rPr>
          <w:sz w:val="20"/>
          <w:szCs w:val="20"/>
          <w:color w:val="auto"/>
        </w:rPr>
      </w:pPr>
      <w:r>
        <w:rPr>
          <w:rFonts w:ascii="Arial" w:cs="Arial" w:eastAsia="Arial" w:hAnsi="Arial"/>
          <w:sz w:val="14"/>
          <w:szCs w:val="14"/>
          <w:color w:val="auto"/>
        </w:rPr>
        <w:t xml:space="preserve">In our opinion, PennantPark Investment Corporation and its Subsidiaries maintained, in all material respects, effective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2013.</w:t>
      </w:r>
    </w:p>
    <w:p>
      <w:pPr>
        <w:spacing w:after="0" w:line="93"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statements of assets and liabilities of PennantPark Investment Corporation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21, 2016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21, 2016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29"/>
        </w:trPr>
        <w:tc>
          <w:tcPr>
            <w:tcW w:w="20" w:type="dxa"/>
            <w:vAlign w:val="bottom"/>
          </w:tcPr>
          <w:p>
            <w:pPr>
              <w:spacing w:after="0"/>
              <w:rPr>
                <w:sz w:val="11"/>
                <w:szCs w:val="11"/>
                <w:color w:val="auto"/>
              </w:rPr>
            </w:pPr>
          </w:p>
        </w:tc>
        <w:tc>
          <w:tcPr>
            <w:tcW w:w="8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Non-controlled, non-affiliated investments (cost—$805,189,545 and $1,138,155,969, respectively)</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813,467,491</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1,096,719,079</w:t>
            </w:r>
          </w:p>
        </w:tc>
      </w:tr>
      <w:tr>
        <w:trPr>
          <w:trHeight w:val="149"/>
        </w:trPr>
        <w:tc>
          <w:tcPr>
            <w:tcW w:w="20" w:type="dxa"/>
            <w:vAlign w:val="bottom"/>
          </w:tcPr>
          <w:p>
            <w:pPr>
              <w:spacing w:after="0"/>
              <w:rPr>
                <w:sz w:val="12"/>
                <w:szCs w:val="12"/>
                <w:color w:val="auto"/>
              </w:rPr>
            </w:pPr>
          </w:p>
        </w:tc>
        <w:tc>
          <w:tcPr>
            <w:tcW w:w="8380" w:type="dxa"/>
            <w:vAlign w:val="bottom"/>
          </w:tcPr>
          <w:p>
            <w:pPr>
              <w:ind w:left="140"/>
              <w:spacing w:after="0" w:line="149" w:lineRule="exact"/>
              <w:rPr>
                <w:sz w:val="20"/>
                <w:szCs w:val="20"/>
                <w:color w:val="auto"/>
              </w:rPr>
            </w:pPr>
            <w:r>
              <w:rPr>
                <w:rFonts w:ascii="Arial" w:cs="Arial" w:eastAsia="Arial" w:hAnsi="Arial"/>
                <w:sz w:val="14"/>
                <w:szCs w:val="14"/>
                <w:color w:val="auto"/>
              </w:rPr>
              <w:t>Non-controlled, affiliated investments (cost—$262,476,906 and $133,693,295, respectively)</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215,192,547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95,503,104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Controlled, affiliated investments (cost—$186,290,695 and $152,387,898, respectively)</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125,019,637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106,825,650</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140"/>
              <w:spacing w:after="0" w:line="155" w:lineRule="exact"/>
              <w:rPr>
                <w:sz w:val="20"/>
                <w:szCs w:val="20"/>
                <w:color w:val="auto"/>
              </w:rPr>
            </w:pPr>
            <w:r>
              <w:rPr>
                <w:rFonts w:ascii="Arial" w:cs="Arial" w:eastAsia="Arial" w:hAnsi="Arial"/>
                <w:sz w:val="14"/>
                <w:szCs w:val="14"/>
                <w:color w:val="auto"/>
              </w:rPr>
              <w:t>Total of investments (cost—$1,253,957,146 and $1,424,237,162, respectively)</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1,153,679,675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1,299,047,833</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(cost—$75,617,133 and $49,637,415, respectively)</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75,608,113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49,619,256</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7,032,858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7,590,197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2,615,232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8,790,944</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19,897,034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20,430,492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3,591,177</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Credit Facility payable (cost—$50,339,700 and $136,864,300, respectively) (See Notes 5 and 11)</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39,551,187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132,356,860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11)</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254,175,000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253,102,500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SBA debentures payable (par—$197,500,000 and $150,000,000, respectively) (See Notes 5 and 11)</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193,244,534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146,269,957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11)</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72,618,000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71,136,000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Base management fee payable, net (See Note 3)</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5,074,830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6,602,029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2,865,444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5,007,792</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Interest payable on debt</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7,520,113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7,638,514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622,880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2,322,367</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648,457,688</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12)</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8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71,060,836 and 72,966,043 shares issued and outstanding, respectively.</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 value $0.001 per share and 100,000,000 shares authorized.</w:t>
            </w: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71,061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72,966</w:t>
            </w: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819,983,676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834,711,229</w:t>
            </w: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Undistributed (distributions in excess of) net investment income</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3,119,380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(13,424,886)</w:t>
            </w: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2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(84,771,820)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18,919,305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(100,280,954)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(125,207,012)</w:t>
            </w:r>
          </w:p>
        </w:tc>
      </w:tr>
      <w:tr>
        <w:trPr>
          <w:trHeight w:val="156"/>
        </w:trPr>
        <w:tc>
          <w:tcPr>
            <w:tcW w:w="20" w:type="dxa"/>
            <w:vAlign w:val="bottom"/>
          </w:tcPr>
          <w:p>
            <w:pPr>
              <w:spacing w:after="0"/>
              <w:rPr>
                <w:sz w:val="13"/>
                <w:szCs w:val="13"/>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5,245,513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1,518,940</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net assets</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643,366,856</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716,590,542</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3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9.05</w:t>
            </w:r>
          </w:p>
        </w:tc>
        <w:tc>
          <w:tcPr>
            <w:tcW w:w="4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9.82</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104,508,016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130,647,588</w:t>
            </w:r>
          </w:p>
        </w:tc>
        <w:tc>
          <w:tcPr>
            <w:tcW w:w="2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124,850,558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10,945,240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9,644,816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9,692,254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13,055,367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11,694,525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5,656,300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80,521</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175,937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13,481,683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5,366,425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7,278,060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4,100,000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459,166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142,070,827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161,629,291</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147,936,338</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Base management fee (See Note 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24,852,898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26,695,653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24,291,420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16,018,790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20,564,559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17,832,129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and expenses on debt (See Note 11)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27,601,242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26,355,081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20,260,652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3,566,667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2,686,765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2,953,423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3,605,923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3,069,144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2,860,094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Expenses before Management Fees waiver, provision for taxes and debt issuance costs</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75,645,520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79,371,202</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68,197,718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 waiver (See Note 3)</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(6,539,475)</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Provision for taxes</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2,350,000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issuance costs (See Note 5)</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8,337,500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expenses</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71,456,045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79,371,202</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76,607,821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investment income</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70,614,782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82,258,089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71,328,517</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(80,530,707)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30,111,694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30,235,265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48,052,466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(113,376,060)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468,076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20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(23,126,408)</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(10,949,885)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11,993,189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depreciation (appreciation) (See Notes 5 and 11)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3,726,573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1,710,510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(3,041,570)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28,652,631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(122,615,435)</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9,419,695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(51,878,076)</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(92,503,741)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39,654,960</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(10,245,652</w:t>
            </w:r>
          </w:p>
        </w:tc>
        <w:tc>
          <w:tcPr>
            <w:tcW w:w="380" w:type="dxa"/>
            <w:vAlign w:val="bottom"/>
          </w:tcPr>
          <w:p>
            <w:pPr>
              <w:jc w:val="right"/>
              <w:ind w:right="29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4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(decrease) in net assets resulting from operations per common share</w:t>
            </w:r>
          </w:p>
        </w:tc>
        <w:tc>
          <w:tcPr>
            <w:tcW w:w="200" w:type="dxa"/>
            <w:vAlign w:val="bottom"/>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0.26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99"/>
              <w:spacing w:after="0" w:line="143" w:lineRule="exact"/>
              <w:rPr>
                <w:sz w:val="20"/>
                <w:szCs w:val="20"/>
                <w:color w:val="auto"/>
              </w:rPr>
            </w:pPr>
            <w:r>
              <w:rPr>
                <w:rFonts w:ascii="Arial" w:cs="Arial" w:eastAsia="Arial" w:hAnsi="Arial"/>
                <w:sz w:val="14"/>
                <w:szCs w:val="14"/>
                <w:color w:val="auto"/>
              </w:rPr>
              <w:t>(0.14)</w:t>
            </w:r>
          </w:p>
        </w:tc>
        <w:tc>
          <w:tcPr>
            <w:tcW w:w="220" w:type="dxa"/>
            <w:vAlign w:val="bottom"/>
            <w:gridSpan w:val="2"/>
            <w:shd w:val="clear" w:color="auto" w:fill="CCEEFF"/>
          </w:tcPr>
          <w:p>
            <w:pPr>
              <w:jc w:val="right"/>
              <w:ind w:right="69"/>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8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0.99</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8"/>
              </w:rPr>
              <w:t>Years Ended September 30,</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Net investment income</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70,614,782</w:t>
            </w:r>
          </w:p>
        </w:tc>
        <w:tc>
          <w:tcPr>
            <w:tcW w:w="200" w:type="dxa"/>
            <w:vAlign w:val="bottom"/>
          </w:tcPr>
          <w:p>
            <w:pPr>
              <w:spacing w:after="0"/>
              <w:rPr>
                <w:sz w:val="12"/>
                <w:szCs w:val="12"/>
                <w:color w:val="auto"/>
              </w:rPr>
            </w:pPr>
          </w:p>
        </w:tc>
        <w:tc>
          <w:tcPr>
            <w:tcW w:w="6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82,258,089</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71,328,517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realized (loss) gain on investments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(80,530,707)</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30,111,694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30,235,265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24,926,058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(124,325,945)</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12,461,265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3,726,573</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1,710,510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(3,041,570)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(10,245,652)</w:t>
            </w:r>
          </w:p>
        </w:tc>
        <w:tc>
          <w:tcPr>
            <w:tcW w:w="6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Distribution of net investment income</w:t>
            </w:r>
          </w:p>
        </w:tc>
        <w:tc>
          <w:tcPr>
            <w:tcW w:w="2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(58,068,894)</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(83,275,238)</w:t>
            </w: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(76,937,761)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Distribution of realized gains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(21,711,007)</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(79,779,901)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(83,275,238)</w:t>
            </w:r>
          </w:p>
        </w:tc>
        <w:tc>
          <w:tcPr>
            <w:tcW w:w="6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(76,937,761)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Public offerings</w:t>
            </w:r>
          </w:p>
        </w:tc>
        <w:tc>
          <w:tcPr>
            <w:tcW w:w="2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98,855,000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Offering costs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(3,465,650)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(12,180,491)</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(17,898,517)</w:t>
            </w: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Reinvestment of distributions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1,068,684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(12,180,491)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(17,898,517)</w:t>
            </w:r>
          </w:p>
        </w:tc>
        <w:tc>
          <w:tcPr>
            <w:tcW w:w="6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96,458,034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net assets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(73,223,686)</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(111,419,407)</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130,503,750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Beginning of year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716,590,542</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828,009,949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Pr>
          <w:p>
            <w:pPr>
              <w:ind w:left="280"/>
              <w:spacing w:after="0" w:line="155" w:lineRule="exact"/>
              <w:rPr>
                <w:sz w:val="20"/>
                <w:szCs w:val="20"/>
                <w:color w:val="auto"/>
              </w:rPr>
            </w:pPr>
            <w:r>
              <w:rPr>
                <w:rFonts w:ascii="Arial" w:cs="Arial" w:eastAsia="Arial" w:hAnsi="Arial"/>
                <w:sz w:val="14"/>
                <w:szCs w:val="14"/>
                <w:color w:val="auto"/>
              </w:rPr>
              <w:t>End of year</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643,366,856</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716,590,542</w:t>
            </w:r>
          </w:p>
        </w:tc>
        <w:tc>
          <w:tcPr>
            <w:tcW w:w="6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Undistributed (distributions in excess of) net investment income, end of year</w:t>
            </w:r>
          </w:p>
        </w:tc>
        <w:tc>
          <w:tcPr>
            <w:tcW w:w="260" w:type="dxa"/>
            <w:vAlign w:val="bottom"/>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3,119,380</w:t>
            </w:r>
          </w:p>
        </w:tc>
        <w:tc>
          <w:tcPr>
            <w:tcW w:w="620" w:type="dxa"/>
            <w:vAlign w:val="bottom"/>
            <w:gridSpan w:val="2"/>
            <w:shd w:val="clear" w:color="auto" w:fill="CCEEFF"/>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(13,424,886)</w:t>
            </w:r>
          </w:p>
        </w:tc>
        <w:tc>
          <w:tcPr>
            <w:tcW w:w="260" w:type="dxa"/>
            <w:vAlign w:val="bottom"/>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(11,802,580)</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Shares of common stock (repurchased) / issued from public offerings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(1,905,207)</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(2,126,868)</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280"/>
              <w:spacing w:after="0"/>
              <w:rPr>
                <w:sz w:val="20"/>
                <w:szCs w:val="20"/>
                <w:color w:val="auto"/>
              </w:rPr>
            </w:pPr>
            <w:r>
              <w:rPr>
                <w:rFonts w:ascii="Arial" w:cs="Arial" w:eastAsia="Arial" w:hAnsi="Arial"/>
                <w:sz w:val="14"/>
                <w:szCs w:val="14"/>
                <w:color w:val="auto"/>
              </w:rPr>
              <w:t>Shares issued from reinvestment of distributions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8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93,584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2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18,736,706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(10,245,652)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110,983,477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w w:val="98"/>
              </w:rPr>
              <w:t>Adjustments to reconcile net increase (decrease) in net assets resulting from operations to net cash provided by (used in)</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(24,926,058)</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124,325,945</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(12,461,265)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(depreciation) appreciation on debt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(3,726,573)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(1,710,510)</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3,041,570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Net realized loss (gain) on investments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80,530,707</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(30,111,694)</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(30,235,265)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(5,251,804)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(6,341,502)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(8,027,104)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Purchase of investments</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(330,552,035)</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(461,293,170)</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(795,089,483)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income</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(15,123,817)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(13,869,582)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(10,961,812)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439,738,846</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390,474,733</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625,551,026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interest receivable</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557,339</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6,113,328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(2,808,632)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6,175,712</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474,481</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(7,498,949)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 payable for investments purchased</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(3,591,177)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(841,323)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(48,112,204)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interest payable on debt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(118,401)</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5,676,250</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626,452</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554,756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base management fee payable, net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(1,527,199)</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216,926</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965,546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performance-based incentive fee payable, net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(2,142,348)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385,038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347,873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(1,699,487)</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(791,316)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1,103,877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157,706,863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3,016,708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(172,535,005)</w:t>
            </w: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Public offerings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Offering costs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(3,465,650)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(12,180,491)</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(17,898,517)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Deferred financing costs</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(1,151,875)</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(80,313,359)</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(83,870,760)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(73,462,877)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Borrowings under SBA debentures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47,500,000</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2019 and 2025 Notes issuances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Borrowings under Credit Facility</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413,664,923</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644,000,000</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1,186,753,100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Repayments under Credit Facility</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(500,189,523)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(562,362,000)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(1,277,026,800)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(132,670,325)</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(20,131,277)</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180,902,773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25,036,538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(17,114,569)</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8,367,768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952,319</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215,143</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(289,915)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year</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49,619,256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66,518,682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66,518,682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Interest paid</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27,093,191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20,124,075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19,575,955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Taxes paid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2,549,392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61,748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8,278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200"/>
              <w:spacing w:after="0"/>
              <w:rPr>
                <w:sz w:val="20"/>
                <w:szCs w:val="20"/>
                <w:color w:val="auto"/>
              </w:rPr>
            </w:pPr>
            <w:r>
              <w:rPr>
                <w:rFonts w:ascii="Arial" w:cs="Arial" w:eastAsia="Arial" w:hAnsi="Arial"/>
                <w:sz w:val="14"/>
                <w:szCs w:val="14"/>
                <w:color w:val="auto"/>
              </w:rPr>
              <w:t>Distributions reinvested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1,068,682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Non-cash exchanges and conversions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62,949,729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39,765,183</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59,126,053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80" w:type="dxa"/>
            <w:vAlign w:val="bottom"/>
          </w:tcPr>
          <w:p>
            <w:pPr>
              <w:ind w:left="700"/>
              <w:spacing w:after="0" w:line="135" w:lineRule="exact"/>
              <w:rPr>
                <w:sz w:val="20"/>
                <w:szCs w:val="20"/>
                <w:color w:val="auto"/>
              </w:rPr>
            </w:pPr>
            <w:r>
              <w:rPr>
                <w:rFonts w:ascii="Arial" w:cs="Arial" w:eastAsia="Arial" w:hAnsi="Arial"/>
                <w:sz w:val="13"/>
                <w:szCs w:val="13"/>
                <w:b w:val="1"/>
                <w:bCs w:val="1"/>
                <w:color w:val="auto"/>
              </w:rPr>
              <w:t>Maturity /</w:t>
            </w:r>
          </w:p>
        </w:tc>
        <w:tc>
          <w:tcPr>
            <w:tcW w:w="1900" w:type="dxa"/>
            <w:vAlign w:val="bottom"/>
          </w:tcPr>
          <w:p>
            <w:pPr>
              <w:spacing w:after="0"/>
              <w:rPr>
                <w:sz w:val="11"/>
                <w:szCs w:val="11"/>
                <w:color w:val="auto"/>
              </w:rPr>
            </w:pPr>
          </w:p>
        </w:tc>
        <w:tc>
          <w:tcPr>
            <w:tcW w:w="96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88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Par /</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2"/>
            <w:vMerge w:val="continue"/>
          </w:tcPr>
          <w:p>
            <w:pPr>
              <w:spacing w:after="0"/>
              <w:rPr>
                <w:sz w:val="13"/>
                <w:szCs w:val="13"/>
                <w:color w:val="auto"/>
              </w:rPr>
            </w:pPr>
          </w:p>
        </w:tc>
        <w:tc>
          <w:tcPr>
            <w:tcW w:w="1380" w:type="dxa"/>
            <w:vAlign w:val="bottom"/>
          </w:tcPr>
          <w:p>
            <w:pPr>
              <w:ind w:left="680"/>
              <w:spacing w:after="0"/>
              <w:rPr>
                <w:sz w:val="20"/>
                <w:szCs w:val="20"/>
                <w:color w:val="auto"/>
              </w:rPr>
            </w:pPr>
            <w:r>
              <w:rPr>
                <w:rFonts w:ascii="Arial" w:cs="Arial" w:eastAsia="Arial" w:hAnsi="Arial"/>
                <w:sz w:val="13"/>
                <w:szCs w:val="13"/>
                <w:b w:val="1"/>
                <w:bCs w:val="1"/>
                <w:color w:val="auto"/>
              </w:rPr>
              <w:t>Expiration</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60" w:type="dxa"/>
            <w:vAlign w:val="bottom"/>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Non-Controlled, Non-Affiliated Portfolio Companies—126.4% </w:t>
            </w:r>
            <w:r>
              <w:rPr>
                <w:rFonts w:ascii="Arial" w:cs="Arial" w:eastAsia="Arial" w:hAnsi="Arial"/>
                <w:sz w:val="10"/>
                <w:szCs w:val="10"/>
                <w:b w:val="1"/>
                <w:bCs w:val="1"/>
                <w:color w:val="auto"/>
                <w:w w:val="93"/>
              </w:rPr>
              <w:t>(1), (2)</w:t>
            </w:r>
          </w:p>
        </w:tc>
        <w:tc>
          <w:tcPr>
            <w:tcW w:w="19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Debt—38.7%</w:t>
            </w:r>
          </w:p>
        </w:tc>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12/21/2020</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23,333,361</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$ 23,071,460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22,210,559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06/03/2021</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9,150,000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8,989,610</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9,085,577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06/03/2021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L+1,225</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9,225,000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9,058,699</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9,160,048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10/21/2020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4,372,074</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4,323,938</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4,284,632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06/30/2020</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24,985,195</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24,786,989</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24,985,195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02/19/2021</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14,522,529</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14,273,869</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14,244,486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01/15/2021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38,391,045</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37,888,445</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38,391,045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38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9"/>
              </w:rPr>
              <w:t>12/16/2019</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11.50%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14,250,000</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14,156,176</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13,359,375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8"/>
              </w:rPr>
              <w:t>Precious Metals</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06/18/2019</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15,948,113</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15,875,684</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15,970,121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04/21/2017</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18,306,549</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18,075,370</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18,215,016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12/28/2020</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11.27%</w:t>
            </w:r>
          </w:p>
        </w:tc>
        <w:tc>
          <w:tcPr>
            <w:tcW w:w="9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(7)</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28,859,421</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28,349,720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28,859,421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02/12/2020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10.88%</w:t>
            </w: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22,512,751</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35,990,065</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28,703,752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Med Acquisition, Inc.</w:t>
            </w:r>
          </w:p>
        </w:tc>
        <w:tc>
          <w:tcPr>
            <w:tcW w:w="138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9"/>
              </w:rPr>
              <w:t>08/13/2021</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L+900</w:t>
            </w:r>
          </w:p>
        </w:tc>
        <w:tc>
          <w:tcPr>
            <w:tcW w:w="88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8,651,563</w:t>
            </w:r>
          </w:p>
        </w:tc>
        <w:tc>
          <w:tcPr>
            <w:tcW w:w="100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8,651,563</w:t>
            </w:r>
          </w:p>
        </w:tc>
        <w:tc>
          <w:tcPr>
            <w:tcW w:w="98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8,651,563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U.S. Well Services, LLC</w:t>
            </w:r>
          </w:p>
        </w:tc>
        <w:tc>
          <w:tcPr>
            <w:tcW w:w="138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9"/>
              </w:rPr>
              <w:t>05/02/2019</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14.02%</w:t>
            </w:r>
          </w:p>
        </w:tc>
        <w:tc>
          <w:tcPr>
            <w:tcW w:w="9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14,988,321</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14,796,715</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12,912,527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(PIK 14.02%)</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258,288,303</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249,033,317</w:t>
            </w:r>
          </w:p>
        </w:tc>
        <w:tc>
          <w:tcPr>
            <w:tcW w:w="0" w:type="dxa"/>
            <w:vAlign w:val="bottom"/>
          </w:tcPr>
          <w:p>
            <w:pPr>
              <w:spacing w:after="0"/>
              <w:rPr>
                <w:sz w:val="1"/>
                <w:szCs w:val="1"/>
                <w:color w:val="auto"/>
              </w:rPr>
            </w:pPr>
          </w:p>
        </w:tc>
      </w:tr>
      <w:tr>
        <w:trPr>
          <w:trHeight w:val="142"/>
        </w:trPr>
        <w:tc>
          <w:tcPr>
            <w:tcW w:w="33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Debt—61.0%</w:t>
            </w:r>
          </w:p>
        </w:tc>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38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9"/>
              </w:rPr>
              <w:t>09/01/2017</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25,400,000</w:t>
            </w:r>
          </w:p>
        </w:tc>
        <w:tc>
          <w:tcPr>
            <w:tcW w:w="100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25,400,000</w:t>
            </w:r>
          </w:p>
        </w:tc>
        <w:tc>
          <w:tcPr>
            <w:tcW w:w="98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17,780,000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03/04/2022</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13.75%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28,500,000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28,253,554</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28,500,000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1380" w:type="dxa"/>
            <w:vAlign w:val="bottom"/>
            <w:shd w:val="clear" w:color="auto" w:fill="CCEEFF"/>
          </w:tcPr>
          <w:p>
            <w:pPr>
              <w:jc w:val="center"/>
              <w:ind w:left="517"/>
              <w:spacing w:after="0" w:line="135" w:lineRule="exact"/>
              <w:rPr>
                <w:sz w:val="20"/>
                <w:szCs w:val="20"/>
                <w:color w:val="auto"/>
              </w:rPr>
            </w:pPr>
            <w:r>
              <w:rPr>
                <w:rFonts w:ascii="Arial" w:cs="Arial" w:eastAsia="Arial" w:hAnsi="Arial"/>
                <w:sz w:val="13"/>
                <w:szCs w:val="13"/>
                <w:color w:val="auto"/>
                <w:w w:val="86"/>
              </w:rPr>
              <w:t>11/01/2018</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26,979,281</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25,422,260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8,633,370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09/30/2020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41,250,000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39,419,316</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37,125,000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03/01/2017</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4,887,760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3,739,797</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2,932,656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10/29/2019</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L+1,175</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51,775,000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51,362,786</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51,775,000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MailSouth, Inc.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10/22/2021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L+1,050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26,425,000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25,926,258</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07/07/2021</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12.25%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L+1,100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41,250,000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40,929,816</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41,250,000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12/17/2021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L+1,200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75,000,000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75,000,000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76,229,058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10/02/2020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L+775</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18,270,159</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18,101,798</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18,201,646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38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9"/>
              </w:rPr>
              <w:t>07/01/2020</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10.25%</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L+900</w:t>
            </w:r>
          </w:p>
        </w:tc>
        <w:tc>
          <w:tcPr>
            <w:tcW w:w="88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56,750,000</w:t>
            </w:r>
          </w:p>
        </w:tc>
        <w:tc>
          <w:tcPr>
            <w:tcW w:w="100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56,202,295</w:t>
            </w:r>
          </w:p>
        </w:tc>
        <w:tc>
          <w:tcPr>
            <w:tcW w:w="98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56,087,727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38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9"/>
              </w:rPr>
              <w:t>07/01/2022</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9.75%</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L+875</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14,798,077</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14,613,655</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15,029,371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01/30/2023</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10.75%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L+975</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12,862,500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12,441,130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12,862,500</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4"/>
              </w:rPr>
              <w:t>416,812,665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392,831,328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Notes—15.9%</w:t>
            </w:r>
          </w:p>
        </w:tc>
        <w:tc>
          <w:tcPr>
            <w:tcW w:w="1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02/15/2019</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L+1,200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8,930,000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8,844,669</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8,831,201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08/20/2021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32,675,553</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32,055,101</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32,675,553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38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9"/>
              </w:rPr>
              <w:t>10/26/2018</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11,035,083</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10,937,329</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10,538,501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(PIK 1.75%)</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1380" w:type="dxa"/>
            <w:vAlign w:val="bottom"/>
            <w:shd w:val="clear" w:color="auto" w:fill="CCEEFF"/>
          </w:tcPr>
          <w:p>
            <w:pPr>
              <w:jc w:val="center"/>
              <w:ind w:left="497"/>
              <w:spacing w:after="0" w:line="124" w:lineRule="exact"/>
              <w:rPr>
                <w:sz w:val="20"/>
                <w:szCs w:val="20"/>
                <w:color w:val="auto"/>
              </w:rPr>
            </w:pPr>
            <w:r>
              <w:rPr>
                <w:rFonts w:ascii="Arial" w:cs="Arial" w:eastAsia="Arial" w:hAnsi="Arial"/>
                <w:sz w:val="13"/>
                <w:szCs w:val="13"/>
                <w:color w:val="auto"/>
                <w:w w:val="89"/>
              </w:rPr>
              <w:t>02/19/2018</w:t>
            </w:r>
          </w:p>
        </w:tc>
        <w:tc>
          <w:tcPr>
            <w:tcW w:w="190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7"/>
              </w:rPr>
              <w:t>Healthcare, Education and</w:t>
            </w:r>
          </w:p>
        </w:tc>
        <w:tc>
          <w:tcPr>
            <w:tcW w:w="960" w:type="dxa"/>
            <w:vAlign w:val="bottom"/>
            <w:shd w:val="clear" w:color="auto" w:fill="CCEEFF"/>
          </w:tcPr>
          <w:p>
            <w:pPr>
              <w:jc w:val="right"/>
              <w:ind w:right="117"/>
              <w:spacing w:after="0" w:line="124" w:lineRule="exact"/>
              <w:rPr>
                <w:sz w:val="20"/>
                <w:szCs w:val="20"/>
                <w:color w:val="auto"/>
              </w:rPr>
            </w:pPr>
            <w:r>
              <w:rPr>
                <w:rFonts w:ascii="Arial" w:cs="Arial" w:eastAsia="Arial" w:hAnsi="Arial"/>
                <w:sz w:val="13"/>
                <w:szCs w:val="13"/>
                <w:color w:val="auto"/>
              </w:rPr>
              <w:t>14.50%</w:t>
            </w:r>
          </w:p>
        </w:tc>
        <w:tc>
          <w:tcPr>
            <w:tcW w:w="980" w:type="dxa"/>
            <w:vAlign w:val="bottom"/>
            <w:shd w:val="clear" w:color="auto" w:fill="CCEEFF"/>
          </w:tcPr>
          <w:p>
            <w:pPr>
              <w:jc w:val="right"/>
              <w:ind w:right="197"/>
              <w:spacing w:after="0" w:line="124" w:lineRule="exact"/>
              <w:rPr>
                <w:sz w:val="20"/>
                <w:szCs w:val="20"/>
                <w:color w:val="auto"/>
              </w:rPr>
            </w:pPr>
            <w:r>
              <w:rPr>
                <w:rFonts w:ascii="Arial" w:cs="Arial" w:eastAsia="Arial" w:hAnsi="Arial"/>
                <w:sz w:val="13"/>
                <w:szCs w:val="13"/>
                <w:color w:val="auto"/>
              </w:rPr>
              <w:t>L+1,000</w:t>
            </w:r>
          </w:p>
        </w:tc>
        <w:tc>
          <w:tcPr>
            <w:tcW w:w="880" w:type="dxa"/>
            <w:vAlign w:val="bottom"/>
            <w:shd w:val="clear" w:color="auto" w:fill="CCEEFF"/>
          </w:tcPr>
          <w:p>
            <w:pPr>
              <w:jc w:val="right"/>
              <w:ind w:right="97"/>
              <w:spacing w:after="0" w:line="124" w:lineRule="exact"/>
              <w:rPr>
                <w:sz w:val="20"/>
                <w:szCs w:val="20"/>
                <w:color w:val="auto"/>
              </w:rPr>
            </w:pPr>
            <w:r>
              <w:rPr>
                <w:rFonts w:ascii="Arial" w:cs="Arial" w:eastAsia="Arial" w:hAnsi="Arial"/>
                <w:sz w:val="13"/>
                <w:szCs w:val="13"/>
                <w:color w:val="auto"/>
              </w:rPr>
              <w:t>8,375,600</w:t>
            </w:r>
          </w:p>
        </w:tc>
        <w:tc>
          <w:tcPr>
            <w:tcW w:w="1000" w:type="dxa"/>
            <w:vAlign w:val="bottom"/>
            <w:gridSpan w:val="3"/>
            <w:shd w:val="clear" w:color="auto" w:fill="CCEEFF"/>
          </w:tcPr>
          <w:p>
            <w:pPr>
              <w:jc w:val="right"/>
              <w:ind w:right="120"/>
              <w:spacing w:after="0" w:line="124" w:lineRule="exact"/>
              <w:rPr>
                <w:sz w:val="20"/>
                <w:szCs w:val="20"/>
                <w:color w:val="auto"/>
              </w:rPr>
            </w:pPr>
            <w:r>
              <w:rPr>
                <w:rFonts w:ascii="Arial" w:cs="Arial" w:eastAsia="Arial" w:hAnsi="Arial"/>
                <w:sz w:val="13"/>
                <w:szCs w:val="13"/>
                <w:color w:val="auto"/>
              </w:rPr>
              <w:t>12,306,414</w:t>
            </w:r>
          </w:p>
        </w:tc>
        <w:tc>
          <w:tcPr>
            <w:tcW w:w="980" w:type="dxa"/>
            <w:vAlign w:val="bottom"/>
            <w:gridSpan w:val="3"/>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rPr>
              <w:t>10,855,976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(PIK 6.00%)</w:t>
            </w: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04/15/2020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26,500,000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26,617,239</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26,309,750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05/13/2021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13,300,000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13,090,281</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13,300,000</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Subordinated Debt/Corporate Notes</w:t>
            </w:r>
          </w:p>
        </w:tc>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4"/>
              </w:rPr>
              <w:t>103,851,033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102,510,981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Equity/Partnership Interests—0.8% </w:t>
            </w:r>
            <w:r>
              <w:rPr>
                <w:rFonts w:ascii="Arial" w:cs="Arial" w:eastAsia="Arial" w:hAnsi="Arial"/>
                <w:sz w:val="10"/>
                <w:szCs w:val="10"/>
                <w:b w:val="1"/>
                <w:bCs w:val="1"/>
                <w:color w:val="auto"/>
              </w:rPr>
              <w:t>(6)</w:t>
            </w:r>
          </w:p>
        </w:tc>
        <w:tc>
          <w:tcPr>
            <w:tcW w:w="1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1380" w:type="dxa"/>
            <w:vAlign w:val="bottom"/>
          </w:tcPr>
          <w:p>
            <w:pPr>
              <w:jc w:val="center"/>
              <w:ind w:left="517"/>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211</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500,000</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128,457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380" w:type="dxa"/>
            <w:vAlign w:val="bottom"/>
            <w:shd w:val="clear" w:color="auto" w:fill="CCEEFF"/>
          </w:tcPr>
          <w:p>
            <w:pPr>
              <w:jc w:val="center"/>
              <w:ind w:left="517"/>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949</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949,050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1,081,633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380" w:type="dxa"/>
            <w:vAlign w:val="bottom"/>
          </w:tcPr>
          <w:p>
            <w:pPr>
              <w:jc w:val="center"/>
              <w:ind w:left="517"/>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2,375</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2,088,121</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2,396,892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380" w:type="dxa"/>
            <w:vAlign w:val="bottom"/>
            <w:shd w:val="clear" w:color="auto" w:fill="CCEEFF"/>
          </w:tcPr>
          <w:p>
            <w:pPr>
              <w:jc w:val="center"/>
              <w:ind w:left="517"/>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3,591</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32,476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380" w:type="dxa"/>
            <w:vAlign w:val="bottom"/>
          </w:tcPr>
          <w:p>
            <w:pPr>
              <w:jc w:val="center"/>
              <w:ind w:left="517"/>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1,197</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1,197,000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1,404,944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4,734,171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5,044,402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2020" w:type="dxa"/>
            <w:vAlign w:val="bottom"/>
          </w:tcPr>
          <w:p>
            <w:pPr>
              <w:spacing w:after="0"/>
              <w:rPr>
                <w:sz w:val="11"/>
                <w:szCs w:val="11"/>
                <w:color w:val="auto"/>
              </w:rPr>
            </w:pPr>
          </w:p>
        </w:tc>
        <w:tc>
          <w:tcPr>
            <w:tcW w:w="94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Current</w:t>
            </w: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Above</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Par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w w:val="97"/>
              </w:rPr>
              <w:t>Expiration</w:t>
            </w: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tcPr>
          <w:p>
            <w:pPr>
              <w:jc w:val="right"/>
              <w:ind w:right="337"/>
              <w:spacing w:after="0"/>
              <w:rPr>
                <w:sz w:val="20"/>
                <w:szCs w:val="20"/>
                <w:color w:val="auto"/>
              </w:rPr>
            </w:pPr>
            <w:r>
              <w:rPr>
                <w:rFonts w:ascii="Arial" w:cs="Arial" w:eastAsia="Arial" w:hAnsi="Arial"/>
                <w:sz w:val="13"/>
                <w:szCs w:val="13"/>
                <w:b w:val="1"/>
                <w:bCs w:val="1"/>
                <w:color w:val="auto"/>
              </w:rPr>
              <w:t>Coupon</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ind w:left="16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 xml:space="preserve">Common Equity/Partnership Interests/Warrants—10.0% </w:t>
            </w:r>
            <w:r>
              <w:rPr>
                <w:rFonts w:ascii="Arial" w:cs="Arial" w:eastAsia="Arial" w:hAnsi="Arial"/>
                <w:sz w:val="10"/>
                <w:szCs w:val="10"/>
                <w:b w:val="1"/>
                <w:bCs w:val="1"/>
                <w:color w:val="auto"/>
              </w:rPr>
              <w:t>(6)</w:t>
            </w: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AH Holdings, Inc. (Warrants)</w:t>
            </w:r>
          </w:p>
        </w:tc>
        <w:tc>
          <w:tcPr>
            <w:tcW w:w="266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2"/>
              </w:rPr>
              <w:t>03/23/2021  Healthcare, Education and Childcare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753</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4"/>
          </w:tcPr>
          <w:p>
            <w:pPr>
              <w:ind w:left="520"/>
              <w:spacing w:after="0" w:line="135"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05/05/2026</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933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1,192,535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1,333,330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6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137,923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2,111,588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(Intermediate Transportation 100, LLC)</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23,600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5,194,738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1,745,639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3,637,907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2,375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2,671,422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938,399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2,513,193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25,141,220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4,277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217,635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354,555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388,378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3,512,420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252,014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2,265,639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1,849,783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493,280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526,382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MidOcean PPL Holdings, Corp. (Pre-Paid Legal Services, Inc.)</w:t>
            </w:r>
          </w:p>
        </w:tc>
        <w:tc>
          <w:tcPr>
            <w:tcW w:w="6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3"/>
                <w:szCs w:val="13"/>
                <w:color w:val="auto"/>
              </w:rPr>
              <w:t>5,959,292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Services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100,885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238,038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908,974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1,350,000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901,263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1,223,409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(10)</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142,300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2,800,010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1,330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133,000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1,022,594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211,797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8,051,139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21,503,373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64,047,463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5"/>
              </w:rPr>
              <w:t>805,189,545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813,467,491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0"/>
              </w:rPr>
              <w:t xml:space="preserve">Investments in Non-Controlled, Affiliated Portfolio Companies—33.5% </w:t>
            </w:r>
            <w:r>
              <w:rPr>
                <w:rFonts w:ascii="Arial" w:cs="Arial" w:eastAsia="Arial" w:hAnsi="Arial"/>
                <w:sz w:val="10"/>
                <w:szCs w:val="10"/>
                <w:b w:val="1"/>
                <w:bCs w:val="1"/>
                <w:color w:val="auto"/>
                <w:w w:val="90"/>
              </w:rPr>
              <w:t>(1), (2)</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Debt—8.3%</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11/25/2020</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10.75%</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L+975</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23,522,250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23,114,058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23,522,250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11/25/2020</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1,942,623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PAS Technologies, Inc.</w:t>
            </w:r>
          </w:p>
        </w:tc>
        <w:tc>
          <w:tcPr>
            <w:tcW w:w="640" w:type="dxa"/>
            <w:vAlign w:val="bottom"/>
          </w:tcPr>
          <w:p>
            <w:pPr>
              <w:jc w:val="center"/>
              <w:spacing w:after="0" w:line="121" w:lineRule="exact"/>
              <w:rPr>
                <w:sz w:val="20"/>
                <w:szCs w:val="20"/>
                <w:color w:val="auto"/>
              </w:rPr>
            </w:pPr>
            <w:r>
              <w:rPr>
                <w:rFonts w:ascii="Arial" w:cs="Arial" w:eastAsia="Arial" w:hAnsi="Arial"/>
                <w:sz w:val="13"/>
                <w:szCs w:val="13"/>
                <w:color w:val="auto"/>
                <w:w w:val="86"/>
              </w:rPr>
              <w:t>03/21/2017</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6.01%</w:t>
            </w: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L+500</w:t>
            </w:r>
          </w:p>
        </w:tc>
        <w:tc>
          <w:tcPr>
            <w:tcW w:w="6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4,434,295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3,357,949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3"/>
                <w:szCs w:val="13"/>
                <w:color w:val="auto"/>
              </w:rPr>
              <w:t>3,946,523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1.00%)</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TRAK Acquisition Corp.</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6"/>
              </w:rPr>
              <w:t>04/30/2018</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4"/>
              </w:rPr>
              <w:t>Business Services</w:t>
            </w:r>
          </w:p>
        </w:tc>
        <w:tc>
          <w:tcPr>
            <w:tcW w:w="940" w:type="dxa"/>
            <w:vAlign w:val="bottom"/>
            <w:shd w:val="clear" w:color="auto" w:fill="CCEEFF"/>
          </w:tcPr>
          <w:p>
            <w:pPr>
              <w:jc w:val="right"/>
              <w:ind w:right="97"/>
              <w:spacing w:after="0" w:line="138" w:lineRule="exact"/>
              <w:rPr>
                <w:sz w:val="20"/>
                <w:szCs w:val="20"/>
                <w:color w:val="auto"/>
              </w:rPr>
            </w:pPr>
            <w:r>
              <w:rPr>
                <w:rFonts w:ascii="Arial" w:cs="Arial" w:eastAsia="Arial" w:hAnsi="Arial"/>
                <w:sz w:val="13"/>
                <w:szCs w:val="13"/>
                <w:color w:val="auto"/>
              </w:rPr>
              <w:t>12.00%</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L+1,050</w:t>
            </w:r>
          </w:p>
        </w:tc>
        <w:tc>
          <w:tcPr>
            <w:tcW w:w="6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92"/>
              </w:rPr>
              <w:t>22,764,911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22,613,930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22,764,911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11/22/2016</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L+1,050</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52,085,937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53,233,684</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Debt—3.9%</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10/31/2018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8.50%</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2"/>
              </w:rPr>
              <w:t>18,000,000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16,960,967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15,825,060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12/26/2017</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L+800</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9,409,740</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9,307,548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9,409,740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26,268,515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25,234,800</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Subordinated Debt/Corporate Notes—11.7%</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07/30/2018</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7.50%</w:t>
            </w: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9,858,025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8,946,674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8,995,448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4.00%)</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11/05/2019</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14,735,238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12,340,534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2,799,695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ETX Energy, LLC (f/k/a New Gulf Resources, LLC), Convertible Note </w:t>
            </w:r>
            <w:r>
              <w:rPr>
                <w:rFonts w:ascii="Arial" w:cs="Arial" w:eastAsia="Arial" w:hAnsi="Arial"/>
                <w:sz w:val="10"/>
                <w:szCs w:val="10"/>
                <w:color w:val="auto"/>
              </w:rPr>
              <w:t>(5)</w:t>
            </w:r>
          </w:p>
        </w:tc>
        <w:tc>
          <w:tcPr>
            <w:tcW w:w="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05/03/2021</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12.50%</w:t>
            </w: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2"/>
              </w:rPr>
              <w:t>25,297,664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36,473,119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35,416,730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12.50%)</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10/02/2017</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12.50%</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28,000,000</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27,841,741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27,908,663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85,602,068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75,120,536</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53,071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20,059,340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4,287,107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Equity/Partnership Interests/Warrants—8.9% </w:t>
            </w:r>
            <w:r>
              <w:rPr>
                <w:rFonts w:ascii="Arial" w:cs="Arial" w:eastAsia="Arial" w:hAnsi="Arial"/>
                <w:sz w:val="10"/>
                <w:szCs w:val="10"/>
                <w:b w:val="1"/>
                <w:bCs w:val="1"/>
                <w:color w:val="auto"/>
              </w:rPr>
              <w:t>(6)</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859,496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30,503,493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32,115,042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37,181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10,265,972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173,844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11,250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1,125,000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2,330,813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11,250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104,719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21,492,822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11/05/2022</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15,486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143,668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11,960,702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13,112,260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ETX Energy, LLC (f/k/a New Gulf Resources, LLC) </w:t>
            </w:r>
            <w:r>
              <w:rPr>
                <w:rFonts w:ascii="Arial" w:cs="Arial" w:eastAsia="Arial" w:hAnsi="Arial"/>
                <w:sz w:val="10"/>
                <w:szCs w:val="10"/>
                <w:color w:val="auto"/>
              </w:rPr>
              <w:t>(10)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113,610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ETX Energy Management Company, LLC (f/k/a NGR Management Company</w:t>
            </w:r>
          </w:p>
        </w:tc>
        <w:tc>
          <w:tcPr>
            <w:tcW w:w="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119,603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LLC) </w:t>
            </w:r>
            <w:r>
              <w:rPr>
                <w:rFonts w:ascii="Arial" w:cs="Arial" w:eastAsia="Arial" w:hAnsi="Arial"/>
                <w:sz w:val="10"/>
                <w:szCs w:val="10"/>
                <w:color w:val="auto"/>
              </w:rPr>
              <w:t>(10)</w:t>
            </w:r>
          </w:p>
        </w:tc>
        <w:tc>
          <w:tcPr>
            <w:tcW w:w="6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16,800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2,721,600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6,989,362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53,071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202,620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491,755</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188,837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2,595,099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78,461,046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57,316,420</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262,476,906</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215,192,547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1"/>
              </w:rPr>
              <w:t>Basis Point</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Maturity /</w:t>
            </w:r>
          </w:p>
        </w:tc>
        <w:tc>
          <w:tcPr>
            <w:tcW w:w="1560" w:type="dxa"/>
            <w:vAlign w:val="bottom"/>
          </w:tcPr>
          <w:p>
            <w:pPr>
              <w:ind w:left="540"/>
              <w:spacing w:after="0" w:line="135" w:lineRule="exact"/>
              <w:rPr>
                <w:sz w:val="20"/>
                <w:szCs w:val="20"/>
                <w:color w:val="auto"/>
              </w:rPr>
            </w:pPr>
            <w:r>
              <w:rPr>
                <w:rFonts w:ascii="Arial" w:cs="Arial" w:eastAsia="Arial" w:hAnsi="Arial"/>
                <w:sz w:val="13"/>
                <w:szCs w:val="13"/>
                <w:b w:val="1"/>
                <w:bCs w:val="1"/>
                <w:color w:val="auto"/>
              </w:rPr>
              <w:t>Industry</w:t>
            </w:r>
          </w:p>
        </w:tc>
        <w:tc>
          <w:tcPr>
            <w:tcW w:w="1240" w:type="dxa"/>
            <w:vAlign w:val="bottom"/>
          </w:tcPr>
          <w:p>
            <w:pPr>
              <w:ind w:left="300"/>
              <w:spacing w:after="0" w:line="135" w:lineRule="exact"/>
              <w:rPr>
                <w:sz w:val="20"/>
                <w:szCs w:val="20"/>
                <w:color w:val="auto"/>
              </w:rPr>
            </w:pPr>
            <w:r>
              <w:rPr>
                <w:rFonts w:ascii="Arial" w:cs="Arial" w:eastAsia="Arial" w:hAnsi="Arial"/>
                <w:sz w:val="13"/>
                <w:szCs w:val="13"/>
                <w:b w:val="1"/>
                <w:bCs w:val="1"/>
                <w:color w:val="auto"/>
              </w:rPr>
              <w:t>Current</w:t>
            </w:r>
          </w:p>
        </w:tc>
        <w:tc>
          <w:tcPr>
            <w:tcW w:w="138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Above</w:t>
            </w:r>
          </w:p>
        </w:tc>
        <w:tc>
          <w:tcPr>
            <w:tcW w:w="96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80" w:type="dxa"/>
            <w:vAlign w:val="bottom"/>
            <w:gridSpan w:val="2"/>
            <w:vMerge w:val="continue"/>
          </w:tcPr>
          <w:p>
            <w:pPr>
              <w:spacing w:after="0"/>
              <w:rPr>
                <w:sz w:val="13"/>
                <w:szCs w:val="13"/>
                <w:color w:val="auto"/>
              </w:rPr>
            </w:pPr>
          </w:p>
        </w:tc>
        <w:tc>
          <w:tcPr>
            <w:tcW w:w="960" w:type="dxa"/>
            <w:vAlign w:val="bottom"/>
          </w:tcPr>
          <w:p>
            <w:pPr>
              <w:ind w:left="120"/>
              <w:spacing w:after="0"/>
              <w:rPr>
                <w:sz w:val="20"/>
                <w:szCs w:val="20"/>
                <w:color w:val="auto"/>
              </w:rPr>
            </w:pPr>
            <w:r>
              <w:rPr>
                <w:rFonts w:ascii="Arial" w:cs="Arial" w:eastAsia="Arial" w:hAnsi="Arial"/>
                <w:sz w:val="13"/>
                <w:szCs w:val="13"/>
                <w:b w:val="1"/>
                <w:bCs w:val="1"/>
                <w:color w:val="auto"/>
              </w:rPr>
              <w:t>Expiration</w:t>
            </w:r>
          </w:p>
        </w:tc>
        <w:tc>
          <w:tcPr>
            <w:tcW w:w="1560" w:type="dxa"/>
            <w:vAlign w:val="bottom"/>
          </w:tcPr>
          <w:p>
            <w:pPr>
              <w:spacing w:after="0"/>
              <w:rPr>
                <w:sz w:val="13"/>
                <w:szCs w:val="13"/>
                <w:color w:val="auto"/>
              </w:rPr>
            </w:pPr>
          </w:p>
        </w:tc>
        <w:tc>
          <w:tcPr>
            <w:tcW w:w="1240" w:type="dxa"/>
            <w:vAlign w:val="bottom"/>
          </w:tcPr>
          <w:p>
            <w:pPr>
              <w:ind w:left="320"/>
              <w:spacing w:after="0"/>
              <w:rPr>
                <w:sz w:val="20"/>
                <w:szCs w:val="20"/>
                <w:color w:val="auto"/>
              </w:rPr>
            </w:pPr>
            <w:r>
              <w:rPr>
                <w:rFonts w:ascii="Arial" w:cs="Arial" w:eastAsia="Arial" w:hAnsi="Arial"/>
                <w:sz w:val="13"/>
                <w:szCs w:val="13"/>
                <w:b w:val="1"/>
                <w:bCs w:val="1"/>
                <w:color w:val="auto"/>
              </w:rPr>
              <w:t>Coupon</w:t>
            </w: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Controlled, Affiliated Portfolio Companies—19.4% </w:t>
            </w:r>
            <w:r>
              <w:rPr>
                <w:rFonts w:ascii="Arial" w:cs="Arial" w:eastAsia="Arial" w:hAnsi="Arial"/>
                <w:sz w:val="10"/>
                <w:szCs w:val="10"/>
                <w:b w:val="1"/>
                <w:bCs w:val="1"/>
                <w:color w:val="auto"/>
                <w:w w:val="93"/>
              </w:rPr>
              <w:t>(1), (2)</w:t>
            </w:r>
          </w:p>
        </w:tc>
        <w:tc>
          <w:tcPr>
            <w:tcW w:w="15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Debt—14.7%</w:t>
            </w: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w:t>
            </w:r>
          </w:p>
        </w:tc>
        <w:tc>
          <w:tcPr>
            <w:tcW w:w="96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9"/>
              </w:rPr>
              <w:t>07/18/2019</w:t>
            </w:r>
          </w:p>
        </w:tc>
        <w:tc>
          <w:tcPr>
            <w:tcW w:w="156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91"/>
              </w:rPr>
              <w:t>Energy and Utilities</w:t>
            </w:r>
          </w:p>
        </w:tc>
        <w:tc>
          <w:tcPr>
            <w:tcW w:w="12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10.00%</w:t>
            </w:r>
          </w:p>
        </w:tc>
        <w:tc>
          <w:tcPr>
            <w:tcW w:w="1380" w:type="dxa"/>
            <w:vAlign w:val="bottom"/>
            <w:gridSpan w:val="2"/>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L+800</w:t>
            </w:r>
          </w:p>
        </w:tc>
        <w:tc>
          <w:tcPr>
            <w:tcW w:w="9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w w:val="92"/>
              </w:rPr>
              <w:t>84,606,067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83,653,689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68,319,399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(PIK 10.00%)</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89"/>
              </w:rPr>
              <w:t>12/31/2018</w:t>
            </w:r>
          </w:p>
        </w:tc>
        <w:tc>
          <w:tcPr>
            <w:tcW w:w="156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95"/>
              </w:rPr>
              <w:t>Media</w:t>
            </w:r>
          </w:p>
        </w:tc>
        <w:tc>
          <w:tcPr>
            <w:tcW w:w="12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14.00%</w:t>
            </w:r>
          </w:p>
        </w:tc>
        <w:tc>
          <w:tcPr>
            <w:tcW w:w="1380" w:type="dxa"/>
            <w:vAlign w:val="bottom"/>
            <w:gridSpan w:val="2"/>
          </w:tcPr>
          <w:p>
            <w:pPr>
              <w:jc w:val="right"/>
              <w:ind w:right="420"/>
              <w:spacing w:after="0" w:line="121" w:lineRule="exact"/>
              <w:rPr>
                <w:sz w:val="20"/>
                <w:szCs w:val="20"/>
                <w:color w:val="auto"/>
              </w:rPr>
            </w:pPr>
            <w:r>
              <w:rPr>
                <w:rFonts w:ascii="Arial" w:cs="Arial" w:eastAsia="Arial" w:hAnsi="Arial"/>
                <w:sz w:val="13"/>
                <w:szCs w:val="13"/>
                <w:color w:val="auto"/>
              </w:rPr>
              <w:t>L+1,300</w:t>
            </w:r>
          </w:p>
        </w:tc>
        <w:tc>
          <w:tcPr>
            <w:tcW w:w="96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w w:val="92"/>
              </w:rPr>
              <w:t>26,516,321</w:t>
            </w:r>
          </w:p>
        </w:tc>
        <w:tc>
          <w:tcPr>
            <w:tcW w:w="80" w:type="dxa"/>
            <w:vAlign w:val="bottom"/>
          </w:tcPr>
          <w:p>
            <w:pPr>
              <w:spacing w:after="0"/>
              <w:rPr>
                <w:sz w:val="10"/>
                <w:szCs w:val="10"/>
                <w:color w:val="auto"/>
              </w:rPr>
            </w:pPr>
          </w:p>
        </w:tc>
        <w:tc>
          <w:tcPr>
            <w:tcW w:w="106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24,845,647</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26,516,321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Arial" w:cs="Arial" w:eastAsia="Arial" w:hAnsi="Arial"/>
                <w:sz w:val="13"/>
                <w:szCs w:val="13"/>
                <w:color w:val="auto"/>
              </w:rPr>
              <w:t>(PIK 14.00%)</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6"/>
              </w:rPr>
              <w:t>108,499,336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94,835,720</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Debt—1.2%</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6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9"/>
              </w:rPr>
              <w:t>07/01/2019</w:t>
            </w:r>
          </w:p>
        </w:tc>
        <w:tc>
          <w:tcPr>
            <w:tcW w:w="156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95"/>
              </w:rPr>
              <w:t>Media</w:t>
            </w:r>
          </w:p>
        </w:tc>
        <w:tc>
          <w:tcPr>
            <w:tcW w:w="12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16.00%</w:t>
            </w:r>
          </w:p>
        </w:tc>
        <w:tc>
          <w:tcPr>
            <w:tcW w:w="1380" w:type="dxa"/>
            <w:vAlign w:val="bottom"/>
            <w:gridSpan w:val="2"/>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L+1,500</w:t>
            </w:r>
          </w:p>
        </w:tc>
        <w:tc>
          <w:tcPr>
            <w:tcW w:w="9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8,675,815</w:t>
            </w:r>
          </w:p>
        </w:tc>
        <w:tc>
          <w:tcPr>
            <w:tcW w:w="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8,675,815</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7,346,315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(PIK 16.00%)</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Equity—3.1% </w:t>
            </w:r>
            <w:r>
              <w:rPr>
                <w:rFonts w:ascii="Arial" w:cs="Arial" w:eastAsia="Arial" w:hAnsi="Arial"/>
                <w:sz w:val="10"/>
                <w:szCs w:val="10"/>
                <w:b w:val="1"/>
                <w:bCs w:val="1"/>
                <w:color w:val="auto"/>
              </w:rPr>
              <w:t>(6)</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9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5"/>
              </w:rPr>
              <w:t>Distribution</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143,183</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14,318,325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5"/>
              </w:rPr>
              <w:t>Media</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15.00%</w:t>
            </w:r>
          </w:p>
        </w:tc>
        <w:tc>
          <w:tcPr>
            <w:tcW w:w="13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103,916</w:t>
            </w: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7,000,000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21,318,325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Equity—0.4% </w:t>
            </w:r>
            <w:r>
              <w:rPr>
                <w:rFonts w:ascii="Arial" w:cs="Arial" w:eastAsia="Arial" w:hAnsi="Arial"/>
                <w:sz w:val="10"/>
                <w:szCs w:val="10"/>
                <w:b w:val="1"/>
                <w:bCs w:val="1"/>
                <w:color w:val="auto"/>
              </w:rPr>
              <w:t>(6)</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9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5"/>
              </w:rPr>
              <w:t>Distribution</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65,933</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24,761,831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2,686,073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1"/>
              </w:rPr>
              <w:t>Energy and Utilities</w:t>
            </w:r>
          </w:p>
        </w:tc>
        <w:tc>
          <w:tcPr>
            <w:tcW w:w="12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23,141</w:t>
            </w: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20,824,388</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5"/>
              </w:rPr>
              <w:t>Media</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11,100</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2,211,000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47,797,219</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2,686,073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6"/>
              </w:rPr>
              <w:t>186,290,695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125,019,637</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Investments—179.3%</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4"/>
              </w:rPr>
              <w:t>1,253,957,146</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1,153,679,675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Equivalents—11.8%</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w w:val="91"/>
              </w:rPr>
              <w:t>BlackRock Liquidity Funds, Temp Cash, Institutional Shares</w:t>
            </w: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64,897,736</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64,897,736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10,719,397</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10,710,377</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75,617,133</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75,608,113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Equivalents—191.1%</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84"/>
              </w:rPr>
              <w:t>1,329,574,279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1,229,287,788</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Assets—(91.1%)</w:t>
            </w: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(585,920,932)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643,366,856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6" w:lineRule="exact"/>
        <w:rPr>
          <w:sz w:val="20"/>
          <w:szCs w:val="20"/>
          <w:color w:val="auto"/>
        </w:rPr>
      </w:pPr>
    </w:p>
    <w:p>
      <w:pPr>
        <w:ind w:left="460" w:right="100" w:hanging="452"/>
        <w:spacing w:after="0" w:line="243"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10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60" w:right="2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460" w:hanging="452"/>
        <w:spacing w:after="0"/>
        <w:tabs>
          <w:tab w:leader="none" w:pos="46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 to the financial statements).</w:t>
      </w: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460" w:right="120" w:hanging="452"/>
        <w:spacing w:after="0" w:line="237"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Basis Point</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1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Maturity /</w:t>
            </w:r>
          </w:p>
        </w:tc>
        <w:tc>
          <w:tcPr>
            <w:tcW w:w="2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960" w:type="dxa"/>
            <w:vAlign w:val="bottom"/>
          </w:tcPr>
          <w:p>
            <w:pPr>
              <w:ind w:left="180"/>
              <w:spacing w:after="0" w:line="126" w:lineRule="exact"/>
              <w:rPr>
                <w:sz w:val="20"/>
                <w:szCs w:val="20"/>
                <w:color w:val="auto"/>
              </w:rPr>
            </w:pPr>
            <w:r>
              <w:rPr>
                <w:rFonts w:ascii="Arial" w:cs="Arial" w:eastAsia="Arial" w:hAnsi="Arial"/>
                <w:sz w:val="13"/>
                <w:szCs w:val="13"/>
                <w:b w:val="1"/>
                <w:bCs w:val="1"/>
                <w:color w:val="auto"/>
              </w:rPr>
              <w:t>Current</w:t>
            </w:r>
          </w:p>
        </w:tc>
        <w:tc>
          <w:tcPr>
            <w:tcW w:w="94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5"/>
              </w:rPr>
              <w:t>Above</w:t>
            </w:r>
          </w:p>
        </w:tc>
        <w:tc>
          <w:tcPr>
            <w:tcW w:w="66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1100" w:type="dxa"/>
            <w:vAlign w:val="bottom"/>
          </w:tcPr>
          <w:p>
            <w:pPr>
              <w:ind w:left="380"/>
              <w:spacing w:after="0"/>
              <w:rPr>
                <w:sz w:val="20"/>
                <w:szCs w:val="20"/>
                <w:color w:val="auto"/>
              </w:rPr>
            </w:pPr>
            <w:r>
              <w:rPr>
                <w:rFonts w:ascii="Arial" w:cs="Arial" w:eastAsia="Arial" w:hAnsi="Arial"/>
                <w:sz w:val="13"/>
                <w:szCs w:val="13"/>
                <w:b w:val="1"/>
                <w:bCs w:val="1"/>
                <w:color w:val="auto"/>
              </w:rPr>
              <w:t>Expiration</w:t>
            </w:r>
          </w:p>
        </w:tc>
        <w:tc>
          <w:tcPr>
            <w:tcW w:w="290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60" w:type="dxa"/>
            <w:vAlign w:val="bottom"/>
          </w:tcPr>
          <w:p>
            <w:pPr>
              <w:ind w:left="180"/>
              <w:spacing w:after="0"/>
              <w:rPr>
                <w:sz w:val="20"/>
                <w:szCs w:val="20"/>
                <w:color w:val="auto"/>
              </w:rPr>
            </w:pPr>
            <w:r>
              <w:rPr>
                <w:rFonts w:ascii="Arial" w:cs="Arial" w:eastAsia="Arial" w:hAnsi="Arial"/>
                <w:sz w:val="13"/>
                <w:szCs w:val="13"/>
                <w:b w:val="1"/>
                <w:bCs w:val="1"/>
                <w:color w:val="auto"/>
              </w:rPr>
              <w:t>Coupon</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Companies—153.0% </w:t>
            </w:r>
            <w:r>
              <w:rPr>
                <w:rFonts w:ascii="Arial" w:cs="Arial" w:eastAsia="Arial" w:hAnsi="Arial"/>
                <w:sz w:val="10"/>
                <w:szCs w:val="10"/>
                <w:b w:val="1"/>
                <w:bCs w:val="1"/>
                <w:color w:val="auto"/>
              </w:rPr>
              <w:t>(1), (2)</w:t>
            </w:r>
          </w:p>
        </w:tc>
        <w:tc>
          <w:tcPr>
            <w:tcW w:w="9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Debt—39.1%</w:t>
            </w:r>
          </w:p>
        </w:tc>
        <w:tc>
          <w:tcPr>
            <w:tcW w:w="11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03/21/2018</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11.25%</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22,689,469</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$ 22,109,951</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87"/>
              </w:rPr>
              <w:t>$  23,483,601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04/02/2018</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11.97%</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44,459,443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43,751,988</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45,126,826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04/02/2018</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4,371,469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65,620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12/21/2020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9.25%</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L+825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23,573,292</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23,268,725</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23,180,325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10/21/2020</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4,477,500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4,418,746</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4,477,500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06/30/2020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25,500,000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25,254,194</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08/19/2019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21,644,154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21,333,439</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20,091,220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10/31/2017</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9.63%</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5,626,850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5,626,850</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5,007,897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12/16/2019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Mining, Steel, Iron and Non-Precious Metals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11.50%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14,250,000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14,137,010</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11,970,000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06/18/2019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L+750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13,435,343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13,339,249</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13,407,176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04/21/2017</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L+750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19,704,329</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19,043,541</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17,733,896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1100" w:type="dxa"/>
            <w:vAlign w:val="bottom"/>
          </w:tcPr>
          <w:p>
            <w:pPr>
              <w:ind w:left="400"/>
              <w:spacing w:after="0" w:line="121" w:lineRule="exact"/>
              <w:rPr>
                <w:sz w:val="20"/>
                <w:szCs w:val="20"/>
                <w:color w:val="auto"/>
              </w:rPr>
            </w:pPr>
            <w:r>
              <w:rPr>
                <w:rFonts w:ascii="Arial" w:cs="Arial" w:eastAsia="Arial" w:hAnsi="Arial"/>
                <w:sz w:val="13"/>
                <w:szCs w:val="13"/>
                <w:color w:val="auto"/>
              </w:rPr>
              <w:t>09/28/2018</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19,947,600</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30,053,647</w:t>
            </w: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29,873,876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0.50%)</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1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02/12/2020</w:t>
            </w:r>
          </w:p>
        </w:tc>
        <w:tc>
          <w:tcPr>
            <w:tcW w:w="2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7"/>
              </w:rPr>
              <w:t>Buildings and Real Estate</w:t>
            </w:r>
          </w:p>
        </w:tc>
        <w:tc>
          <w:tcPr>
            <w:tcW w:w="960" w:type="dxa"/>
            <w:vAlign w:val="bottom"/>
            <w:shd w:val="clear" w:color="auto" w:fill="CCEEFF"/>
          </w:tcPr>
          <w:p>
            <w:pPr>
              <w:jc w:val="right"/>
              <w:ind w:right="137"/>
              <w:spacing w:after="0" w:line="138" w:lineRule="exact"/>
              <w:rPr>
                <w:sz w:val="20"/>
                <w:szCs w:val="20"/>
                <w:color w:val="auto"/>
              </w:rPr>
            </w:pPr>
            <w:r>
              <w:rPr>
                <w:rFonts w:ascii="Arial" w:cs="Arial" w:eastAsia="Arial" w:hAnsi="Arial"/>
                <w:sz w:val="13"/>
                <w:szCs w:val="13"/>
                <w:color w:val="auto"/>
              </w:rPr>
              <w:t>11.08%</w:t>
            </w:r>
          </w:p>
        </w:tc>
        <w:tc>
          <w:tcPr>
            <w:tcW w:w="9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89"/>
              </w:rPr>
              <w:t>24,386,987</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38,764,474</w:t>
            </w:r>
          </w:p>
        </w:tc>
        <w:tc>
          <w:tcPr>
            <w:tcW w:w="7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36,411,706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US Med Acquisition,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08/13/2021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8,739,063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8,739,063</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8,739,062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05/02/2019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L+1,150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15,297,762</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15,036,838</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15,308,835</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4"/>
              </w:rPr>
              <w:t>284,877,715</w:t>
            </w:r>
          </w:p>
        </w:tc>
        <w:tc>
          <w:tcPr>
            <w:tcW w:w="1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280,377,540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Debt—83.7%</w:t>
            </w: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10/31/2018</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18,000,000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16,544,788</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16,076,340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1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09/01/2017</w:t>
            </w:r>
          </w:p>
        </w:tc>
        <w:tc>
          <w:tcPr>
            <w:tcW w:w="2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 Precious Metals and</w:t>
            </w:r>
          </w:p>
        </w:tc>
        <w:tc>
          <w:tcPr>
            <w:tcW w:w="9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89"/>
              </w:rPr>
              <w:t>25,400,000</w:t>
            </w:r>
          </w:p>
        </w:tc>
        <w:tc>
          <w:tcPr>
            <w:tcW w:w="92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25,400,000</w:t>
            </w:r>
          </w:p>
        </w:tc>
        <w:tc>
          <w:tcPr>
            <w:tcW w:w="76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24,130,000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Minerals</w:t>
            </w: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12/02/2020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15,500,000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15,322,421</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15,441,875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03/04/2022</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19,000,000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18,721,641</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18,810,000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Bennu Oil &amp; Gas, LLC</w:t>
            </w:r>
          </w:p>
        </w:tc>
        <w:tc>
          <w:tcPr>
            <w:tcW w:w="1100" w:type="dxa"/>
            <w:vAlign w:val="bottom"/>
          </w:tcPr>
          <w:p>
            <w:pPr>
              <w:ind w:left="400"/>
              <w:spacing w:after="0" w:line="121" w:lineRule="exact"/>
              <w:rPr>
                <w:sz w:val="20"/>
                <w:szCs w:val="20"/>
                <w:color w:val="auto"/>
              </w:rPr>
            </w:pPr>
            <w:r>
              <w:rPr>
                <w:rFonts w:ascii="Arial" w:cs="Arial" w:eastAsia="Arial" w:hAnsi="Arial"/>
                <w:sz w:val="13"/>
                <w:szCs w:val="13"/>
                <w:color w:val="auto"/>
              </w:rPr>
              <w:t>11/01/2018</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12.25%</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L+1,100</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26,484,773</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25,150,663</w:t>
            </w: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20,393,275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2.50%)</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Foundation Building Materials, LLC</w:t>
            </w:r>
          </w:p>
        </w:tc>
        <w:tc>
          <w:tcPr>
            <w:tcW w:w="11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04/30/2019</w:t>
            </w:r>
          </w:p>
        </w:tc>
        <w:tc>
          <w:tcPr>
            <w:tcW w:w="2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Building Materials</w:t>
            </w:r>
          </w:p>
        </w:tc>
        <w:tc>
          <w:tcPr>
            <w:tcW w:w="960" w:type="dxa"/>
            <w:vAlign w:val="bottom"/>
            <w:shd w:val="clear" w:color="auto" w:fill="CCEEFF"/>
          </w:tcPr>
          <w:p>
            <w:pPr>
              <w:jc w:val="right"/>
              <w:ind w:right="137"/>
              <w:spacing w:after="0" w:line="138" w:lineRule="exact"/>
              <w:rPr>
                <w:sz w:val="20"/>
                <w:szCs w:val="20"/>
                <w:color w:val="auto"/>
              </w:rPr>
            </w:pPr>
            <w:r>
              <w:rPr>
                <w:rFonts w:ascii="Arial" w:cs="Arial" w:eastAsia="Arial" w:hAnsi="Arial"/>
                <w:sz w:val="13"/>
                <w:szCs w:val="13"/>
                <w:color w:val="auto"/>
              </w:rPr>
              <w:t>13.25%</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P+1,000</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89"/>
              </w:rPr>
              <w:t>45,000,000</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44,625,152</w:t>
            </w:r>
          </w:p>
        </w:tc>
        <w:tc>
          <w:tcPr>
            <w:tcW w:w="7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45,900,000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100" w:type="dxa"/>
            <w:vAlign w:val="bottom"/>
          </w:tcPr>
          <w:p>
            <w:pPr>
              <w:ind w:left="400"/>
              <w:spacing w:after="0" w:line="121" w:lineRule="exact"/>
              <w:rPr>
                <w:sz w:val="20"/>
                <w:szCs w:val="20"/>
                <w:color w:val="auto"/>
              </w:rPr>
            </w:pPr>
            <w:r>
              <w:rPr>
                <w:rFonts w:ascii="Arial" w:cs="Arial" w:eastAsia="Arial" w:hAnsi="Arial"/>
                <w:sz w:val="13"/>
                <w:szCs w:val="13"/>
                <w:color w:val="auto"/>
              </w:rPr>
              <w:t>04/30/2019</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14.25%</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P+1,100</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33,109,864</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32,588,028</w:t>
            </w: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33,772,061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1.00%)</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Howard Berger Co. LLC</w:t>
            </w:r>
          </w:p>
        </w:tc>
        <w:tc>
          <w:tcPr>
            <w:tcW w:w="11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09/30/2020</w:t>
            </w:r>
          </w:p>
        </w:tc>
        <w:tc>
          <w:tcPr>
            <w:tcW w:w="2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Distribution</w:t>
            </w:r>
          </w:p>
        </w:tc>
        <w:tc>
          <w:tcPr>
            <w:tcW w:w="960" w:type="dxa"/>
            <w:vAlign w:val="bottom"/>
            <w:shd w:val="clear" w:color="auto" w:fill="CCEEFF"/>
          </w:tcPr>
          <w:p>
            <w:pPr>
              <w:jc w:val="right"/>
              <w:ind w:right="137"/>
              <w:spacing w:after="0" w:line="138"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L+1,000</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89"/>
              </w:rPr>
              <w:t>41,250,000</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39,088,044</w:t>
            </w:r>
          </w:p>
        </w:tc>
        <w:tc>
          <w:tcPr>
            <w:tcW w:w="7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40,012,500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03/01/2017</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4,391,420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4,391,422</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1,229,598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07/31/2019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34,000,000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33,476,169</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34,340,000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10/29/2019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L+1,175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48,765,129</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48,307,757</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48,765,129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07/07/2022</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10.75%</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40,312,500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39,711,804</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40,211,719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10/31/2017</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11,875,000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11,667,848</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9,143,751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05/15/2019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45,000,000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44,698,345</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07/07/2021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11.75%</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41,250,000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40,883,259</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12/17/2021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L+1,200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75,000,000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75,000,000</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75,586,475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10/02/2020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L+775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19,698,091</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19,478,649</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19,615,950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07/01/2020</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10.25%</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56,750,000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56,098,358</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56,608,125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Prime Security Services Borrower,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07/01/2022</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9.75%</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L+875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28,500,000</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28,082,664</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28,001,250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619,237,012</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599,963,048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Subordinated Debt/Corporate Notes—20.7%</w:t>
            </w: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09/14/2018</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41,389,881</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37,715,391</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15,728,155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Affinion Investments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08/15/2018</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21,625,412</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18,687,177</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14,489,026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02/15/2019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8,930,000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8,819,557</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8,872,566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Cascade LP Holdings,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08/20/2021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27,475,553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26,893,410</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26,926,042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02/20/2017</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11,124,447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27,811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100" w:type="dxa"/>
            <w:vAlign w:val="bottom"/>
          </w:tcPr>
          <w:p>
            <w:pPr>
              <w:ind w:left="400"/>
              <w:spacing w:after="0" w:line="121" w:lineRule="exact"/>
              <w:rPr>
                <w:sz w:val="20"/>
                <w:szCs w:val="20"/>
                <w:color w:val="auto"/>
              </w:rPr>
            </w:pPr>
            <w:r>
              <w:rPr>
                <w:rFonts w:ascii="Arial" w:cs="Arial" w:eastAsia="Arial" w:hAnsi="Arial"/>
                <w:sz w:val="13"/>
                <w:szCs w:val="13"/>
                <w:color w:val="auto"/>
              </w:rPr>
              <w:t>10/26/2018</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10,800,349</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10,664,093</w:t>
            </w: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10,628,485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1.75%)</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MSPark, Inc.</w:t>
            </w:r>
          </w:p>
        </w:tc>
        <w:tc>
          <w:tcPr>
            <w:tcW w:w="11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06/15/2017</w:t>
            </w:r>
          </w:p>
        </w:tc>
        <w:tc>
          <w:tcPr>
            <w:tcW w:w="2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8"/>
              </w:rPr>
              <w:t>Printing and Publishing</w:t>
            </w:r>
          </w:p>
        </w:tc>
        <w:tc>
          <w:tcPr>
            <w:tcW w:w="9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89"/>
              </w:rPr>
              <w:t>15,000,000</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14,836,009</w:t>
            </w:r>
          </w:p>
        </w:tc>
        <w:tc>
          <w:tcPr>
            <w:tcW w:w="7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11/15/2019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15,204,289</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14,829,719</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1,520,429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04/15/2019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42,275,000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41,618,180</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41,892,583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05/13/2021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13,300,000</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13,057,260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13,167,000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187,120,796</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148,252,097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Basis Point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4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Maturity /</w:t>
            </w:r>
          </w:p>
        </w:tc>
        <w:tc>
          <w:tcPr>
            <w:tcW w:w="2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Spread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560" w:type="dxa"/>
            <w:vAlign w:val="bottom"/>
          </w:tcPr>
          <w:p>
            <w:pPr>
              <w:spacing w:after="0"/>
              <w:rPr>
                <w:sz w:val="10"/>
                <w:szCs w:val="10"/>
                <w:color w:val="auto"/>
              </w:rPr>
            </w:pPr>
          </w:p>
        </w:tc>
        <w:tc>
          <w:tcPr>
            <w:tcW w:w="800" w:type="dxa"/>
            <w:vAlign w:val="bottom"/>
          </w:tcPr>
          <w:p>
            <w:pPr>
              <w:jc w:val="right"/>
              <w:ind w:right="117"/>
              <w:spacing w:after="0" w:line="126" w:lineRule="exact"/>
              <w:rPr>
                <w:sz w:val="20"/>
                <w:szCs w:val="20"/>
                <w:color w:val="auto"/>
              </w:rPr>
            </w:pPr>
            <w:r>
              <w:rPr>
                <w:rFonts w:ascii="Arial" w:cs="Arial" w:eastAsia="Arial" w:hAnsi="Arial"/>
                <w:sz w:val="13"/>
                <w:szCs w:val="13"/>
                <w:b w:val="1"/>
                <w:bCs w:val="1"/>
                <w:color w:val="auto"/>
              </w:rPr>
              <w:t>Current</w:t>
            </w:r>
          </w:p>
        </w:tc>
        <w:tc>
          <w:tcPr>
            <w:tcW w:w="8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Above</w:t>
            </w:r>
          </w:p>
        </w:tc>
        <w:tc>
          <w:tcPr>
            <w:tcW w:w="760" w:type="dxa"/>
            <w:vAlign w:val="bottom"/>
          </w:tcPr>
          <w:p>
            <w:pPr>
              <w:jc w:val="right"/>
              <w:ind w:right="197"/>
              <w:spacing w:after="0" w:line="126"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1040" w:type="dxa"/>
            <w:vAlign w:val="bottom"/>
          </w:tcPr>
          <w:p>
            <w:pPr>
              <w:ind w:left="280"/>
              <w:spacing w:after="0"/>
              <w:rPr>
                <w:sz w:val="20"/>
                <w:szCs w:val="20"/>
                <w:color w:val="auto"/>
              </w:rPr>
            </w:pPr>
            <w:r>
              <w:rPr>
                <w:rFonts w:ascii="Arial" w:cs="Arial" w:eastAsia="Arial" w:hAnsi="Arial"/>
                <w:sz w:val="13"/>
                <w:szCs w:val="13"/>
                <w:b w:val="1"/>
                <w:bCs w:val="1"/>
                <w:color w:val="auto"/>
              </w:rPr>
              <w:t>Expiration</w:t>
            </w:r>
          </w:p>
        </w:tc>
        <w:tc>
          <w:tcPr>
            <w:tcW w:w="256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00" w:type="dxa"/>
            <w:vAlign w:val="bottom"/>
          </w:tcPr>
          <w:p>
            <w:pPr>
              <w:jc w:val="right"/>
              <w:ind w:right="117"/>
              <w:spacing w:after="0"/>
              <w:rPr>
                <w:sz w:val="20"/>
                <w:szCs w:val="20"/>
                <w:color w:val="auto"/>
              </w:rPr>
            </w:pPr>
            <w:r>
              <w:rPr>
                <w:rFonts w:ascii="Arial" w:cs="Arial" w:eastAsia="Arial" w:hAnsi="Arial"/>
                <w:sz w:val="13"/>
                <w:szCs w:val="13"/>
                <w:b w:val="1"/>
                <w:bCs w:val="1"/>
                <w:color w:val="auto"/>
              </w:rPr>
              <w:t>Coupon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Interests—1.8% </w:t>
            </w:r>
            <w:r>
              <w:rPr>
                <w:rFonts w:ascii="Arial" w:cs="Arial" w:eastAsia="Arial" w:hAnsi="Arial"/>
                <w:sz w:val="10"/>
                <w:szCs w:val="10"/>
                <w:b w:val="1"/>
                <w:bCs w:val="1"/>
                <w:color w:val="auto"/>
              </w:rPr>
              <w:t>(6)</w:t>
            </w:r>
          </w:p>
        </w:tc>
        <w:tc>
          <w:tcPr>
            <w:tcW w:w="1040" w:type="dxa"/>
            <w:vAlign w:val="bottom"/>
            <w:tcBorders>
              <w:top w:val="single" w:sz="8" w:color="auto"/>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500,000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355,508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949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949,050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995,487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2,088,121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2,222,223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3,591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3,397,484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3,871,624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1,197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1,197,000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1,295,710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1,966,667</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2,102,669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4,275,107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04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10,234,324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13,039,836</w:t>
            </w: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7"/>
              </w:rPr>
              <w:t xml:space="preserve">Common Equity/Partnership Interests/Warrants—7.7% </w:t>
            </w:r>
            <w:r>
              <w:rPr>
                <w:rFonts w:ascii="Arial" w:cs="Arial" w:eastAsia="Arial" w:hAnsi="Arial"/>
                <w:sz w:val="10"/>
                <w:szCs w:val="10"/>
                <w:b w:val="1"/>
                <w:bCs w:val="1"/>
                <w:color w:val="auto"/>
                <w:w w:val="97"/>
              </w:rPr>
              <w:t>(6)</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1,736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445,500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2,528,247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12/12/2023</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4,798,624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10,265,972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2,519,278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9"/>
              </w:rPr>
              <w:t>12/12/2023</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9,822,196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 (Warrants)</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03/23/2021</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05/05/2026</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6"/>
              </w:rPr>
              <w:t>Education</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586,975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820,067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1,333,330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1040" w:type="dxa"/>
            <w:vAlign w:val="bottom"/>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8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137,923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2,111,588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(Intermediate Transportation 100, LLC)</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23,600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2,360,000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3,473,308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1040" w:type="dxa"/>
            <w:vAlign w:val="bottom"/>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8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207,242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1" w:lineRule="exact"/>
              <w:rPr>
                <w:sz w:val="20"/>
                <w:szCs w:val="20"/>
                <w:color w:val="auto"/>
              </w:rPr>
            </w:pPr>
            <w:r>
              <w:rPr>
                <w:rFonts w:ascii="Arial" w:cs="Arial" w:eastAsia="Arial" w:hAnsi="Arial"/>
                <w:sz w:val="13"/>
                <w:szCs w:val="13"/>
                <w:color w:val="auto"/>
              </w:rPr>
              <w:t>2,250,000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3"/>
                <w:szCs w:val="13"/>
                <w:color w:val="auto"/>
              </w:rPr>
              <w:t>8,223,485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(Foundation Building Materials, LLC)</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1040" w:type="dxa"/>
            <w:vAlign w:val="bottom"/>
            <w:shd w:val="clear" w:color="auto" w:fill="CCEEFF"/>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80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103,621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(Foundation Building Materials, LLC)</w:t>
            </w:r>
          </w:p>
        </w:tc>
        <w:tc>
          <w:tcPr>
            <w:tcW w:w="104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1,745,639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2,040,629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999,889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Faraday Holdings, LLC</w:t>
            </w:r>
          </w:p>
        </w:tc>
        <w:tc>
          <w:tcPr>
            <w:tcW w:w="1040" w:type="dxa"/>
            <w:vAlign w:val="bottom"/>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8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3,520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171,601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196,748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(Interior Specialists, Inc.)</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388,378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2,500,113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1,833,357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LLC, Class A</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1,236,832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6,701,684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Kadmon Holdings, LLC, Class D</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1,028,807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1,028,807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383,447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383,447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761,955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9"/>
              </w:rPr>
              <w:t>04/16/2016</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122,192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182,498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1040" w:type="dxa"/>
            <w:vAlign w:val="bottom"/>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8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3"/>
                <w:szCs w:val="13"/>
                <w:color w:val="auto"/>
              </w:rPr>
              <w:t>4,813,759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(Pre-Paid Legal Services, Inc.)</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9"/>
              </w:rPr>
              <w:t>05/09/2024</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11/27/2023</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7"/>
              </w:rPr>
              <w:t>Insurance</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123,129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238,049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1,620,378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901,263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1,141,900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142,300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1,351,202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1,870,331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148,998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148,998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612,550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9,882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11,314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21,481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211,797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793,873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3,570,645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35,526</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4,050,000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7,597,191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36,686,122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55,086,558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9"/>
              </w:rPr>
              <w:t>Total Investments in Non-Controlled, Non-Affiliated Portfolio Companies</w:t>
            </w:r>
          </w:p>
        </w:tc>
        <w:tc>
          <w:tcPr>
            <w:tcW w:w="2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1,138,155,969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4"/>
              </w:rPr>
              <w:t>1,096,719,079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9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Maturity /</w:t>
            </w: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Spread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80"/>
              <w:spacing w:after="0" w:line="126"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0"/>
              </w:rPr>
              <w:t>Above</w:t>
            </w:r>
          </w:p>
        </w:tc>
        <w:tc>
          <w:tcPr>
            <w:tcW w:w="72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tcPr>
          <w:p>
            <w:pPr>
              <w:ind w:left="60"/>
              <w:spacing w:after="0"/>
              <w:rPr>
                <w:sz w:val="20"/>
                <w:szCs w:val="20"/>
                <w:color w:val="auto"/>
              </w:rPr>
            </w:pPr>
            <w:r>
              <w:rPr>
                <w:rFonts w:ascii="Arial" w:cs="Arial" w:eastAsia="Arial" w:hAnsi="Arial"/>
                <w:sz w:val="13"/>
                <w:szCs w:val="13"/>
                <w:b w:val="1"/>
                <w:bCs w:val="1"/>
                <w:color w:val="auto"/>
              </w:rPr>
              <w:t>Expiration</w:t>
            </w:r>
          </w:p>
        </w:tc>
        <w:tc>
          <w:tcPr>
            <w:tcW w:w="26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 xml:space="preserve">Investments in Non-Controlled, Affiliated Portfolio Companies—13.3% </w:t>
            </w:r>
            <w:r>
              <w:rPr>
                <w:rFonts w:ascii="Arial" w:cs="Arial" w:eastAsia="Arial" w:hAnsi="Arial"/>
                <w:sz w:val="10"/>
                <w:szCs w:val="10"/>
                <w:b w:val="1"/>
                <w:bCs w:val="1"/>
                <w:color w:val="auto"/>
                <w:w w:val="94"/>
              </w:rPr>
              <w:t>(1), (2)</w:t>
            </w:r>
          </w:p>
        </w:tc>
        <w:tc>
          <w:tcPr>
            <w:tcW w:w="2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Debt—3.2%</w:t>
            </w:r>
          </w:p>
        </w:tc>
        <w:tc>
          <w:tcPr>
            <w:tcW w:w="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80" w:type="dxa"/>
            <w:vAlign w:val="bottom"/>
            <w:shd w:val="clear" w:color="auto" w:fill="CCEEFF"/>
          </w:tcPr>
          <w:p>
            <w:pPr>
              <w:jc w:val="center"/>
              <w:ind w:right="217"/>
              <w:spacing w:after="0" w:line="135" w:lineRule="exact"/>
              <w:rPr>
                <w:sz w:val="20"/>
                <w:szCs w:val="20"/>
                <w:color w:val="auto"/>
              </w:rPr>
            </w:pPr>
            <w:r>
              <w:rPr>
                <w:rFonts w:ascii="Arial" w:cs="Arial" w:eastAsia="Arial" w:hAnsi="Arial"/>
                <w:sz w:val="13"/>
                <w:szCs w:val="13"/>
                <w:color w:val="auto"/>
                <w:w w:val="89"/>
              </w:rPr>
              <w:t>04/30/2018</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12.00%</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23,514,911</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23,285,423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23,044,613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Debt—1.3%</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980" w:type="dxa"/>
            <w:vAlign w:val="bottom"/>
            <w:shd w:val="clear" w:color="auto" w:fill="CCEEFF"/>
          </w:tcPr>
          <w:p>
            <w:pPr>
              <w:jc w:val="center"/>
              <w:ind w:right="217"/>
              <w:spacing w:after="0" w:line="135" w:lineRule="exact"/>
              <w:rPr>
                <w:sz w:val="20"/>
                <w:szCs w:val="20"/>
                <w:color w:val="auto"/>
              </w:rPr>
            </w:pPr>
            <w:r>
              <w:rPr>
                <w:rFonts w:ascii="Arial" w:cs="Arial" w:eastAsia="Arial" w:hAnsi="Arial"/>
                <w:sz w:val="13"/>
                <w:szCs w:val="13"/>
                <w:color w:val="auto"/>
                <w:w w:val="89"/>
              </w:rPr>
              <w:t>12/26/2017</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9"/>
              </w:rPr>
              <w:t>Environmental Services</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9.00%</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9,409,740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9,237,014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EnviroSolutions Real Property Holdings, Inc. </w:t>
            </w:r>
            <w:r>
              <w:rPr>
                <w:rFonts w:ascii="Arial" w:cs="Arial" w:eastAsia="Arial" w:hAnsi="Arial"/>
                <w:sz w:val="10"/>
                <w:szCs w:val="10"/>
                <w:color w:val="auto"/>
              </w:rPr>
              <w:t>(9)</w:t>
            </w:r>
          </w:p>
        </w:tc>
        <w:tc>
          <w:tcPr>
            <w:tcW w:w="9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12/31/2015</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89"/>
              </w:rPr>
              <w:t>Environmental Services</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758,850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9,237,014</w:t>
            </w: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9,127,448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Subordinated Debt/Corporate Notes—4.8%</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86"/>
              </w:rPr>
              <w:t>11/05/2019</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5"/>
              </w:rPr>
              <w:t>Consumer Products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13,092,070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13,092,071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6,284,194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9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10/02/2017</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1"/>
              </w:rPr>
              <w:t>Auto Sector</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12.50%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28,000,000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27,702,867</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27,931,507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40,794,938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34,215,701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4"/>
              </w:rPr>
              <w:t>Aerospace and Defense</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20,059,340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7"/>
              </w:rPr>
              <w:t xml:space="preserve">Common Equity/Partnership Interests/Warrants—3.3% </w:t>
            </w:r>
            <w:r>
              <w:rPr>
                <w:rFonts w:ascii="Arial" w:cs="Arial" w:eastAsia="Arial" w:hAnsi="Arial"/>
                <w:sz w:val="10"/>
                <w:szCs w:val="10"/>
                <w:b w:val="1"/>
                <w:bCs w:val="1"/>
                <w:color w:val="auto"/>
                <w:w w:val="97"/>
              </w:rPr>
              <w:t>(6)</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5"/>
              </w:rPr>
              <w:t>Consumer Products</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104,719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21,492,822</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86"/>
              </w:rPr>
              <w:t>11/05/2022</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85"/>
              </w:rPr>
              <w:t>Consumer Products</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15,486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9"/>
              </w:rPr>
              <w:t>Environmental Services</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143,668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11,960,702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11,337,381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980" w:type="dxa"/>
            <w:vAlign w:val="bottom"/>
          </w:tcPr>
          <w:p>
            <w:pPr>
              <w:jc w:val="center"/>
              <w:ind w:right="237"/>
              <w:spacing w:after="0" w:line="121"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20"/>
              <w:spacing w:after="0" w:line="121" w:lineRule="exact"/>
              <w:rPr>
                <w:sz w:val="20"/>
                <w:szCs w:val="20"/>
                <w:color w:val="auto"/>
              </w:rPr>
            </w:pPr>
            <w:r>
              <w:rPr>
                <w:rFonts w:ascii="Arial" w:cs="Arial" w:eastAsia="Arial" w:hAnsi="Arial"/>
                <w:sz w:val="13"/>
                <w:szCs w:val="13"/>
                <w:color w:val="auto"/>
                <w:w w:val="87"/>
              </w:rPr>
              <w:t>Leisure, Amusement,</w:t>
            </w:r>
          </w:p>
        </w:tc>
        <w:tc>
          <w:tcPr>
            <w:tcW w:w="9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375,000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3"/>
                <w:szCs w:val="13"/>
                <w:color w:val="auto"/>
              </w:rPr>
              <w:t>3,750,000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0" w:type="dxa"/>
            <w:vAlign w:val="bottom"/>
            <w:gridSpan w:val="2"/>
          </w:tcPr>
          <w:p>
            <w:pPr>
              <w:jc w:val="center"/>
              <w:ind w:right="340"/>
              <w:spacing w:after="0"/>
              <w:rPr>
                <w:sz w:val="20"/>
                <w:szCs w:val="20"/>
                <w:color w:val="auto"/>
              </w:rPr>
            </w:pPr>
            <w:r>
              <w:rPr>
                <w:rFonts w:ascii="Arial" w:cs="Arial" w:eastAsia="Arial" w:hAnsi="Arial"/>
                <w:sz w:val="13"/>
                <w:szCs w:val="13"/>
                <w:color w:val="auto"/>
                <w:w w:val="89"/>
              </w:rPr>
              <w:t>Motion Pictures and Entertainment</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New Service Champ Holdings, Inc.</w:t>
            </w:r>
          </w:p>
        </w:tc>
        <w:tc>
          <w:tcPr>
            <w:tcW w:w="980" w:type="dxa"/>
            <w:vAlign w:val="bottom"/>
            <w:shd w:val="clear" w:color="auto" w:fill="CCEEFF"/>
          </w:tcPr>
          <w:p>
            <w:pPr>
              <w:jc w:val="center"/>
              <w:ind w:right="237"/>
              <w:spacing w:after="0" w:line="138"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8" w:lineRule="exact"/>
              <w:rPr>
                <w:sz w:val="20"/>
                <w:szCs w:val="20"/>
                <w:color w:val="auto"/>
              </w:rPr>
            </w:pPr>
            <w:r>
              <w:rPr>
                <w:rFonts w:ascii="Arial" w:cs="Arial" w:eastAsia="Arial" w:hAnsi="Arial"/>
                <w:sz w:val="13"/>
                <w:szCs w:val="13"/>
                <w:color w:val="auto"/>
                <w:w w:val="91"/>
              </w:rPr>
              <w:t>Auto Sector</w:t>
            </w:r>
          </w:p>
        </w:tc>
        <w:tc>
          <w:tcPr>
            <w:tcW w:w="90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16,800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2,721,600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4,457,055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84"/>
              </w:rPr>
              <w:t>Aerospace and Defense</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202,619</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6,178,645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491,755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188,837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1,888,232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40,316,580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23,861,313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133,693,295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95,503,104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 xml:space="preserve">Investments in Controlled, Affiliated Portfolio Companies—15.0% </w:t>
            </w:r>
            <w:r>
              <w:rPr>
                <w:rFonts w:ascii="Arial" w:cs="Arial" w:eastAsia="Arial" w:hAnsi="Arial"/>
                <w:sz w:val="10"/>
                <w:szCs w:val="10"/>
                <w:b w:val="1"/>
                <w:bCs w:val="1"/>
                <w:color w:val="auto"/>
              </w:rPr>
              <w:t>(1), (2)</w:t>
            </w: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Debt—13.4%</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RAM Energy LLC, Tranche A</w:t>
            </w:r>
          </w:p>
        </w:tc>
        <w:tc>
          <w:tcPr>
            <w:tcW w:w="980" w:type="dxa"/>
            <w:vAlign w:val="bottom"/>
          </w:tcPr>
          <w:p>
            <w:pPr>
              <w:jc w:val="center"/>
              <w:ind w:right="217"/>
              <w:spacing w:after="0" w:line="121" w:lineRule="exact"/>
              <w:rPr>
                <w:sz w:val="20"/>
                <w:szCs w:val="20"/>
                <w:color w:val="auto"/>
              </w:rPr>
            </w:pPr>
            <w:r>
              <w:rPr>
                <w:rFonts w:ascii="Arial" w:cs="Arial" w:eastAsia="Arial" w:hAnsi="Arial"/>
                <w:sz w:val="13"/>
                <w:szCs w:val="13"/>
                <w:color w:val="auto"/>
                <w:w w:val="89"/>
              </w:rPr>
              <w:t>07/18/2019</w:t>
            </w:r>
          </w:p>
        </w:tc>
        <w:tc>
          <w:tcPr>
            <w:tcW w:w="2600" w:type="dxa"/>
            <w:vAlign w:val="bottom"/>
            <w:gridSpan w:val="2"/>
          </w:tcPr>
          <w:p>
            <w:pPr>
              <w:jc w:val="center"/>
              <w:ind w:right="340"/>
              <w:spacing w:after="0" w:line="121" w:lineRule="exact"/>
              <w:rPr>
                <w:sz w:val="20"/>
                <w:szCs w:val="20"/>
                <w:color w:val="auto"/>
              </w:rPr>
            </w:pPr>
            <w:r>
              <w:rPr>
                <w:rFonts w:ascii="Arial" w:cs="Arial" w:eastAsia="Arial" w:hAnsi="Arial"/>
                <w:sz w:val="13"/>
                <w:szCs w:val="13"/>
                <w:color w:val="auto"/>
                <w:w w:val="91"/>
              </w:rPr>
              <w:t>Energy and Utilities</w:t>
            </w:r>
          </w:p>
        </w:tc>
        <w:tc>
          <w:tcPr>
            <w:tcW w:w="9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10.00%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L+800</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w w:val="89"/>
              </w:rPr>
              <w:t>76,425,000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75,177,005</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72,759,582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(PIK 10.00%)</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4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Superior Digital Displays, LLC</w:t>
            </w:r>
          </w:p>
        </w:tc>
        <w:tc>
          <w:tcPr>
            <w:tcW w:w="980" w:type="dxa"/>
            <w:vAlign w:val="bottom"/>
            <w:shd w:val="clear" w:color="auto" w:fill="CCEEFF"/>
          </w:tcPr>
          <w:p>
            <w:pPr>
              <w:jc w:val="center"/>
              <w:ind w:right="217"/>
              <w:spacing w:after="0" w:line="124" w:lineRule="exact"/>
              <w:rPr>
                <w:sz w:val="20"/>
                <w:szCs w:val="20"/>
                <w:color w:val="auto"/>
              </w:rPr>
            </w:pPr>
            <w:r>
              <w:rPr>
                <w:rFonts w:ascii="Arial" w:cs="Arial" w:eastAsia="Arial" w:hAnsi="Arial"/>
                <w:sz w:val="13"/>
                <w:szCs w:val="13"/>
                <w:color w:val="auto"/>
                <w:w w:val="89"/>
              </w:rPr>
              <w:t>12/31/2018</w:t>
            </w:r>
          </w:p>
        </w:tc>
        <w:tc>
          <w:tcPr>
            <w:tcW w:w="2600" w:type="dxa"/>
            <w:vAlign w:val="bottom"/>
            <w:gridSpan w:val="2"/>
            <w:shd w:val="clear" w:color="auto" w:fill="CCEEFF"/>
          </w:tcPr>
          <w:p>
            <w:pPr>
              <w:jc w:val="center"/>
              <w:ind w:right="320"/>
              <w:spacing w:after="0" w:line="124" w:lineRule="exact"/>
              <w:rPr>
                <w:sz w:val="20"/>
                <w:szCs w:val="20"/>
                <w:color w:val="auto"/>
              </w:rPr>
            </w:pPr>
            <w:r>
              <w:rPr>
                <w:rFonts w:ascii="Arial" w:cs="Arial" w:eastAsia="Arial" w:hAnsi="Arial"/>
                <w:sz w:val="13"/>
                <w:szCs w:val="13"/>
                <w:color w:val="auto"/>
                <w:w w:val="90"/>
              </w:rPr>
              <w:t>Media</w:t>
            </w:r>
          </w:p>
        </w:tc>
        <w:tc>
          <w:tcPr>
            <w:tcW w:w="90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3"/>
                <w:szCs w:val="13"/>
                <w:color w:val="auto"/>
              </w:rPr>
              <w:t>14.00%</w:t>
            </w:r>
          </w:p>
        </w:tc>
        <w:tc>
          <w:tcPr>
            <w:tcW w:w="84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3"/>
                <w:szCs w:val="13"/>
                <w:color w:val="auto"/>
              </w:rPr>
              <w:t>L+1,300</w:t>
            </w:r>
          </w:p>
        </w:tc>
        <w:tc>
          <w:tcPr>
            <w:tcW w:w="7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3"/>
                <w:szCs w:val="13"/>
                <w:color w:val="auto"/>
                <w:w w:val="89"/>
              </w:rPr>
              <w:t>23,055,423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rPr>
              <w:t>20,951,257</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3"/>
                <w:szCs w:val="13"/>
                <w:color w:val="auto"/>
              </w:rPr>
              <w:t>23,055,423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(PIK 14.00%)</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96,128,262</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95,815,005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Debt—0.5%</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80" w:type="dxa"/>
            <w:vAlign w:val="bottom"/>
          </w:tcPr>
          <w:p>
            <w:pPr>
              <w:jc w:val="center"/>
              <w:ind w:right="217"/>
              <w:spacing w:after="0" w:line="121" w:lineRule="exact"/>
              <w:rPr>
                <w:sz w:val="20"/>
                <w:szCs w:val="20"/>
                <w:color w:val="auto"/>
              </w:rPr>
            </w:pPr>
            <w:r>
              <w:rPr>
                <w:rFonts w:ascii="Arial" w:cs="Arial" w:eastAsia="Arial" w:hAnsi="Arial"/>
                <w:sz w:val="13"/>
                <w:szCs w:val="13"/>
                <w:color w:val="auto"/>
                <w:w w:val="89"/>
              </w:rPr>
              <w:t>07/01/2019</w:t>
            </w:r>
          </w:p>
        </w:tc>
        <w:tc>
          <w:tcPr>
            <w:tcW w:w="2600" w:type="dxa"/>
            <w:vAlign w:val="bottom"/>
            <w:gridSpan w:val="2"/>
          </w:tcPr>
          <w:p>
            <w:pPr>
              <w:jc w:val="center"/>
              <w:ind w:right="320"/>
              <w:spacing w:after="0" w:line="121" w:lineRule="exact"/>
              <w:rPr>
                <w:sz w:val="20"/>
                <w:szCs w:val="20"/>
                <w:color w:val="auto"/>
              </w:rPr>
            </w:pPr>
            <w:r>
              <w:rPr>
                <w:rFonts w:ascii="Arial" w:cs="Arial" w:eastAsia="Arial" w:hAnsi="Arial"/>
                <w:sz w:val="13"/>
                <w:szCs w:val="13"/>
                <w:color w:val="auto"/>
                <w:w w:val="90"/>
              </w:rPr>
              <w:t>Media</w:t>
            </w:r>
          </w:p>
        </w:tc>
        <w:tc>
          <w:tcPr>
            <w:tcW w:w="9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16.00%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L+1,500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3,462,417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3"/>
                <w:szCs w:val="13"/>
                <w:color w:val="auto"/>
              </w:rPr>
              <w:t>3,462,417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3,462,417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(PIK 16.00%)</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980" w:type="dxa"/>
            <w:vAlign w:val="bottom"/>
            <w:shd w:val="clear" w:color="auto" w:fill="CCEEFF"/>
          </w:tcPr>
          <w:p>
            <w:pPr>
              <w:jc w:val="center"/>
              <w:ind w:right="217"/>
              <w:spacing w:after="0" w:line="138" w:lineRule="exact"/>
              <w:rPr>
                <w:sz w:val="20"/>
                <w:szCs w:val="20"/>
                <w:color w:val="auto"/>
              </w:rPr>
            </w:pPr>
            <w:r>
              <w:rPr>
                <w:rFonts w:ascii="Arial" w:cs="Arial" w:eastAsia="Arial" w:hAnsi="Arial"/>
                <w:sz w:val="13"/>
                <w:szCs w:val="13"/>
                <w:color w:val="auto"/>
                <w:w w:val="89"/>
              </w:rPr>
              <w:t>07/01/2019</w:t>
            </w:r>
          </w:p>
        </w:tc>
        <w:tc>
          <w:tcPr>
            <w:tcW w:w="2600" w:type="dxa"/>
            <w:vAlign w:val="bottom"/>
            <w:gridSpan w:val="2"/>
            <w:shd w:val="clear" w:color="auto" w:fill="CCEEFF"/>
          </w:tcPr>
          <w:p>
            <w:pPr>
              <w:jc w:val="center"/>
              <w:ind w:right="320"/>
              <w:spacing w:after="0" w:line="138" w:lineRule="exact"/>
              <w:rPr>
                <w:sz w:val="20"/>
                <w:szCs w:val="20"/>
                <w:color w:val="auto"/>
              </w:rPr>
            </w:pPr>
            <w:r>
              <w:rPr>
                <w:rFonts w:ascii="Arial" w:cs="Arial" w:eastAsia="Arial" w:hAnsi="Arial"/>
                <w:sz w:val="13"/>
                <w:szCs w:val="13"/>
                <w:color w:val="auto"/>
                <w:w w:val="90"/>
              </w:rPr>
              <w:t>Media</w:t>
            </w:r>
          </w:p>
        </w:tc>
        <w:tc>
          <w:tcPr>
            <w:tcW w:w="90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2,575,000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3,462,417</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Equity—0.1% </w:t>
            </w:r>
            <w:r>
              <w:rPr>
                <w:rFonts w:ascii="Arial" w:cs="Arial" w:eastAsia="Arial" w:hAnsi="Arial"/>
                <w:sz w:val="10"/>
                <w:szCs w:val="10"/>
                <w:b w:val="1"/>
                <w:bCs w:val="1"/>
                <w:color w:val="auto"/>
              </w:rPr>
              <w:t>(6)</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90"/>
              </w:rPr>
              <w:t>Media</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15.00%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37,046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5,000,000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648,021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Equity—1.0% </w:t>
            </w:r>
            <w:r>
              <w:rPr>
                <w:rFonts w:ascii="Arial" w:cs="Arial" w:eastAsia="Arial" w:hAnsi="Arial"/>
                <w:sz w:val="10"/>
                <w:szCs w:val="10"/>
                <w:b w:val="1"/>
                <w:bCs w:val="1"/>
                <w:color w:val="auto"/>
              </w:rPr>
              <w:t>(6)</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MidOcean JF Holdings Corp.</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5"/>
              </w:rPr>
              <w:t>Distribution</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65,933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24,761,831</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 (f/k/a RAM Energy, LLC)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91"/>
              </w:rPr>
              <w:t>Energy and Utilities</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23,141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20,824,388</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90"/>
              </w:rPr>
              <w:t>Media</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2,211,000</w:t>
            </w:r>
          </w:p>
        </w:tc>
        <w:tc>
          <w:tcPr>
            <w:tcW w:w="6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47,797,219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88"/>
              </w:rPr>
              <w:t>Total Investments in Controlled, Affiliated Portfolio Companies</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152,387,898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106,825,650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Investments—181.3%</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4"/>
              </w:rPr>
              <w:t>1,424,237,162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6"/>
              </w:rPr>
              <w:t>1,299,047,833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Cash and Cash Equivalents—6.9%</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BlackRock Liquidity Funds, Temp Cash, Institutional Shares</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4,564,638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4,564,638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45,072,777</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45,054,618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49,637,415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49,619,256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 and Cash Equivalents—188.2%</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4"/>
              </w:rPr>
              <w:t>1,473,874,577</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1,348,667,089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Assets—(88.2%)</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3"/>
              </w:rPr>
              <w:t>(632,076,547)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9"/>
              </w:rPr>
              <w:t>716,590,542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9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865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6" w:lineRule="exact"/>
        <w:rPr>
          <w:sz w:val="20"/>
          <w:szCs w:val="20"/>
          <w:color w:val="auto"/>
        </w:rPr>
      </w:pPr>
    </w:p>
    <w:p>
      <w:pPr>
        <w:ind w:left="460" w:hanging="452"/>
        <w:spacing w:after="0" w:line="243"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60" w:right="12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460" w:hanging="452"/>
        <w:spacing w:after="0"/>
        <w:tabs>
          <w:tab w:leader="none" w:pos="46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460" w:hanging="452"/>
        <w:spacing w:after="0"/>
        <w:tabs>
          <w:tab w:leader="none" w:pos="46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460" w:right="20" w:hanging="452"/>
        <w:spacing w:after="0" w:line="237"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320"/>
          </w:cols>
          <w:pgMar w:left="240" w:top="460"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40" w:firstLine="685"/>
        <w:spacing w:after="0" w:line="256"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05"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We have entered into an Investment Management Agreement with the Investment Adviser, an external adviser that manages our day-to-day operations. We have also entered into an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under a separate administration agreement. See Note 3.</w:t>
      </w:r>
    </w:p>
    <w:p>
      <w:pPr>
        <w:spacing w:after="0" w:line="101"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80" w:firstLine="685"/>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7" w:lineRule="exact"/>
        <w:rPr>
          <w:sz w:val="20"/>
          <w:szCs w:val="20"/>
          <w:color w:val="auto"/>
        </w:rPr>
      </w:pPr>
    </w:p>
    <w:p>
      <w:pPr>
        <w:ind w:right="60" w:firstLine="685"/>
        <w:spacing w:after="0" w:line="249"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09" w:lineRule="exact"/>
        <w:rPr>
          <w:sz w:val="20"/>
          <w:szCs w:val="20"/>
          <w:color w:val="auto"/>
        </w:rPr>
      </w:pPr>
    </w:p>
    <w:p>
      <w:pPr>
        <w:jc w:val="both"/>
        <w:ind w:right="100" w:firstLine="685"/>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right="20" w:firstLine="685"/>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280" w:firstLine="685"/>
        <w:spacing w:after="0" w:line="291"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3" w:lineRule="exact"/>
        <w:rPr>
          <w:sz w:val="20"/>
          <w:szCs w:val="20"/>
          <w:color w:val="auto"/>
        </w:rPr>
      </w:pPr>
    </w:p>
    <w:p>
      <w:pPr>
        <w:ind w:left="800" w:right="80" w:hanging="346"/>
        <w:spacing w:after="0" w:line="253" w:lineRule="auto"/>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46"/>
        <w:spacing w:after="0"/>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360" w:hanging="346"/>
        <w:spacing w:after="0" w:line="264" w:lineRule="auto"/>
        <w:tabs>
          <w:tab w:leader="none" w:pos="8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240" w:hanging="346"/>
        <w:spacing w:after="0" w:line="238" w:lineRule="auto"/>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360" w:hanging="346"/>
        <w:spacing w:after="0" w:line="253" w:lineRule="auto"/>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right="300" w:firstLine="685"/>
        <w:spacing w:after="0" w:line="256"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101"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180" w:firstLine="685"/>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paying any material level of federal income taxes. Although we are not subject to federal income taxes as a RIC for federal income tax purposes, we may elect to retain a portion of our calendar year income, which may result in an excise tax, or we may incur taxes through our Taxable Subsidiaries. For the fiscal years ended September 30, 2016, 2015 and 2014, we have recorded a provision for taxes of $2.4 million, zero and $0.1 million, respectively.</w:t>
      </w:r>
    </w:p>
    <w:p>
      <w:pPr>
        <w:spacing w:after="0" w:line="118" w:lineRule="exact"/>
        <w:rPr>
          <w:sz w:val="20"/>
          <w:szCs w:val="20"/>
          <w:color w:val="auto"/>
        </w:rPr>
      </w:pPr>
    </w:p>
    <w:p>
      <w:pPr>
        <w:ind w:right="20" w:firstLine="685"/>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101" w:lineRule="exact"/>
        <w:rPr>
          <w:sz w:val="20"/>
          <w:szCs w:val="20"/>
          <w:color w:val="auto"/>
        </w:rPr>
      </w:pPr>
    </w:p>
    <w:p>
      <w:pPr>
        <w:ind w:right="140" w:firstLine="685"/>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7" w:lineRule="exact"/>
        <w:rPr>
          <w:sz w:val="20"/>
          <w:szCs w:val="20"/>
          <w:color w:val="auto"/>
        </w:rPr>
      </w:pPr>
    </w:p>
    <w:p>
      <w:pPr>
        <w:ind w:right="100" w:firstLine="685"/>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02" w:lineRule="exact"/>
        <w:rPr>
          <w:sz w:val="20"/>
          <w:szCs w:val="20"/>
          <w:color w:val="auto"/>
        </w:rPr>
      </w:pPr>
    </w:p>
    <w:p>
      <w:pPr>
        <w:ind w:right="20" w:firstLine="685"/>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260" w:hanging="455"/>
        <w:spacing w:after="0"/>
        <w:tabs>
          <w:tab w:leader="none" w:pos="12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260" w:hanging="455"/>
        <w:spacing w:after="0"/>
        <w:tabs>
          <w:tab w:leader="none" w:pos="12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23"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20" w:firstLine="685"/>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160" w:firstLine="685"/>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27"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components—Management Fees.</w:t>
      </w:r>
    </w:p>
    <w:p>
      <w:pPr>
        <w:spacing w:after="0" w:line="105" w:lineRule="exact"/>
        <w:rPr>
          <w:sz w:val="20"/>
          <w:szCs w:val="20"/>
          <w:color w:val="auto"/>
        </w:rPr>
      </w:pPr>
    </w:p>
    <w:p>
      <w:pPr>
        <w:ind w:right="20" w:firstLine="685"/>
        <w:spacing w:after="0" w:line="245"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 ended September 30, 2016 and through December 31, 2017, the Investment Adviser has voluntarily agreed, in consultation with the board of directors, to waive 16% of base management fees, correlated to our 16% energy exposure (oil &amp; gas and energy &amp; utilities industries) at cost as of December 31, 2015. For the years ended September 30, 2016, 2015 and 2014, the Investment Adviser earned base management fees of $20.9 million (after a waiver of $4.0 million), $26.7 million and $24.3 million, respectively, from us.</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60" w:firstLine="685"/>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year ended September 30, 2016 and through December 31, 2017, the Investment Adviser has voluntarily agreed, in consultation with the board of directors, to waive 16% of incentive fees, correlated to our 16% energy exposure (oil &amp; gas and energy &amp; utilities industries) at cost as of December 31, 2015. For the years ended September 30, 2016, 2015 and 2014, the Investment Adviser earned $13.5 million (after a waiver of $2.5 million), $20.6 million and $17.8 million, respectively, in incentive fees on net investment income from us.</w:t>
      </w:r>
    </w:p>
    <w:p>
      <w:pPr>
        <w:spacing w:after="0" w:line="116" w:lineRule="exact"/>
        <w:rPr>
          <w:sz w:val="20"/>
          <w:szCs w:val="20"/>
          <w:color w:val="auto"/>
        </w:rPr>
      </w:pPr>
    </w:p>
    <w:p>
      <w:pPr>
        <w:ind w:right="220" w:firstLine="685"/>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2016, 2015 and 2014 the Investment Adviser did not earn an incentive fee on capital gains as calculated under the Investment Management Agreement (as described above).</w:t>
      </w:r>
    </w:p>
    <w:p>
      <w:pPr>
        <w:spacing w:after="0" w:line="105"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2016, 2015 and 2014, the Investment Adviser did not accrue an incentive fee on capital gains as calculated under GAAP.</w:t>
      </w:r>
    </w:p>
    <w:p>
      <w:pPr>
        <w:spacing w:after="0" w:line="98" w:lineRule="exact"/>
        <w:rPr>
          <w:sz w:val="20"/>
          <w:szCs w:val="20"/>
          <w:color w:val="auto"/>
        </w:rPr>
      </w:pPr>
    </w:p>
    <w:p>
      <w:pPr>
        <w:ind w:right="80" w:firstLine="685"/>
        <w:spacing w:after="0" w:line="246"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2016.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fiscal years ended September 30, 2016, 2015 and 2014, the Investment Adviser was reimbursed $3.7 million, $3.3 million and $3.0 million, respectively, from us, including expenses incurred on behalf of the Administrator, for the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Purchases of investments, including PIK interest, for the fiscal years ended September 30, 2016, 2015 and 2014 totaled $345.7 million, $475.2 million and $806.1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same periods totaled $439.7 million, $390.5 million and $625.6 million, respectively.</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20" w:type="dxa"/>
            <w:vAlign w:val="bottom"/>
          </w:tcPr>
          <w:p>
            <w:pPr>
              <w:spacing w:after="0"/>
              <w:rPr>
                <w:sz w:val="14"/>
                <w:szCs w:val="14"/>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534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418,873,576</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397,102,721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404,291,400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399,237,158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451,756,995</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425,412,443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631,936,443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612,552,913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189,453,101</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177,631,517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227,915,734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182,467,798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193,873,474</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153,532,994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160,093,585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104,789,964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1,253,957,146</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1,153,679,675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1,424,237,162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1,299,047,833</w:t>
            </w:r>
          </w:p>
        </w:tc>
        <w:tc>
          <w:tcPr>
            <w:tcW w:w="0" w:type="dxa"/>
            <w:vAlign w:val="bottom"/>
          </w:tcPr>
          <w:p>
            <w:pPr>
              <w:spacing w:after="0"/>
              <w:rPr>
                <w:sz w:val="1"/>
                <w:szCs w:val="1"/>
                <w:color w:val="auto"/>
              </w:rPr>
            </w:pPr>
          </w:p>
        </w:tc>
      </w:tr>
      <w:tr>
        <w:trPr>
          <w:trHeight w:val="163"/>
        </w:trPr>
        <w:tc>
          <w:tcPr>
            <w:tcW w:w="5340" w:type="dxa"/>
            <w:vAlign w:val="bottom"/>
            <w:gridSpan w:val="3"/>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75,617,133</w:t>
            </w:r>
          </w:p>
        </w:tc>
        <w:tc>
          <w:tcPr>
            <w:tcW w:w="3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49,637,415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1,329,574,279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1,229,287,788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1,473,874,577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1,348,667,089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2920" w:type="dxa"/>
            <w:vAlign w:val="bottom"/>
            <w:gridSpan w:val="2"/>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264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13%</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Energy/Utilities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Environmental Services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Oil and Gas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and Publishing</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Buildings and Real Estate</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920" w:type="dxa"/>
            <w:vAlign w:val="bottom"/>
            <w:gridSpan w:val="2"/>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920" w:type="dxa"/>
            <w:vAlign w:val="bottom"/>
            <w:gridSpan w:val="2"/>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20" w:type="dxa"/>
            <w:vAlign w:val="bottom"/>
            <w:gridSpan w:val="4"/>
          </w:tcPr>
          <w:p>
            <w:pPr>
              <w:jc w:val="right"/>
              <w:ind w:right="3020"/>
              <w:spacing w:after="0"/>
              <w:rPr>
                <w:sz w:val="20"/>
                <w:szCs w:val="20"/>
                <w:color w:val="auto"/>
              </w:rPr>
            </w:pPr>
            <w:r>
              <w:rPr>
                <w:rFonts w:ascii="Arial" w:cs="Arial" w:eastAsia="Arial" w:hAnsi="Arial"/>
                <w:sz w:val="14"/>
                <w:szCs w:val="14"/>
                <w:color w:val="auto"/>
              </w:rPr>
              <w:t>F-41</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160" w:firstLine="685"/>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40" w:right="940" w:hanging="796"/>
        <w:spacing w:after="0" w:line="238"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40" w:right="920" w:hanging="796"/>
        <w:spacing w:after="0" w:line="253" w:lineRule="auto"/>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93" w:lineRule="exact"/>
        <w:rPr>
          <w:sz w:val="20"/>
          <w:szCs w:val="20"/>
          <w:color w:val="auto"/>
        </w:rPr>
      </w:pPr>
    </w:p>
    <w:p>
      <w:pPr>
        <w:ind w:right="40" w:firstLine="685"/>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jc w:val="both"/>
        <w:ind w:right="120" w:firstLine="685"/>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17" w:lineRule="exact"/>
        <w:rPr>
          <w:sz w:val="20"/>
          <w:szCs w:val="20"/>
          <w:color w:val="auto"/>
        </w:rPr>
      </w:pPr>
    </w:p>
    <w:p>
      <w:pPr>
        <w:ind w:right="40" w:firstLine="685"/>
        <w:spacing w:after="0" w:line="256" w:lineRule="auto"/>
        <w:rPr>
          <w:sz w:val="20"/>
          <w:szCs w:val="20"/>
          <w:color w:val="auto"/>
        </w:rPr>
      </w:pPr>
      <w:r>
        <w:rPr>
          <w:rFonts w:ascii="Arial" w:cs="Arial" w:eastAsia="Arial" w:hAnsi="Arial"/>
          <w:sz w:val="13"/>
          <w:szCs w:val="13"/>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1"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one reclassification from Level 3 to 1 and one reclassification from Level 3 to 2 during the year ended September 30, 2016. During the year ended September 30, 2015, there were three reclassifications from Level 2 to 3 and one reclassification from Level 3 to 2.</w:t>
      </w:r>
    </w:p>
    <w:p>
      <w:pPr>
        <w:spacing w:after="0" w:line="105" w:lineRule="exact"/>
        <w:rPr>
          <w:sz w:val="20"/>
          <w:szCs w:val="20"/>
          <w:color w:val="auto"/>
        </w:rPr>
      </w:pPr>
    </w:p>
    <w:p>
      <w:pPr>
        <w:jc w:val="both"/>
        <w:ind w:right="180" w:firstLine="685"/>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115" w:lineRule="exact"/>
        <w:rPr>
          <w:sz w:val="20"/>
          <w:szCs w:val="20"/>
          <w:color w:val="auto"/>
        </w:rPr>
      </w:pPr>
    </w:p>
    <w:p>
      <w:pPr>
        <w:ind w:right="140" w:firstLine="685"/>
        <w:spacing w:after="0" w:line="234"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1" w:lineRule="exact"/>
        <w:rPr>
          <w:sz w:val="20"/>
          <w:szCs w:val="20"/>
          <w:color w:val="auto"/>
        </w:rPr>
      </w:pPr>
    </w:p>
    <w:p>
      <w:pPr>
        <w:ind w:right="80" w:firstLine="685"/>
        <w:spacing w:after="0" w:line="227" w:lineRule="auto"/>
        <w:rPr>
          <w:sz w:val="20"/>
          <w:szCs w:val="20"/>
          <w:color w:val="auto"/>
        </w:rPr>
      </w:pPr>
      <w:r>
        <w:rPr>
          <w:rFonts w:ascii="Arial" w:cs="Arial" w:eastAsia="Arial" w:hAnsi="Arial"/>
          <w:sz w:val="14"/>
          <w:szCs w:val="14"/>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Fair Value as of</w:t>
            </w:r>
          </w:p>
        </w:tc>
        <w:tc>
          <w:tcPr>
            <w:tcW w:w="1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Valuation Technique</w:t>
            </w: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88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4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167,489,186</w:t>
            </w:r>
          </w:p>
        </w:tc>
        <w:tc>
          <w:tcPr>
            <w:tcW w:w="5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4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832,657,495</w:t>
            </w:r>
          </w:p>
        </w:tc>
        <w:tc>
          <w:tcPr>
            <w:tcW w:w="18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Market Yield</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8.8% – 21.7%(13.3%)</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125,633,017</w:t>
            </w:r>
          </w:p>
        </w:tc>
        <w:tc>
          <w:tcPr>
            <w:tcW w:w="1880" w:type="dxa"/>
            <w:vAlign w:val="bottom"/>
            <w:gridSpan w:val="2"/>
            <w:shd w:val="clear" w:color="auto" w:fill="CCEEFF"/>
          </w:tcPr>
          <w:p>
            <w:pPr>
              <w:jc w:val="center"/>
              <w:ind w:right="480"/>
              <w:spacing w:after="0" w:line="149" w:lineRule="exact"/>
              <w:rPr>
                <w:sz w:val="20"/>
                <w:szCs w:val="20"/>
                <w:color w:val="auto"/>
              </w:rPr>
            </w:pPr>
            <w:r>
              <w:rPr>
                <w:rFonts w:ascii="Arial" w:cs="Arial" w:eastAsia="Arial" w:hAnsi="Arial"/>
                <w:sz w:val="14"/>
                <w:szCs w:val="14"/>
                <w:color w:val="auto"/>
                <w:w w:val="93"/>
              </w:rPr>
              <w:t>Enterprise Market Value</w:t>
            </w:r>
          </w:p>
        </w:tc>
        <w:tc>
          <w:tcPr>
            <w:tcW w:w="1920" w:type="dxa"/>
            <w:vAlign w:val="bottom"/>
            <w:gridSpan w:val="2"/>
            <w:shd w:val="clear" w:color="auto" w:fill="CCEEFF"/>
          </w:tcPr>
          <w:p>
            <w:pPr>
              <w:jc w:val="center"/>
              <w:ind w:right="480"/>
              <w:spacing w:after="0" w:line="149" w:lineRule="exact"/>
              <w:rPr>
                <w:sz w:val="20"/>
                <w:szCs w:val="20"/>
                <w:color w:val="auto"/>
              </w:rPr>
            </w:pPr>
            <w:r>
              <w:rPr>
                <w:rFonts w:ascii="Arial" w:cs="Arial" w:eastAsia="Arial" w:hAnsi="Arial"/>
                <w:sz w:val="14"/>
                <w:szCs w:val="14"/>
                <w:color w:val="auto"/>
              </w:rPr>
              <w:t>EBITDA multiple</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5.0x – 15.5x (8.2x)</w:t>
            </w:r>
          </w:p>
        </w:tc>
        <w:tc>
          <w:tcPr>
            <w:tcW w:w="0" w:type="dxa"/>
            <w:vAlign w:val="bottom"/>
          </w:tcPr>
          <w:p>
            <w:pPr>
              <w:spacing w:after="0"/>
              <w:rPr>
                <w:sz w:val="1"/>
                <w:szCs w:val="1"/>
                <w:color w:val="auto"/>
              </w:rPr>
            </w:pPr>
          </w:p>
        </w:tc>
      </w:tr>
      <w:tr>
        <w:trPr>
          <w:trHeight w:val="156"/>
        </w:trPr>
        <w:tc>
          <w:tcPr>
            <w:tcW w:w="412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1,125,779,698</w:t>
            </w: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80" w:type="dxa"/>
            <w:vAlign w:val="bottom"/>
            <w:gridSpan w:val="2"/>
            <w:shd w:val="clear" w:color="auto" w:fill="CCEEFF"/>
          </w:tcPr>
          <w:p>
            <w:pPr>
              <w:ind w:left="480"/>
              <w:spacing w:after="0" w:line="143"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39,551,187</w:t>
            </w:r>
          </w:p>
        </w:tc>
        <w:tc>
          <w:tcPr>
            <w:tcW w:w="1880" w:type="dxa"/>
            <w:vAlign w:val="bottom"/>
            <w:gridSpan w:val="2"/>
            <w:shd w:val="clear" w:color="auto" w:fill="CCEEFF"/>
          </w:tcPr>
          <w:p>
            <w:pPr>
              <w:jc w:val="center"/>
              <w:ind w:right="480"/>
              <w:spacing w:after="0" w:line="143"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shd w:val="clear" w:color="auto" w:fill="CCEEFF"/>
          </w:tcPr>
          <w:p>
            <w:pPr>
              <w:jc w:val="center"/>
              <w:ind w:right="480"/>
              <w:spacing w:after="0" w:line="143" w:lineRule="exact"/>
              <w:rPr>
                <w:sz w:val="20"/>
                <w:szCs w:val="20"/>
                <w:color w:val="auto"/>
              </w:rPr>
            </w:pPr>
            <w:r>
              <w:rPr>
                <w:rFonts w:ascii="Arial" w:cs="Arial" w:eastAsia="Arial" w:hAnsi="Arial"/>
                <w:sz w:val="14"/>
                <w:szCs w:val="14"/>
                <w:color w:val="auto"/>
                <w:w w:val="97"/>
              </w:rPr>
              <w:t>Market Yield</w:t>
            </w:r>
          </w:p>
        </w:tc>
        <w:tc>
          <w:tcPr>
            <w:tcW w:w="13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as of</w:t>
            </w:r>
          </w:p>
        </w:tc>
        <w:tc>
          <w:tcPr>
            <w:tcW w:w="1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Valuation Technique</w:t>
            </w: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88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4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281,455,418</w:t>
            </w: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4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912,802,451</w:t>
            </w:r>
          </w:p>
        </w:tc>
        <w:tc>
          <w:tcPr>
            <w:tcW w:w="500" w:type="dxa"/>
            <w:vAlign w:val="bottom"/>
          </w:tcPr>
          <w:p>
            <w:pPr>
              <w:spacing w:after="0"/>
              <w:rPr>
                <w:sz w:val="12"/>
                <w:szCs w:val="12"/>
                <w:color w:val="auto"/>
              </w:rPr>
            </w:pPr>
          </w:p>
        </w:tc>
        <w:tc>
          <w:tcPr>
            <w:tcW w:w="18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Market Yield</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9.6% – 34.7%(14.1%)</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2,715,722</w:t>
            </w:r>
          </w:p>
        </w:tc>
        <w:tc>
          <w:tcPr>
            <w:tcW w:w="50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48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shd w:val="clear" w:color="auto" w:fill="CCEEFF"/>
          </w:tcPr>
          <w:p>
            <w:pPr>
              <w:jc w:val="center"/>
              <w:ind w:right="480"/>
              <w:spacing w:after="0" w:line="149" w:lineRule="exact"/>
              <w:rPr>
                <w:sz w:val="20"/>
                <w:szCs w:val="20"/>
                <w:color w:val="auto"/>
              </w:rPr>
            </w:pPr>
            <w:r>
              <w:rPr>
                <w:rFonts w:ascii="Arial" w:cs="Arial" w:eastAsia="Arial" w:hAnsi="Arial"/>
                <w:sz w:val="14"/>
                <w:szCs w:val="14"/>
                <w:color w:val="auto"/>
                <w:w w:val="92"/>
              </w:rPr>
              <w:t>Broker/Dealer bid quotes</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100,453,864</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Enterprise Market Value</w:t>
            </w: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EBITDA multiple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3.4x – 22.5x (9.2x)</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1,297,427,455</w:t>
            </w:r>
          </w:p>
        </w:tc>
        <w:tc>
          <w:tcPr>
            <w:tcW w:w="1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94"/>
              </w:rPr>
              <w:t>Market Comparable</w:t>
            </w: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97"/>
              </w:rPr>
              <w:t>Market Yield</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0" w:type="dxa"/>
            <w:vAlign w:val="bottom"/>
          </w:tcPr>
          <w:p>
            <w:pPr>
              <w:spacing w:after="0" w:line="20" w:lineRule="exact"/>
              <w:rPr>
                <w:sz w:val="1"/>
                <w:szCs w:val="1"/>
                <w:color w:val="auto"/>
              </w:rPr>
            </w:pPr>
          </w:p>
        </w:tc>
      </w:tr>
      <w:tr>
        <w:trPr>
          <w:trHeight w:val="143"/>
        </w:trPr>
        <w:tc>
          <w:tcPr>
            <w:tcW w:w="460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132,356,860</w:t>
            </w:r>
          </w:p>
        </w:tc>
        <w:tc>
          <w:tcPr>
            <w:tcW w:w="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Fair Value at September 30, 2016</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3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7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Level 2</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6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1,000,146,681</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1,000,146,681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153,532,994</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2,758,757</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25,141,220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125,633,017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91"/>
              </w:rPr>
              <w:t>1,153,679,675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2,758,757</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25,141,220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1,125,779,698</w:t>
            </w:r>
          </w:p>
        </w:tc>
        <w:tc>
          <w:tcPr>
            <w:tcW w:w="0" w:type="dxa"/>
            <w:vAlign w:val="bottom"/>
          </w:tcPr>
          <w:p>
            <w:pPr>
              <w:spacing w:after="0"/>
              <w:rPr>
                <w:sz w:val="1"/>
                <w:szCs w:val="1"/>
                <w:color w:val="auto"/>
              </w:rPr>
            </w:pPr>
          </w:p>
        </w:tc>
      </w:tr>
      <w:tr>
        <w:trPr>
          <w:trHeight w:val="156"/>
        </w:trPr>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75,608,113</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8"/>
              </w:rPr>
              <w:t>75,608,113</w:t>
            </w:r>
          </w:p>
        </w:tc>
        <w:tc>
          <w:tcPr>
            <w:tcW w:w="8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1,229,287,788</w:t>
            </w: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78,366,870</w:t>
            </w: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25,141,220</w:t>
            </w: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1,125,779,698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gridSpan w:val="2"/>
            <w:vMerge w:val="continue"/>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39,551,187</w:t>
            </w:r>
          </w:p>
        </w:tc>
        <w:tc>
          <w:tcPr>
            <w:tcW w:w="7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39,551,187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254,175,000</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254,175,000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2025 Notes</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72,618,000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72,618,000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366,344,187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72,618,000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254,175,000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39,551,187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Fair Value at September 30, 2015</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Level 1</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Level 2</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6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104,789,964</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1,620,378</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103,169,586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91"/>
              </w:rPr>
              <w:t>1,299,047,833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1,620,378</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156"/>
        </w:trPr>
        <w:tc>
          <w:tcPr>
            <w:tcW w:w="52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49,619,256</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49,619,256</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91"/>
              </w:rPr>
              <w:t>1,348,667,089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49,619,256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1,620,378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7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253,102,500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253,102,500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2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71,136,000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71,136,000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456,595,360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71,136,000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253,102,500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132,356,860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240" w:type="dxa"/>
            <w:vAlign w:val="bottom"/>
          </w:tcPr>
          <w:p>
            <w:pPr>
              <w:spacing w:after="0"/>
              <w:rPr>
                <w:sz w:val="24"/>
                <w:szCs w:val="24"/>
                <w:color w:val="auto"/>
              </w:rPr>
            </w:pPr>
          </w:p>
        </w:tc>
        <w:tc>
          <w:tcPr>
            <w:tcW w:w="740" w:type="dxa"/>
            <w:vAlign w:val="bottom"/>
            <w:gridSpan w:val="2"/>
          </w:tcPr>
          <w:p>
            <w:pPr>
              <w:jc w:val="right"/>
              <w:ind w:right="69"/>
              <w:spacing w:after="0"/>
              <w:rPr>
                <w:sz w:val="20"/>
                <w:szCs w:val="20"/>
                <w:color w:val="auto"/>
              </w:rPr>
            </w:pPr>
            <w:r>
              <w:rPr>
                <w:rFonts w:ascii="Arial" w:cs="Arial" w:eastAsia="Arial" w:hAnsi="Arial"/>
                <w:sz w:val="14"/>
                <w:szCs w:val="14"/>
                <w:color w:val="auto"/>
              </w:rPr>
              <w:t>F-43</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 Ended September 30, 2016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Debt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investments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investments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1,297,427,455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realized (losses) gains</w:t>
            </w:r>
          </w:p>
        </w:tc>
        <w:tc>
          <w:tcPr>
            <w:tcW w:w="1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(91,185,306)</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5,717,455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(85,467,851)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unrealized appreciation</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9,948,715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15,492,038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25,440,753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302,824,970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48,102,684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350,927,654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(415,699,567)</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(19,857,743)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(435,557,310)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(26,991,003)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(26,991,003)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1,000,146,681</w:t>
            </w:r>
          </w:p>
        </w:tc>
        <w:tc>
          <w:tcPr>
            <w:tcW w:w="6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125,633,017</w:t>
            </w:r>
          </w:p>
        </w:tc>
        <w:tc>
          <w:tcPr>
            <w:tcW w:w="4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 appreciation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8"/>
              </w:rPr>
              <w:t>on investments in our Consolidated Statements of Operations attributable to our Level 3 assets still held at the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gridSpan w:val="2"/>
          </w:tcPr>
          <w:p>
            <w:pPr>
              <w:ind w:left="140"/>
              <w:spacing w:after="0"/>
              <w:rPr>
                <w:sz w:val="20"/>
                <w:szCs w:val="20"/>
                <w:color w:val="auto"/>
              </w:rPr>
            </w:pPr>
            <w:r>
              <w:rPr>
                <w:rFonts w:ascii="Arial" w:cs="Arial" w:eastAsia="Arial" w:hAnsi="Arial"/>
                <w:sz w:val="14"/>
                <w:szCs w:val="14"/>
                <w:color w:val="auto"/>
              </w:rPr>
              <w:t>reporting date.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(38,844,736)</w:t>
            </w:r>
          </w:p>
        </w:tc>
        <w:tc>
          <w:tcPr>
            <w:tcW w:w="6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3,040,478</w:t>
            </w:r>
          </w:p>
        </w:tc>
        <w:tc>
          <w:tcPr>
            <w:tcW w:w="44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(35,804,258)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 Ended September 30, 2015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Debt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investments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investments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1,161,475,899</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111,862,237</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1,273,338,136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realized (losses) gains</w:t>
            </w:r>
          </w:p>
        </w:tc>
        <w:tc>
          <w:tcPr>
            <w:tcW w:w="1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(3,035,810)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32,996,191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29,960,381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unrealized depreciation</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(76,638,642)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(43,251,477)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(119,890,119)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402,165,393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59,927,977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462,093,370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(333,344,376)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(57,130,358)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(390,474,734)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43,635,405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(1,234,984)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42,400,421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1,194,257,869</w:t>
            </w:r>
          </w:p>
        </w:tc>
        <w:tc>
          <w:tcPr>
            <w:tcW w:w="6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103,169,586</w:t>
            </w:r>
          </w:p>
        </w:tc>
        <w:tc>
          <w:tcPr>
            <w:tcW w:w="4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1,297,427,455</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appreciation on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gridSpan w:val="2"/>
          </w:tcPr>
          <w:p>
            <w:pPr>
              <w:ind w:left="140"/>
              <w:spacing w:after="0"/>
              <w:rPr>
                <w:sz w:val="20"/>
                <w:szCs w:val="20"/>
                <w:color w:val="auto"/>
              </w:rPr>
            </w:pPr>
            <w:r>
              <w:rPr>
                <w:rFonts w:ascii="Arial" w:cs="Arial" w:eastAsia="Arial" w:hAnsi="Arial"/>
                <w:sz w:val="14"/>
                <w:szCs w:val="14"/>
                <w:color w:val="auto"/>
                <w:w w:val="99"/>
              </w:rPr>
              <w:t>in our Consolidated Statements of Operations attributable to our Level 3 assets still held at the reporting date.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(72,798,807)</w:t>
            </w:r>
          </w:p>
        </w:tc>
        <w:tc>
          <w:tcPr>
            <w:tcW w:w="6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400"/>
              <w:spacing w:after="0"/>
              <w:rPr>
                <w:sz w:val="20"/>
                <w:szCs w:val="20"/>
                <w:color w:val="auto"/>
              </w:rPr>
            </w:pPr>
            <w:r>
              <w:rPr>
                <w:rFonts w:ascii="Arial" w:cs="Arial" w:eastAsia="Arial" w:hAnsi="Arial"/>
                <w:sz w:val="14"/>
                <w:szCs w:val="14"/>
                <w:color w:val="auto"/>
              </w:rPr>
              <w:t>(25,858,358)</w:t>
            </w: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(98,657,165)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table below shows a reconciliation of the beginning and ending balances for carrying/fair valued liabilities measured using significant unobservable inputs (Level 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 and 2019 Notes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8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$106,864,300 and $305,226,300, respectively)</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102,356,860</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304,847,870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(6,281,073)</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(1,026,510)</w:t>
            </w:r>
          </w:p>
        </w:tc>
        <w:tc>
          <w:tcPr>
            <w:tcW w:w="0" w:type="dxa"/>
            <w:vAlign w:val="bottom"/>
          </w:tcPr>
          <w:p>
            <w:pPr>
              <w:spacing w:after="0"/>
              <w:rPr>
                <w:sz w:val="1"/>
                <w:szCs w:val="1"/>
                <w:color w:val="auto"/>
              </w:rPr>
            </w:pPr>
          </w:p>
        </w:tc>
      </w:tr>
      <w:tr>
        <w:trPr>
          <w:trHeight w:val="149"/>
        </w:trPr>
        <w:tc>
          <w:tcPr>
            <w:tcW w:w="8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272,664,923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349,000,000</w:t>
            </w:r>
          </w:p>
        </w:tc>
        <w:tc>
          <w:tcPr>
            <w:tcW w:w="0" w:type="dxa"/>
            <w:vAlign w:val="bottom"/>
          </w:tcPr>
          <w:p>
            <w:pPr>
              <w:spacing w:after="0"/>
              <w:rPr>
                <w:sz w:val="1"/>
                <w:szCs w:val="1"/>
                <w:color w:val="auto"/>
              </w:rPr>
            </w:pPr>
          </w:p>
        </w:tc>
      </w:tr>
      <w:tr>
        <w:trPr>
          <w:trHeight w:val="149"/>
        </w:trPr>
        <w:tc>
          <w:tcPr>
            <w:tcW w:w="8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(329,189,523)</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(297,362,000)</w:t>
            </w:r>
          </w:p>
        </w:tc>
        <w:tc>
          <w:tcPr>
            <w:tcW w:w="0" w:type="dxa"/>
            <w:vAlign w:val="bottom"/>
          </w:tcPr>
          <w:p>
            <w:pPr>
              <w:spacing w:after="0"/>
              <w:rPr>
                <w:sz w:val="1"/>
                <w:szCs w:val="1"/>
                <w:color w:val="auto"/>
              </w:rPr>
            </w:pPr>
          </w:p>
        </w:tc>
      </w:tr>
      <w:tr>
        <w:trPr>
          <w:trHeight w:val="149"/>
        </w:trPr>
        <w:tc>
          <w:tcPr>
            <w:tcW w:w="8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(253,102,500)</w:t>
            </w: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$50,339,700 and $106,864,300, respectively)</w:t>
            </w:r>
          </w:p>
        </w:tc>
        <w:tc>
          <w:tcPr>
            <w:tcW w:w="20" w:type="dxa"/>
            <w:vAlign w:val="bottom"/>
          </w:tcPr>
          <w:p>
            <w:pPr>
              <w:spacing w:after="0"/>
              <w:rPr>
                <w:sz w:val="13"/>
                <w:szCs w:val="13"/>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102,356,860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$50,339,700 and $136,864,300, respectively)</w:t>
            </w: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132,356,860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We had outstanding non-USD borrowing on our Credit Facility. Net change in fair value on foreign currency translating on outstanding borrowings is listed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16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Original</w:t>
            </w:r>
          </w:p>
        </w:tc>
        <w:tc>
          <w:tcPr>
            <w:tcW w:w="340" w:type="dxa"/>
            <w:vAlign w:val="bottom"/>
          </w:tcPr>
          <w:p>
            <w:pPr>
              <w:spacing w:after="0"/>
              <w:rPr>
                <w:sz w:val="14"/>
                <w:szCs w:val="14"/>
                <w:color w:val="auto"/>
              </w:rPr>
            </w:pP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3"/>
              </w:rPr>
              <w:t>Current Value</w:t>
            </w: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Reset Date</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6"/>
              </w:rPr>
              <w:t>Net Change in Fair</w:t>
            </w:r>
          </w:p>
        </w:tc>
        <w:tc>
          <w:tcPr>
            <w:tcW w:w="0" w:type="dxa"/>
            <w:vAlign w:val="bottom"/>
          </w:tcPr>
          <w:p>
            <w:pPr>
              <w:spacing w:after="0"/>
              <w:rPr>
                <w:sz w:val="1"/>
                <w:szCs w:val="1"/>
                <w:color w:val="auto"/>
              </w:rPr>
            </w:pPr>
          </w:p>
        </w:tc>
      </w:tr>
      <w:tr>
        <w:trPr>
          <w:trHeight w:val="176"/>
        </w:trPr>
        <w:tc>
          <w:tcPr>
            <w:tcW w:w="3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Borrowing Cost</w:t>
            </w:r>
          </w:p>
        </w:tc>
        <w:tc>
          <w:tcPr>
            <w:tcW w:w="3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3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British Pound</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31,000,000</w:t>
            </w: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50,339,700</w:t>
            </w: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40,180,433</w:t>
            </w:r>
          </w:p>
        </w:tc>
        <w:tc>
          <w:tcPr>
            <w:tcW w:w="3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October 3, 2016</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(10,159,267)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British Pound</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28,000,000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46,864,300</w:t>
            </w:r>
          </w:p>
        </w:tc>
        <w:tc>
          <w:tcPr>
            <w:tcW w:w="50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42,356,860</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2015</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(4,507,440)</w:t>
            </w:r>
          </w:p>
        </w:tc>
        <w:tc>
          <w:tcPr>
            <w:tcW w:w="0" w:type="dxa"/>
            <w:vAlign w:val="bottom"/>
          </w:tcPr>
          <w:p>
            <w:pPr>
              <w:spacing w:after="0"/>
              <w:rPr>
                <w:sz w:val="1"/>
                <w:szCs w:val="1"/>
                <w:color w:val="auto"/>
              </w:rPr>
            </w:pPr>
          </w:p>
        </w:tc>
      </w:tr>
      <w:tr>
        <w:trPr>
          <w:trHeight w:val="278"/>
        </w:trPr>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color w:val="auto"/>
              </w:rPr>
              <w:t>F-44</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firstLine="685"/>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incurred zero, zero and $8.3 million relating to debt issuance costs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fiscal years ended September 30, 2016, 2015 and 2014, our Credit Facility and our Notes had a net change in unrealized depreciation (appreciation) of $3.7 million, $1.7 million and $(3.0) million, respectively. As of September 30, 2016 and 2015, net unrealized depreciation on our Credit Facility and our Notes totaled $5.2 million and $1.5 million, respectively. We use a nationally recognized independent valuation service to measure the fair value of our Credit Facility and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360" w:firstLine="68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 Value at</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Purchases of /</w:t>
            </w:r>
          </w:p>
        </w:tc>
        <w:tc>
          <w:tcPr>
            <w:tcW w:w="1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 of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9"/>
              </w:rPr>
              <w:t xml:space="preserve">September 30, 2015 </w:t>
            </w:r>
            <w:r>
              <w:rPr>
                <w:rFonts w:ascii="Arial" w:cs="Arial" w:eastAsia="Arial" w:hAnsi="Arial"/>
                <w:sz w:val="12"/>
                <w:szCs w:val="12"/>
                <w:b w:val="1"/>
                <w:bCs w:val="1"/>
                <w:color w:val="auto"/>
                <w:w w:val="99"/>
              </w:rPr>
              <w:t>(1)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Accrued</w:t>
            </w:r>
          </w:p>
        </w:tc>
        <w:tc>
          <w:tcPr>
            <w:tcW w:w="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9"/>
              </w:rPr>
              <w:t xml:space="preserve">September 30, 2016 </w:t>
            </w:r>
            <w:r>
              <w:rPr>
                <w:rFonts w:ascii="Arial" w:cs="Arial" w:eastAsia="Arial" w:hAnsi="Arial"/>
                <w:sz w:val="12"/>
                <w:szCs w:val="12"/>
                <w:b w:val="1"/>
                <w:bCs w:val="1"/>
                <w:color w:val="auto"/>
                <w:w w:val="99"/>
              </w:rPr>
              <w:t>(1)</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42"/>
        </w:trPr>
        <w:tc>
          <w:tcPr>
            <w:tcW w:w="3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40" w:type="dxa"/>
            <w:vAlign w:val="bottom"/>
          </w:tcPr>
          <w:p>
            <w:pPr>
              <w:spacing w:after="0" w:line="130" w:lineRule="exact"/>
              <w:rPr>
                <w:sz w:val="20"/>
                <w:szCs w:val="20"/>
                <w:color w:val="auto"/>
              </w:rPr>
            </w:pPr>
            <w:r>
              <w:rPr>
                <w:rFonts w:ascii="Arial" w:cs="Arial" w:eastAsia="Arial" w:hAnsi="Arial"/>
                <w:sz w:val="14"/>
                <w:szCs w:val="14"/>
                <w:color w:val="auto"/>
              </w:rPr>
              <w:t>MidOcean JF Holdings Corp.</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160"/>
              <w:spacing w:after="0"/>
              <w:rPr>
                <w:sz w:val="20"/>
                <w:szCs w:val="20"/>
                <w:color w:val="auto"/>
              </w:rPr>
            </w:pPr>
            <w:r>
              <w:rPr>
                <w:rFonts w:ascii="Arial" w:cs="Arial" w:eastAsia="Arial" w:hAnsi="Arial"/>
                <w:sz w:val="14"/>
                <w:szCs w:val="14"/>
                <w:color w:val="auto"/>
              </w:rPr>
              <w:t>(JF Acquisition, LLC)</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6,900,207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14,318,325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22,837,602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72,759,582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8,181,067</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8,445,233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68,319,399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27,165,861</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10,674,296</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5,036,450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33,862,636</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341,025</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2,369,417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57,109,394</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Corfin Industries LLC </w:t>
            </w: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24,351,000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(177,750)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2,325,887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25,853,063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DirectBuy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6,284,194</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(751,537)</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2,799,695</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20,464,829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931,525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22,522,000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840" w:type="dxa"/>
            <w:vAlign w:val="bottom"/>
          </w:tcPr>
          <w:p>
            <w:pPr>
              <w:spacing w:after="0" w:line="130" w:lineRule="exact"/>
              <w:rPr>
                <w:sz w:val="20"/>
                <w:szCs w:val="20"/>
                <w:color w:val="auto"/>
              </w:rPr>
            </w:pPr>
            <w:r>
              <w:rPr>
                <w:rFonts w:ascii="Arial" w:cs="Arial" w:eastAsia="Arial" w:hAnsi="Arial"/>
                <w:sz w:val="14"/>
                <w:szCs w:val="14"/>
                <w:color w:val="auto"/>
              </w:rPr>
              <w:t xml:space="preserve">ETX Energy, LLC </w:t>
            </w:r>
            <w:r>
              <w:rPr>
                <w:rFonts w:ascii="Arial" w:cs="Arial" w:eastAsia="Arial" w:hAnsi="Arial"/>
                <w:sz w:val="12"/>
                <w:szCs w:val="12"/>
                <w:color w:val="auto"/>
              </w:rPr>
              <w:t>(4)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160"/>
              <w:spacing w:after="0"/>
              <w:rPr>
                <w:sz w:val="20"/>
                <w:szCs w:val="20"/>
                <w:color w:val="auto"/>
              </w:rPr>
            </w:pPr>
            <w:r>
              <w:rPr>
                <w:rFonts w:ascii="Arial" w:cs="Arial" w:eastAsia="Arial" w:hAnsi="Arial"/>
                <w:sz w:val="14"/>
                <w:szCs w:val="14"/>
                <w:color w:val="auto"/>
              </w:rPr>
              <w:t>(f/k/a New Gulf Resources, LLC)</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766,596</w:t>
            </w: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185,836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35,416,730</w:t>
            </w:r>
          </w:p>
        </w:tc>
        <w:tc>
          <w:tcPr>
            <w:tcW w:w="1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NCP-Performance, L.P.</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11,432,674</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2,811,733</w:t>
            </w: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(22,265)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682,190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8,233,630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32,388,562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3,673,874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34,898,025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24,932,845</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24,000,000</w:t>
            </w: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(21,750,000)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2,967,159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28,360,010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38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Controlled and Non-Controlled</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Affiliates</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202,328,754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84,692,505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(21,950,015)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26,617,571</w:t>
            </w: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340,212,184</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0" w:lineRule="exact"/>
        <w:rPr>
          <w:sz w:val="20"/>
          <w:szCs w:val="20"/>
          <w:color w:val="auto"/>
        </w:rPr>
      </w:pPr>
    </w:p>
    <w:p>
      <w:pPr>
        <w:ind w:left="580" w:hanging="572"/>
        <w:spacing w:after="0"/>
        <w:tabs>
          <w:tab w:leader="none" w:pos="5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580" w:hanging="572"/>
        <w:spacing w:after="0" w:line="221" w:lineRule="auto"/>
        <w:tabs>
          <w:tab w:leader="none" w:pos="5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Includes PIK and PIK adjustments.</w:t>
      </w:r>
    </w:p>
    <w:p>
      <w:pPr>
        <w:ind w:left="580" w:hanging="572"/>
        <w:spacing w:after="0" w:line="221" w:lineRule="auto"/>
        <w:tabs>
          <w:tab w:leader="none" w:pos="5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2015.</w:t>
      </w:r>
    </w:p>
    <w:p>
      <w:pPr>
        <w:ind w:left="580" w:hanging="572"/>
        <w:spacing w:after="0"/>
        <w:tabs>
          <w:tab w:leader="none" w:pos="5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June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r>
      <w:tr>
        <w:trPr>
          <w:trHeight w:val="142"/>
        </w:trPr>
        <w:tc>
          <w:tcPr>
            <w:tcW w:w="5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8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18,736,706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(10,245,652)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110,983,477</w:t>
            </w:r>
          </w:p>
        </w:tc>
        <w:tc>
          <w:tcPr>
            <w:tcW w:w="40" w:type="dxa"/>
            <w:vAlign w:val="bottom"/>
            <w:shd w:val="clear" w:color="auto" w:fill="CCEEFF"/>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and weighted average shares</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71,621,530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74,755,139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67,058,474</w:t>
            </w:r>
          </w:p>
        </w:tc>
        <w:tc>
          <w:tcPr>
            <w:tcW w:w="40" w:type="dxa"/>
            <w:vAlign w:val="bottom"/>
          </w:tcPr>
          <w:p>
            <w:pPr>
              <w:spacing w:after="0"/>
              <w:rPr>
                <w:sz w:val="12"/>
                <w:szCs w:val="12"/>
                <w:color w:val="auto"/>
              </w:rPr>
            </w:pP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Basic and diluted net increase (decrease) in net assets per share resulting from operations</w:t>
            </w:r>
          </w:p>
        </w:tc>
        <w:tc>
          <w:tcPr>
            <w:tcW w:w="29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0.26</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(0.14)</w:t>
            </w:r>
          </w:p>
        </w:tc>
        <w:tc>
          <w:tcPr>
            <w:tcW w:w="28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1.66</w:t>
            </w:r>
          </w:p>
        </w:tc>
      </w:tr>
      <w:tr>
        <w:trPr>
          <w:trHeight w:val="312"/>
        </w:trPr>
        <w:tc>
          <w:tcPr>
            <w:tcW w:w="5360" w:type="dxa"/>
            <w:vAlign w:val="bottom"/>
          </w:tcPr>
          <w:p>
            <w:pPr>
              <w:spacing w:after="0"/>
              <w:rPr>
                <w:sz w:val="24"/>
                <w:szCs w:val="24"/>
                <w:color w:val="auto"/>
              </w:rPr>
            </w:pPr>
          </w:p>
        </w:tc>
        <w:tc>
          <w:tcPr>
            <w:tcW w:w="2980" w:type="dxa"/>
            <w:vAlign w:val="bottom"/>
            <w:gridSpan w:val="2"/>
          </w:tcPr>
          <w:p>
            <w:pPr>
              <w:jc w:val="right"/>
              <w:ind w:right="2429"/>
              <w:spacing w:after="0"/>
              <w:rPr>
                <w:sz w:val="20"/>
                <w:szCs w:val="20"/>
                <w:color w:val="auto"/>
              </w:rPr>
            </w:pPr>
            <w:r>
              <w:rPr>
                <w:rFonts w:ascii="Arial" w:cs="Arial" w:eastAsia="Arial" w:hAnsi="Arial"/>
                <w:sz w:val="14"/>
                <w:szCs w:val="14"/>
                <w:color w:val="auto"/>
              </w:rPr>
              <w:t>F-45</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40" w:firstLine="685"/>
        <w:spacing w:after="0" w:line="234" w:lineRule="auto"/>
        <w:rPr>
          <w:sz w:val="20"/>
          <w:szCs w:val="20"/>
          <w:color w:val="auto"/>
        </w:rPr>
      </w:pPr>
      <w:r>
        <w:rPr>
          <w:rFonts w:ascii="Arial" w:cs="Arial" w:eastAsia="Arial" w:hAnsi="Arial"/>
          <w:sz w:val="14"/>
          <w:szCs w:val="14"/>
          <w:color w:val="auto"/>
        </w:rPr>
        <w:t>Distributions from net investment income and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15" w:lineRule="exact"/>
        <w:rPr>
          <w:sz w:val="20"/>
          <w:szCs w:val="20"/>
          <w:color w:val="auto"/>
        </w:rPr>
      </w:pPr>
    </w:p>
    <w:p>
      <w:pPr>
        <w:ind w:right="360" w:firstLine="685"/>
        <w:spacing w:after="0" w:line="253" w:lineRule="auto"/>
        <w:rPr>
          <w:sz w:val="20"/>
          <w:szCs w:val="20"/>
          <w:color w:val="auto"/>
        </w:rPr>
      </w:pPr>
      <w:r>
        <w:rPr>
          <w:rFonts w:ascii="Arial" w:cs="Arial" w:eastAsia="Arial" w:hAnsi="Arial"/>
          <w:sz w:val="14"/>
          <w:szCs w:val="14"/>
          <w:color w:val="auto"/>
        </w:rPr>
        <w:t>As of September 30, 2016 and 2015, the cost of investments for federal income tax purposes was $1,254.1 million and $1,422.5 million, respectively, resulting in a gross unrealized appreciation of $75.1 million and $57.9 million, respectively, and depreciation of $175.5 million and $181.1 million, respectively.</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w w:val="91"/>
              </w:rPr>
              <w:t>Years Ended September 30,</w:t>
            </w:r>
          </w:p>
        </w:tc>
        <w:tc>
          <w:tcPr>
            <w:tcW w:w="8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r>
      <w:tr>
        <w:trPr>
          <w:trHeight w:val="142"/>
        </w:trPr>
        <w:tc>
          <w:tcPr>
            <w:tcW w:w="7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increase in paid-in capital</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(2,548,967)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142,244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(1,161)</w:t>
            </w:r>
          </w:p>
        </w:tc>
        <w:tc>
          <w:tcPr>
            <w:tcW w:w="580" w:type="dxa"/>
            <w:vAlign w:val="bottom"/>
            <w:shd w:val="clear" w:color="auto" w:fill="CCEEFF"/>
          </w:tcPr>
          <w:p>
            <w:pPr>
              <w:spacing w:after="0"/>
              <w:rPr>
                <w:sz w:val="12"/>
                <w:szCs w:val="12"/>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(Decrease) increase in accumulated net realized gain</w:t>
            </w:r>
          </w:p>
        </w:tc>
        <w:tc>
          <w:tcPr>
            <w:tcW w:w="2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(1,449,411)</w:t>
            </w:r>
          </w:p>
        </w:tc>
        <w:tc>
          <w:tcPr>
            <w:tcW w:w="1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462,913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1,519,280</w:t>
            </w:r>
          </w:p>
        </w:tc>
        <w:tc>
          <w:tcPr>
            <w:tcW w:w="580" w:type="dxa"/>
            <w:vAlign w:val="bottom"/>
          </w:tcPr>
          <w:p>
            <w:pPr>
              <w:spacing w:after="0"/>
              <w:rPr>
                <w:sz w:val="12"/>
                <w:szCs w:val="12"/>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undistributed net investment income</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3,998,378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(605,157)</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(1,518,119)</w:t>
            </w:r>
          </w:p>
        </w:tc>
      </w:tr>
      <w:tr>
        <w:trPr>
          <w:trHeight w:val="380"/>
        </w:trPr>
        <w:tc>
          <w:tcPr>
            <w:tcW w:w="7200" w:type="dxa"/>
            <w:vAlign w:val="bottom"/>
          </w:tcPr>
          <w:p>
            <w:pPr>
              <w:ind w:left="540"/>
              <w:spacing w:after="0"/>
              <w:rPr>
                <w:sz w:val="20"/>
                <w:szCs w:val="20"/>
                <w:color w:val="auto"/>
              </w:rPr>
            </w:pPr>
            <w:r>
              <w:rPr>
                <w:rFonts w:ascii="Arial" w:cs="Arial" w:eastAsia="Arial" w:hAnsi="Arial"/>
                <w:sz w:val="14"/>
                <w:szCs w:val="14"/>
                <w:color w:val="auto"/>
              </w:rPr>
              <w:t>The following reconciles net increase (decrease) in net assets resulting from operations to taxable income: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0"/>
        </w:trPr>
        <w:tc>
          <w:tcPr>
            <w:tcW w:w="7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w w:val="91"/>
              </w:rPr>
              <w:t>Years Ended September 30,</w:t>
            </w:r>
          </w:p>
        </w:tc>
        <w:tc>
          <w:tcPr>
            <w:tcW w:w="8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r>
      <w:tr>
        <w:trPr>
          <w:trHeight w:val="142"/>
        </w:trPr>
        <w:tc>
          <w:tcPr>
            <w:tcW w:w="7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net assets resulting from operations</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18,736,706</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(10,245,652)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110,983,477</w:t>
            </w:r>
          </w:p>
        </w:tc>
        <w:tc>
          <w:tcPr>
            <w:tcW w:w="580" w:type="dxa"/>
            <w:vAlign w:val="bottom"/>
            <w:shd w:val="clear" w:color="auto" w:fill="CCEEFF"/>
          </w:tcPr>
          <w:p>
            <w:pPr>
              <w:spacing w:after="0"/>
              <w:rPr>
                <w:sz w:val="12"/>
                <w:szCs w:val="12"/>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80,530,707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(8,249,375)</w:t>
            </w:r>
          </w:p>
        </w:tc>
        <w:tc>
          <w:tcPr>
            <w:tcW w:w="20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(30,235,265)</w:t>
            </w: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 investments and debt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(28,652,631)</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122,615,435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(9,419,695)</w:t>
            </w: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Other book-to-tax differences</w:t>
            </w:r>
          </w:p>
        </w:tc>
        <w:tc>
          <w:tcPr>
            <w:tcW w:w="2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(1,438,839)</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2,294,934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3,877,560</w:t>
            </w:r>
          </w:p>
        </w:tc>
        <w:tc>
          <w:tcPr>
            <w:tcW w:w="580" w:type="dxa"/>
            <w:vAlign w:val="bottom"/>
          </w:tcPr>
          <w:p>
            <w:pPr>
              <w:spacing w:after="0"/>
              <w:rPr>
                <w:sz w:val="12"/>
                <w:szCs w:val="12"/>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3,648,098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82,151</w:t>
            </w:r>
          </w:p>
        </w:tc>
      </w:tr>
      <w:tr>
        <w:trPr>
          <w:trHeight w:val="156"/>
        </w:trPr>
        <w:tc>
          <w:tcPr>
            <w:tcW w:w="720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72,824,041</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106,415,342</w:t>
            </w: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75,288,228</w:t>
            </w:r>
          </w:p>
        </w:tc>
        <w:tc>
          <w:tcPr>
            <w:tcW w:w="580" w:type="dxa"/>
            <w:vAlign w:val="bottom"/>
          </w:tcPr>
          <w:p>
            <w:pPr>
              <w:spacing w:after="0"/>
              <w:rPr>
                <w:sz w:val="13"/>
                <w:szCs w:val="13"/>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As of September 30,</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31,137,312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8"/>
              </w:rPr>
              <w:t>16,915,624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16,082,048</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Undistributed long-term capital (loss carryforward) gain</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(81,242,318)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21,711,007</w:t>
            </w:r>
          </w:p>
        </w:tc>
        <w:tc>
          <w:tcPr>
            <w:tcW w:w="20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(8,518,111)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 and other book to tax differences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(31,547,434)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(33,132,212)</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(31,021,819)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of investments and debt</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(95,035,441)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(123,688,072)</w:t>
            </w:r>
          </w:p>
        </w:tc>
        <w:tc>
          <w:tcPr>
            <w:tcW w:w="20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(1,072,637)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accumulated deficit – book basis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(176,687,881)</w:t>
            </w: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(118,193,653)</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(24,530,519)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520"/>
              <w:spacing w:after="0"/>
              <w:rPr>
                <w:sz w:val="20"/>
                <w:szCs w:val="20"/>
                <w:color w:val="auto"/>
              </w:rPr>
            </w:pPr>
            <w:r>
              <w:rPr>
                <w:rFonts w:ascii="Arial" w:cs="Arial" w:eastAsia="Arial" w:hAnsi="Arial"/>
                <w:sz w:val="14"/>
                <w:szCs w:val="14"/>
                <w:color w:val="auto"/>
              </w:rPr>
              <w:t>The tax characteristics of distributions declared are as follows:</w:t>
            </w: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88"/>
              <w:spacing w:after="0"/>
              <w:rPr>
                <w:sz w:val="20"/>
                <w:szCs w:val="20"/>
                <w:color w:val="auto"/>
              </w:rPr>
            </w:pPr>
            <w:r>
              <w:rPr>
                <w:rFonts w:ascii="Arial" w:cs="Arial" w:eastAsia="Arial" w:hAnsi="Arial"/>
                <w:sz w:val="14"/>
                <w:szCs w:val="14"/>
                <w:b w:val="1"/>
                <w:bCs w:val="1"/>
                <w:color w:val="auto"/>
              </w:rPr>
              <w:t>Years Ended September 30,</w:t>
            </w:r>
          </w:p>
        </w:tc>
        <w:tc>
          <w:tcPr>
            <w:tcW w:w="8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58,068,894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8"/>
              </w:rPr>
              <w:t>83,275,238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76,937,761</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21,711,007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79,779,901</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83,275,238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76,937,761</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gridSpan w:val="2"/>
          </w:tcPr>
          <w:p>
            <w:pPr>
              <w:spacing w:after="0" w:line="155" w:lineRule="exact"/>
              <w:rPr>
                <w:sz w:val="20"/>
                <w:szCs w:val="20"/>
                <w:color w:val="auto"/>
              </w:rPr>
            </w:pPr>
            <w:r>
              <w:rPr>
                <w:rFonts w:ascii="Arial" w:cs="Arial" w:eastAsia="Arial" w:hAnsi="Arial"/>
                <w:sz w:val="14"/>
                <w:szCs w:val="14"/>
                <w:color w:val="auto"/>
              </w:rPr>
              <w:t>Total distributions per share based on weighted average shares</w:t>
            </w:r>
          </w:p>
        </w:tc>
        <w:tc>
          <w:tcPr>
            <w:tcW w:w="23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80"/>
              </w:rPr>
              <w:t>1.11</w:t>
            </w: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500" w:type="dxa"/>
            <w:vAlign w:val="bottom"/>
            <w:gridSpan w:val="2"/>
          </w:tcPr>
          <w:p>
            <w:pPr>
              <w:jc w:val="right"/>
              <w:ind w:right="1428"/>
              <w:spacing w:after="0"/>
              <w:rPr>
                <w:sz w:val="20"/>
                <w:szCs w:val="20"/>
                <w:color w:val="auto"/>
              </w:rPr>
            </w:pPr>
            <w:r>
              <w:rPr>
                <w:rFonts w:ascii="Arial" w:cs="Arial" w:eastAsia="Arial" w:hAnsi="Arial"/>
                <w:sz w:val="14"/>
                <w:szCs w:val="14"/>
                <w:color w:val="auto"/>
              </w:rPr>
              <w:t>F-46</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40" w:lineRule="exact"/>
        <w:rPr>
          <w:sz w:val="20"/>
          <w:szCs w:val="20"/>
          <w:color w:val="auto"/>
        </w:rPr>
      </w:pPr>
    </w:p>
    <w:p>
      <w:pPr>
        <w:ind w:right="40" w:firstLine="685"/>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2016 and 2015, cash and cash equivalents consisted of $75.6 million and $49.6 million at fair value,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240" w:type="dxa"/>
            <w:vAlign w:val="bottom"/>
          </w:tcPr>
          <w:p>
            <w:pPr>
              <w:ind w:left="680"/>
              <w:spacing w:after="0"/>
              <w:rPr>
                <w:sz w:val="20"/>
                <w:szCs w:val="20"/>
                <w:color w:val="auto"/>
              </w:rPr>
            </w:pPr>
            <w:r>
              <w:rPr>
                <w:rFonts w:ascii="Arial" w:cs="Arial" w:eastAsia="Arial" w:hAnsi="Arial"/>
                <w:sz w:val="14"/>
                <w:szCs w:val="14"/>
                <w:color w:val="auto"/>
              </w:rPr>
              <w:t>Below are the financial highlights for the years ended September 30:</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2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(9)</w:t>
            </w: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2"/>
                <w:szCs w:val="12"/>
                <w:b w:val="1"/>
                <w:bCs w:val="1"/>
                <w:color w:val="auto"/>
              </w:rPr>
              <w:t>(9)</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9.82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11.03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10.49</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0.99</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(0.73)</w:t>
            </w:r>
          </w:p>
        </w:tc>
        <w:tc>
          <w:tcPr>
            <w:tcW w:w="14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(1.24)</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0.38</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0.26</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Distribution of net investment income</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Distribution of realized gains</w:t>
            </w:r>
          </w:p>
        </w:tc>
        <w:tc>
          <w:tcPr>
            <w:tcW w:w="16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(0.30)</w:t>
            </w:r>
          </w:p>
        </w:tc>
        <w:tc>
          <w:tcPr>
            <w:tcW w:w="14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 to stockholders</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0.08</w:t>
            </w:r>
          </w:p>
        </w:tc>
        <w:tc>
          <w:tcPr>
            <w:tcW w:w="14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0.04</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Net asset value, end of year</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9.82</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year</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7.52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6.47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10.91</w:t>
            </w:r>
          </w:p>
        </w:tc>
        <w:tc>
          <w:tcPr>
            <w:tcW w:w="26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11.28</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36.64%</w:t>
            </w:r>
          </w:p>
        </w:tc>
        <w:tc>
          <w:tcPr>
            <w:tcW w:w="140" w:type="dxa"/>
            <w:vAlign w:val="bottom"/>
          </w:tcPr>
          <w:p>
            <w:pPr>
              <w:spacing w:after="0"/>
              <w:rPr>
                <w:sz w:val="12"/>
                <w:szCs w:val="12"/>
                <w:color w:val="auto"/>
              </w:rPr>
            </w:pPr>
          </w:p>
        </w:tc>
        <w:tc>
          <w:tcPr>
            <w:tcW w:w="11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(32.51)%</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6.76%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17.37%</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71,060,836</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72,966,043</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75,092,911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66,499,327</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65,514,503</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Ratio / Supplemental Data:</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6.65%</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4.18%</w:t>
            </w:r>
          </w:p>
        </w:tc>
        <w:tc>
          <w:tcPr>
            <w:tcW w:w="1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3.39%</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10.83%</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10.20%</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10.70%</w:t>
            </w:r>
          </w:p>
        </w:tc>
        <w:tc>
          <w:tcPr>
            <w:tcW w:w="1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10.57%</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9.60%</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year</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7"/>
              </w:rPr>
              <w:t>643,366,856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716,590,542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828,009,949</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697,506,199</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669,717,047</w:t>
            </w:r>
          </w:p>
        </w:tc>
        <w:tc>
          <w:tcPr>
            <w:tcW w:w="0" w:type="dxa"/>
            <w:vAlign w:val="bottom"/>
          </w:tcPr>
          <w:p>
            <w:pPr>
              <w:spacing w:after="0"/>
              <w:rPr>
                <w:sz w:val="1"/>
                <w:szCs w:val="1"/>
                <w:color w:val="auto"/>
              </w:rPr>
            </w:pPr>
          </w:p>
        </w:tc>
      </w:tr>
      <w:tr>
        <w:trPr>
          <w:trHeight w:val="163"/>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634,769,508</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580,367,750</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526,252,068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363,246,849</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340,868,033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7.85</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2,756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2,569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3,198</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4,261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(8)</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24.68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25.13</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24.79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6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26.50%</w:t>
            </w:r>
          </w:p>
        </w:tc>
        <w:tc>
          <w:tcPr>
            <w:tcW w:w="1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30.17%</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40.91%</w:t>
            </w:r>
          </w:p>
        </w:tc>
        <w:tc>
          <w:tcPr>
            <w:tcW w:w="1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865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51"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580" w:right="30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58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58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580" w:right="20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For the year ended September 30, 2016, the ratio of operating expenses before the waiver of Management Fees to average net assets was 7.64% and the ratio of total expenses before the waiver of Management Fees to average net assets was 11.82%.</w:t>
      </w:r>
    </w:p>
    <w:p>
      <w:pPr>
        <w:ind w:left="58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580" w:right="80" w:hanging="572"/>
        <w:spacing w:after="0" w:line="238" w:lineRule="auto"/>
        <w:tabs>
          <w:tab w:leader="none" w:pos="58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an exemptive relief letter provided by the SEC in June 2011.</w:t>
      </w:r>
    </w:p>
    <w:p>
      <w:pPr>
        <w:ind w:left="580" w:right="14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w:t>
      </w:r>
    </w:p>
    <w:p>
      <w:pPr>
        <w:ind w:left="580" w:hanging="572"/>
        <w:spacing w:after="0"/>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Audited by predecessor auditors.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right="280" w:firstLine="685"/>
        <w:spacing w:after="0" w:line="234" w:lineRule="auto"/>
        <w:rPr>
          <w:sz w:val="20"/>
          <w:szCs w:val="20"/>
          <w:color w:val="auto"/>
        </w:rPr>
      </w:pPr>
      <w:r>
        <w:rPr>
          <w:rFonts w:ascii="Arial" w:cs="Arial" w:eastAsia="Arial" w:hAnsi="Arial"/>
          <w:sz w:val="14"/>
          <w:szCs w:val="14"/>
          <w:color w:val="auto"/>
        </w:rPr>
        <w:t>Our annualized weighted average cost of debt for the fiscal years ended September 30, 2016 and 2015, inclusive of the fee on the undrawn commitment on the Credit Facility and amortized upfront fees on SBA debentures but excluding debt issuance costs, was 4.35% and 4.54%,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23" w:lineRule="exact"/>
        <w:rPr>
          <w:sz w:val="20"/>
          <w:szCs w:val="20"/>
          <w:color w:val="auto"/>
        </w:rPr>
      </w:pPr>
    </w:p>
    <w:p>
      <w:pPr>
        <w:ind w:right="120" w:firstLine="685"/>
        <w:spacing w:after="0" w:line="231" w:lineRule="auto"/>
        <w:rPr>
          <w:sz w:val="20"/>
          <w:szCs w:val="20"/>
          <w:color w:val="auto"/>
        </w:rPr>
      </w:pPr>
      <w:r>
        <w:rPr>
          <w:rFonts w:ascii="Arial" w:cs="Arial" w:eastAsia="Arial" w:hAnsi="Arial"/>
          <w:sz w:val="14"/>
          <w:szCs w:val="14"/>
          <w:color w:val="auto"/>
        </w:rPr>
        <w:t>As of September 30, 2016, we had a $545 million multi-currency Credit Facility with certain lenders and SunTrust Bank, acting as administrative agent, and JPMorgan Chase Bank, N.A., acting as syndication agent for the lenders. As of September 30, 2016 and 2015, there was $50.3 million and $136.9 million (including a temporary draw of $30.0 million), respectively, in outstanding borrowings under the Credit Facility. The Credit Facility had a weighted average interest rate at the time of 2.76% and 3.07%, respectively, exclusive of the fee on undrawn commitments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right="20" w:firstLine="685"/>
        <w:spacing w:after="0" w:line="249"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September 30, 2016. We have funded SBIC II with $52.5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per recent regulatory changes, as part of a group of SBICs under common control may borrow a maximum of $350.0 million in the aggregate.</w:t>
      </w:r>
    </w:p>
    <w:p>
      <w:pPr>
        <w:spacing w:after="0" w:line="96"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As of September 30, 2016 and 2015, our SBIC Funds had $225.0 million in debt commitments, of which $197.5 million and $150.0 million was drawn, respectively. As of September 30, 2016 and 2015, the unamortized fees on the SBA debentures was $4.3 million and $3.7 million, respectively. The SBA debentures’ upfront fees of 3.43% consist of a commitment fee of 1.00% and an issuance discount of 2.43%, which are being amortized.</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fixed-rate SBA debentures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Issuance Dates</w:t>
            </w:r>
          </w:p>
        </w:tc>
        <w:tc>
          <w:tcPr>
            <w:tcW w:w="740" w:type="dxa"/>
            <w:vAlign w:val="bottom"/>
            <w:vMerge w:val="restart"/>
          </w:tcPr>
          <w:p>
            <w:pPr>
              <w:spacing w:after="0"/>
              <w:rPr>
                <w:sz w:val="14"/>
                <w:szCs w:val="14"/>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720" w:type="dxa"/>
            <w:vAlign w:val="bottom"/>
            <w:vMerge w:val="restart"/>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Fixed All-in</w:t>
            </w: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2016</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 2015</w:t>
            </w: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coupon rate</w:t>
            </w:r>
            <w:r>
              <w:rPr>
                <w:rFonts w:ascii="Arial" w:cs="Arial" w:eastAsia="Arial" w:hAnsi="Arial"/>
                <w:sz w:val="12"/>
                <w:szCs w:val="12"/>
                <w:b w:val="1"/>
                <w:bCs w:val="1"/>
                <w:color w:val="auto"/>
              </w:rPr>
              <w:t>(1), (2)</w:t>
            </w:r>
          </w:p>
        </w:tc>
        <w:tc>
          <w:tcPr>
            <w:tcW w:w="140" w:type="dxa"/>
            <w:vAlign w:val="bottom"/>
          </w:tcPr>
          <w:p>
            <w:pPr>
              <w:spacing w:after="0"/>
              <w:rPr>
                <w:sz w:val="14"/>
                <w:szCs w:val="14"/>
                <w:color w:val="auto"/>
              </w:rPr>
            </w:pPr>
          </w:p>
        </w:tc>
        <w:tc>
          <w:tcPr>
            <w:tcW w:w="2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 Balance</w:t>
            </w:r>
          </w:p>
        </w:tc>
        <w:tc>
          <w:tcPr>
            <w:tcW w:w="16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Principal Balance</w:t>
            </w: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22, 2010</w:t>
            </w:r>
          </w:p>
        </w:tc>
        <w:tc>
          <w:tcPr>
            <w:tcW w:w="740" w:type="dxa"/>
            <w:vAlign w:val="bottom"/>
            <w:vMerge w:val="continue"/>
            <w:shd w:val="clear" w:color="auto" w:fill="CCEEFF"/>
          </w:tcPr>
          <w:p>
            <w:pPr>
              <w:spacing w:after="0"/>
              <w:rPr>
                <w:sz w:val="12"/>
                <w:szCs w:val="12"/>
                <w:color w:val="auto"/>
              </w:rPr>
            </w:pPr>
          </w:p>
        </w:tc>
        <w:tc>
          <w:tcPr>
            <w:tcW w:w="1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5"/>
              </w:rPr>
              <w:t>September 1, 2020</w:t>
            </w:r>
          </w:p>
        </w:tc>
        <w:tc>
          <w:tcPr>
            <w:tcW w:w="720" w:type="dxa"/>
            <w:vAlign w:val="bottom"/>
            <w:vMerge w:val="continue"/>
            <w:shd w:val="clear" w:color="auto" w:fill="CCEEFF"/>
          </w:tcPr>
          <w:p>
            <w:pPr>
              <w:spacing w:after="0"/>
              <w:rPr>
                <w:sz w:val="12"/>
                <w:szCs w:val="12"/>
                <w:color w:val="auto"/>
              </w:rPr>
            </w:pPr>
          </w:p>
        </w:tc>
        <w:tc>
          <w:tcPr>
            <w:tcW w:w="2000" w:type="dxa"/>
            <w:vAlign w:val="bottom"/>
            <w:gridSpan w:val="2"/>
            <w:shd w:val="clear" w:color="auto" w:fill="CCEEFF"/>
          </w:tcPr>
          <w:p>
            <w:pPr>
              <w:ind w:left="840"/>
              <w:spacing w:after="0" w:line="142" w:lineRule="exact"/>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7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March 29, 2011</w:t>
            </w: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March 1, 2021</w:t>
            </w:r>
          </w:p>
        </w:tc>
        <w:tc>
          <w:tcPr>
            <w:tcW w:w="20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4.46</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1, 2021</w:t>
            </w:r>
          </w:p>
        </w:tc>
        <w:tc>
          <w:tcPr>
            <w:tcW w:w="20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March 23, 2016</w:t>
            </w: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March 1, 2026</w:t>
            </w:r>
          </w:p>
        </w:tc>
        <w:tc>
          <w:tcPr>
            <w:tcW w:w="20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2.86</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2016</w:t>
            </w:r>
          </w:p>
        </w:tc>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1, 2026</w:t>
            </w:r>
          </w:p>
        </w:tc>
        <w:tc>
          <w:tcPr>
            <w:tcW w:w="20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2.41</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Rate / Total</w:t>
            </w: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gridSpan w:val="2"/>
          </w:tcPr>
          <w:p>
            <w:pPr>
              <w:ind w:left="840"/>
              <w:spacing w:after="0" w:line="142" w:lineRule="exact"/>
              <w:rPr>
                <w:sz w:val="20"/>
                <w:szCs w:val="20"/>
                <w:color w:val="auto"/>
              </w:rPr>
            </w:pPr>
            <w:r>
              <w:rPr>
                <w:rFonts w:ascii="Arial" w:cs="Arial" w:eastAsia="Arial" w:hAnsi="Arial"/>
                <w:sz w:val="14"/>
                <w:szCs w:val="14"/>
                <w:color w:val="auto"/>
              </w:rPr>
              <w:t>3.44%</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197,500,000</w:t>
            </w:r>
          </w:p>
        </w:tc>
        <w:tc>
          <w:tcPr>
            <w:tcW w:w="78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150,000,000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3" w:lineRule="exact"/>
        <w:rPr>
          <w:sz w:val="20"/>
          <w:szCs w:val="20"/>
          <w:color w:val="auto"/>
        </w:rPr>
      </w:pPr>
    </w:p>
    <w:p>
      <w:pPr>
        <w:ind w:left="580" w:hanging="572"/>
        <w:spacing w:after="0"/>
        <w:tabs>
          <w:tab w:leader="none" w:pos="5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Excluding 3.43% of upfront fees.</w:t>
      </w:r>
    </w:p>
    <w:p>
      <w:pPr>
        <w:ind w:left="580" w:hanging="572"/>
        <w:spacing w:after="0"/>
        <w:tabs>
          <w:tab w:leader="none" w:pos="5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As of September 30, 2015, the fixed all-in coupon rate was 3.70%.</w:t>
      </w:r>
    </w:p>
    <w:p>
      <w:pPr>
        <w:spacing w:after="0" w:line="111"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2016, our SBIC Funds were in compliance with their regulatory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20" w:firstLine="685"/>
        <w:spacing w:after="0" w:line="264" w:lineRule="auto"/>
        <w:rPr>
          <w:sz w:val="20"/>
          <w:szCs w:val="20"/>
          <w:color w:val="auto"/>
        </w:rPr>
      </w:pPr>
      <w:r>
        <w:rPr>
          <w:rFonts w:ascii="Arial" w:cs="Arial" w:eastAsia="Arial" w:hAnsi="Arial"/>
          <w:sz w:val="13"/>
          <w:szCs w:val="13"/>
          <w:color w:val="auto"/>
        </w:rPr>
        <w:t>As of September 2016 and 2015, we had $250.0 million in aggregate principal amount of 2019 Notes.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36" w:lineRule="exact"/>
        <w:rPr>
          <w:sz w:val="20"/>
          <w:szCs w:val="20"/>
          <w:color w:val="auto"/>
        </w:rPr>
      </w:pPr>
    </w:p>
    <w:p>
      <w:pPr>
        <w:ind w:right="120" w:firstLine="685"/>
        <w:spacing w:after="0" w:line="264" w:lineRule="auto"/>
        <w:rPr>
          <w:sz w:val="20"/>
          <w:szCs w:val="20"/>
          <w:color w:val="auto"/>
        </w:rPr>
      </w:pPr>
      <w:r>
        <w:rPr>
          <w:rFonts w:ascii="Arial" w:cs="Arial" w:eastAsia="Arial" w:hAnsi="Arial"/>
          <w:sz w:val="13"/>
          <w:szCs w:val="13"/>
          <w:color w:val="auto"/>
        </w:rPr>
        <w:t>As of September 2016 and 2015, we had $71.3 million in aggregate principal amount of 2025 Notes.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2016 and 2015, we had $3.1 million and $19.7 million, respectively, in commitments to fund investments.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F-48</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7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140"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On May 6, 2015, we announced a share repurchase plan which allowed us to repurchase up to $35.0 million of our outstanding common stock in the open market at prices below our net asset value as reported in our then most recently published consolidated financial statements. The program expired on May 6, 2016. During the year ended September 30, 2016, we repurchased 1.9 million shares of common stock, respectively, in open market transactions for an aggregate cost (including transaction costs) of $12.2 million. From May 6, 2015 through the program’s expiration, we purchased 4.0 million shares of common stock in open market transactions for an aggregate cost (including transaction costs) of $30.1 million.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UNCONSOLIDATED SIGNIFICANT SUBSIDIARIES</w:t>
      </w:r>
    </w:p>
    <w:p>
      <w:pPr>
        <w:spacing w:after="0" w:line="127"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September 30, 2016, RAM Energy Holdings LLC triggered at least one of the significance tests. RAM Energy Holdings LLC became a controlled affiliated investment as of September 30, 2015. As a result and in accordance with Rule 4-08(g) of Regulation S-K, presented below is summarized unaudited financial information for RAM Energy Holdings LLC as of September 30, 2016 and 2015 as well as for the year ended September 30, 2016. In addition, we will include the audited financial statements of RAM Energy Holdings LLC within the timeframe specified within Rule 3-09 of Regulation S-X.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assets</w:t>
            </w:r>
          </w:p>
        </w:tc>
        <w:tc>
          <w:tcPr>
            <w:tcW w:w="24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2,326.4</w:t>
            </w:r>
          </w:p>
        </w:tc>
        <w:tc>
          <w:tcPr>
            <w:tcW w:w="4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3,868.9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33,678.1</w:t>
            </w:r>
          </w:p>
        </w:tc>
        <w:tc>
          <w:tcPr>
            <w:tcW w:w="1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64,236.3</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4,338.0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5,598.0</w:t>
            </w:r>
          </w:p>
        </w:tc>
        <w:tc>
          <w:tcPr>
            <w:tcW w:w="0" w:type="dxa"/>
            <w:vAlign w:val="bottom"/>
          </w:tcPr>
          <w:p>
            <w:pPr>
              <w:spacing w:after="0"/>
              <w:rPr>
                <w:sz w:val="1"/>
                <w:szCs w:val="1"/>
                <w:color w:val="auto"/>
              </w:rPr>
            </w:pPr>
          </w:p>
        </w:tc>
      </w:tr>
      <w:tr>
        <w:trPr>
          <w:trHeight w:val="182"/>
        </w:trPr>
        <w:tc>
          <w:tcPr>
            <w:tcW w:w="346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color w:val="auto"/>
              </w:rPr>
              <w:t>90,726.3</w:t>
            </w:r>
          </w:p>
        </w:tc>
        <w:tc>
          <w:tcPr>
            <w:tcW w:w="1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82,228.4</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47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revenue</w:t>
            </w:r>
          </w:p>
        </w:tc>
        <w:tc>
          <w:tcPr>
            <w:tcW w:w="3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7,388.4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gridSpan w:val="4"/>
          </w:tcPr>
          <w:p>
            <w:pPr>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46,284.7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Net loss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(38,896.3)</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20" w:type="dxa"/>
            <w:vAlign w:val="bottom"/>
            <w:gridSpan w:val="2"/>
          </w:tcPr>
          <w:p>
            <w:pPr>
              <w:spacing w:after="0"/>
              <w:rPr>
                <w:sz w:val="20"/>
                <w:szCs w:val="20"/>
                <w:color w:val="auto"/>
              </w:rPr>
            </w:pPr>
            <w:r>
              <w:rPr>
                <w:rFonts w:ascii="Arial" w:cs="Arial" w:eastAsia="Arial" w:hAnsi="Arial"/>
                <w:sz w:val="12"/>
                <w:szCs w:val="12"/>
                <w:color w:val="auto"/>
              </w:rPr>
              <w:t>(1)</w:t>
            </w:r>
          </w:p>
        </w:tc>
        <w:tc>
          <w:tcPr>
            <w:tcW w:w="4260" w:type="dxa"/>
            <w:vAlign w:val="bottom"/>
            <w:gridSpan w:val="3"/>
          </w:tcPr>
          <w:p>
            <w:pPr>
              <w:ind w:left="60"/>
              <w:spacing w:after="0"/>
              <w:rPr>
                <w:sz w:val="20"/>
                <w:szCs w:val="20"/>
                <w:color w:val="auto"/>
              </w:rPr>
            </w:pPr>
            <w:r>
              <w:rPr>
                <w:rFonts w:ascii="Arial" w:cs="Arial" w:eastAsia="Arial" w:hAnsi="Arial"/>
                <w:sz w:val="14"/>
                <w:szCs w:val="14"/>
                <w:color w:val="auto"/>
              </w:rPr>
              <w:t>All amounts are in thousands and unaudited.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F-49</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 w:lineRule="exact"/>
        <w:rPr>
          <w:sz w:val="20"/>
          <w:szCs w:val="20"/>
          <w:color w:val="auto"/>
        </w:rPr>
      </w:pPr>
    </w:p>
    <w:p>
      <w:pPr>
        <w:ind w:left="720" w:hanging="50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0"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17" w:lineRule="exact"/>
        <w:rPr>
          <w:sz w:val="20"/>
          <w:szCs w:val="20"/>
          <w:color w:val="auto"/>
        </w:rPr>
      </w:pPr>
    </w:p>
    <w:p>
      <w:pPr>
        <w:ind w:left="720" w:hanging="50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20" w:right="300" w:hanging="560"/>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Pre-Effective Amendment No. 3 to the Registration Statement on Form N-2/A (File No. 333-140092), filed on April 5, 2007).</w:t>
      </w:r>
    </w:p>
    <w:p>
      <w:pPr>
        <w:spacing w:after="0" w:line="77" w:lineRule="exact"/>
        <w:rPr>
          <w:rFonts w:ascii="Arial" w:cs="Arial" w:eastAsia="Arial" w:hAnsi="Arial"/>
          <w:sz w:val="18"/>
          <w:szCs w:val="18"/>
          <w:color w:val="auto"/>
        </w:rPr>
      </w:pPr>
    </w:p>
    <w:p>
      <w:pPr>
        <w:ind w:left="720" w:right="280" w:hanging="564"/>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814-00736), filed on December 2, 2015).</w:t>
      </w:r>
    </w:p>
    <w:p>
      <w:pPr>
        <w:spacing w:after="0" w:line="78" w:lineRule="exact"/>
        <w:rPr>
          <w:sz w:val="20"/>
          <w:szCs w:val="20"/>
          <w:color w:val="auto"/>
        </w:rPr>
      </w:pPr>
    </w:p>
    <w:p>
      <w:pPr>
        <w:ind w:left="720" w:right="560" w:hanging="659"/>
        <w:spacing w:after="0" w:line="268" w:lineRule="auto"/>
        <w:tabs>
          <w:tab w:leader="none" w:pos="700" w:val="left"/>
        </w:tabs>
        <w:rPr>
          <w:sz w:val="20"/>
          <w:szCs w:val="20"/>
          <w:color w:val="auto"/>
        </w:rPr>
      </w:pPr>
      <w:r>
        <w:rPr>
          <w:rFonts w:ascii="Arial" w:cs="Arial" w:eastAsia="Arial" w:hAnsi="Arial"/>
          <w:sz w:val="18"/>
          <w:szCs w:val="18"/>
          <w:color w:val="auto"/>
        </w:rPr>
        <w:t>(d)(1)</w:t>
        <w:tab/>
        <w:t>Form of Share Certificate (Incorporated by reference to Exhibit 99.(d)(1) to the Registrant’s Registration Statement on Form N-2 (File No. 333-150033), filed on April 2, 2008).</w:t>
      </w:r>
    </w:p>
    <w:p>
      <w:pPr>
        <w:spacing w:after="0" w:line="78" w:lineRule="exact"/>
        <w:rPr>
          <w:sz w:val="20"/>
          <w:szCs w:val="20"/>
          <w:color w:val="auto"/>
        </w:rPr>
      </w:pPr>
    </w:p>
    <w:p>
      <w:pPr>
        <w:ind w:left="720" w:right="500" w:hanging="659"/>
        <w:spacing w:after="0" w:line="268" w:lineRule="auto"/>
        <w:tabs>
          <w:tab w:leader="none" w:pos="70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Pre-Effective Amendment to the Registration Statement on Form N-2/A (File No. 333-150033), filed on May 30, 2008).</w:t>
      </w:r>
    </w:p>
    <w:p>
      <w:pPr>
        <w:spacing w:after="0" w:line="78" w:lineRule="exact"/>
        <w:rPr>
          <w:sz w:val="20"/>
          <w:szCs w:val="20"/>
          <w:color w:val="auto"/>
        </w:rPr>
      </w:pPr>
    </w:p>
    <w:p>
      <w:pPr>
        <w:ind w:left="720" w:hanging="659"/>
        <w:spacing w:after="0" w:line="268" w:lineRule="auto"/>
        <w:tabs>
          <w:tab w:leader="none" w:pos="700" w:val="left"/>
        </w:tabs>
        <w:rPr>
          <w:sz w:val="20"/>
          <w:szCs w:val="20"/>
          <w:color w:val="auto"/>
        </w:rPr>
      </w:pPr>
      <w:r>
        <w:rPr>
          <w:rFonts w:ascii="Arial" w:cs="Arial" w:eastAsia="Arial" w:hAnsi="Arial"/>
          <w:sz w:val="18"/>
          <w:szCs w:val="18"/>
          <w:color w:val="auto"/>
        </w:rPr>
        <w:t>(d)(3)</w:t>
        <w:tab/>
        <w:t>Form of Subscription Agent Agreement (Incorporated by reference to Exhibit 99.(d)(4) to the Registrant’s Pre-Effective Amendment to the Registration Statement on Form N-2/A (File No. 333-150033), filed on May 30, 2008).</w:t>
      </w:r>
    </w:p>
    <w:p>
      <w:pPr>
        <w:spacing w:after="0" w:line="78" w:lineRule="exact"/>
        <w:rPr>
          <w:sz w:val="20"/>
          <w:szCs w:val="20"/>
          <w:color w:val="auto"/>
        </w:rPr>
      </w:pPr>
    </w:p>
    <w:p>
      <w:pPr>
        <w:ind w:left="720" w:right="40" w:hanging="659"/>
        <w:spacing w:after="0" w:line="268" w:lineRule="auto"/>
        <w:tabs>
          <w:tab w:leader="none" w:pos="700" w:val="left"/>
        </w:tabs>
        <w:rPr>
          <w:sz w:val="20"/>
          <w:szCs w:val="20"/>
          <w:color w:val="auto"/>
        </w:rPr>
      </w:pPr>
      <w:r>
        <w:rPr>
          <w:rFonts w:ascii="Arial" w:cs="Arial" w:eastAsia="Arial" w:hAnsi="Arial"/>
          <w:sz w:val="18"/>
          <w:szCs w:val="18"/>
          <w:color w:val="auto"/>
        </w:rPr>
        <w:t>(d)(4)</w:t>
        <w:tab/>
        <w:t>Form of Warrant Agreement (Incorporated by reference to Exhibit 99.(d)(5) to the Registrant’s Pre-Effective Amendment to the Registration Statement on Form N-2/A (File No. 333-150033), filed on May 30, 2008).</w:t>
      </w:r>
    </w:p>
    <w:p>
      <w:pPr>
        <w:spacing w:after="0" w:line="78" w:lineRule="exact"/>
        <w:rPr>
          <w:sz w:val="20"/>
          <w:szCs w:val="20"/>
          <w:color w:val="auto"/>
        </w:rPr>
      </w:pPr>
    </w:p>
    <w:p>
      <w:pPr>
        <w:ind w:left="720" w:right="160" w:hanging="659"/>
        <w:spacing w:after="0" w:line="268" w:lineRule="auto"/>
        <w:tabs>
          <w:tab w:leader="none" w:pos="700" w:val="left"/>
        </w:tabs>
        <w:rPr>
          <w:sz w:val="20"/>
          <w:szCs w:val="20"/>
          <w:color w:val="auto"/>
        </w:rPr>
      </w:pPr>
      <w:r>
        <w:rPr>
          <w:rFonts w:ascii="Arial" w:cs="Arial" w:eastAsia="Arial" w:hAnsi="Arial"/>
          <w:sz w:val="18"/>
          <w:szCs w:val="18"/>
          <w:color w:val="auto"/>
        </w:rPr>
        <w:t>(d)(5)</w:t>
        <w:tab/>
        <w:t>Form T-1 Statement of Eligibility with respect to the Form of Indenture (Incorporated by reference to Exhibit 2(d)(6) to the Registrant’s Pre-Effective Amendment to the Registration Statement on Form N-2/A (File No. 333-172524), filed August 22, 2011).</w:t>
      </w:r>
    </w:p>
    <w:p>
      <w:pPr>
        <w:spacing w:after="0" w:line="78" w:lineRule="exact"/>
        <w:rPr>
          <w:sz w:val="20"/>
          <w:szCs w:val="20"/>
          <w:color w:val="auto"/>
        </w:rPr>
      </w:pPr>
    </w:p>
    <w:p>
      <w:pPr>
        <w:ind w:left="720" w:right="640" w:hanging="659"/>
        <w:spacing w:after="0" w:line="268" w:lineRule="auto"/>
        <w:tabs>
          <w:tab w:leader="none" w:pos="700" w:val="left"/>
        </w:tabs>
        <w:rPr>
          <w:sz w:val="20"/>
          <w:szCs w:val="20"/>
          <w:color w:val="auto"/>
        </w:rPr>
      </w:pPr>
      <w:r>
        <w:rPr>
          <w:rFonts w:ascii="Arial" w:cs="Arial" w:eastAsia="Arial" w:hAnsi="Arial"/>
          <w:sz w:val="18"/>
          <w:szCs w:val="18"/>
          <w:color w:val="auto"/>
        </w:rPr>
        <w:t>(d)(6)</w:t>
        <w:tab/>
        <w:t>Form of Articles Supplementary (Incorporated by reference to Exhibit 2(d)(7) to the Registrant’s Pre-Effective Amendment to the Registration Statement on Form N-2/A (File No. 333-172524), filed August 22, 2011).</w:t>
      </w:r>
    </w:p>
    <w:p>
      <w:pPr>
        <w:spacing w:after="0" w:line="78" w:lineRule="exact"/>
        <w:rPr>
          <w:sz w:val="20"/>
          <w:szCs w:val="20"/>
          <w:color w:val="auto"/>
        </w:rPr>
      </w:pPr>
    </w:p>
    <w:p>
      <w:pPr>
        <w:ind w:left="720" w:right="40" w:hanging="659"/>
        <w:spacing w:after="0" w:line="259" w:lineRule="auto"/>
        <w:tabs>
          <w:tab w:leader="none" w:pos="700" w:val="left"/>
        </w:tabs>
        <w:rPr>
          <w:sz w:val="20"/>
          <w:szCs w:val="20"/>
          <w:color w:val="auto"/>
        </w:rPr>
      </w:pPr>
      <w:r>
        <w:rPr>
          <w:rFonts w:ascii="Arial" w:cs="Arial" w:eastAsia="Arial" w:hAnsi="Arial"/>
          <w:sz w:val="18"/>
          <w:szCs w:val="18"/>
          <w:color w:val="auto"/>
        </w:rPr>
        <w:t>(d)(7)</w:t>
        <w:tab/>
        <w:t>Base Indenture, dated as of January 22, 2013, relating to the 6.25% Senior Notes due 2025, between the Registrant and American Stock Transfer &amp; Trust Company, LLC, as trustee (Incorporated by reference to Exhibit 99.(d)(8) to the Registrant’s Post-Effective Amendment No. 4 to the Registration Statement on Form N-2/A (File No. 333-172524), filed on January 22, 2013).</w:t>
      </w:r>
    </w:p>
    <w:p>
      <w:pPr>
        <w:spacing w:after="0" w:line="86" w:lineRule="exact"/>
        <w:rPr>
          <w:sz w:val="20"/>
          <w:szCs w:val="20"/>
          <w:color w:val="auto"/>
        </w:rPr>
      </w:pPr>
    </w:p>
    <w:p>
      <w:pPr>
        <w:jc w:val="both"/>
        <w:ind w:left="720" w:right="140" w:hanging="659"/>
        <w:spacing w:after="0" w:line="259" w:lineRule="auto"/>
        <w:tabs>
          <w:tab w:leader="none" w:pos="700" w:val="left"/>
        </w:tabs>
        <w:rPr>
          <w:sz w:val="20"/>
          <w:szCs w:val="20"/>
          <w:color w:val="auto"/>
        </w:rPr>
      </w:pPr>
      <w:r>
        <w:rPr>
          <w:rFonts w:ascii="Arial" w:cs="Arial" w:eastAsia="Arial" w:hAnsi="Arial"/>
          <w:sz w:val="18"/>
          <w:szCs w:val="18"/>
          <w:color w:val="auto"/>
        </w:rPr>
        <w:t>(d)(8)</w:t>
        <w:tab/>
        <w:t>First Supplemental Indenture, dated as of January 22, 2013, relating to the 6.25% Senior Notes due 2025, between the Registrant and American Stock Transfer &amp; Trust Company, LLC, as trustee (Incorporated by reference to Exhibit 99.(d)(9) to the Registrant’s Post-Effective Amendment No. 4 to the Registration Statement on Form N-2/A (File No. 333-172524), filed on January 22, 2013).</w:t>
      </w:r>
    </w:p>
    <w:p>
      <w:pPr>
        <w:spacing w:after="0" w:line="86"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(d)(9)</w:t>
        <w:tab/>
        <w:t>Form of 6.25% Senior Notes due 2025 (included as part of Exhibit (d)(8)).</w:t>
      </w:r>
    </w:p>
    <w:p>
      <w:pPr>
        <w:spacing w:after="0" w:line="117" w:lineRule="exact"/>
        <w:rPr>
          <w:sz w:val="20"/>
          <w:szCs w:val="20"/>
          <w:color w:val="auto"/>
        </w:rPr>
      </w:pPr>
    </w:p>
    <w:p>
      <w:pPr>
        <w:jc w:val="both"/>
        <w:ind w:left="720" w:right="240" w:hanging="719"/>
        <w:spacing w:after="0" w:line="259" w:lineRule="auto"/>
        <w:tabs>
          <w:tab w:leader="none" w:pos="700" w:val="left"/>
        </w:tabs>
        <w:rPr>
          <w:sz w:val="20"/>
          <w:szCs w:val="20"/>
          <w:color w:val="auto"/>
        </w:rPr>
      </w:pPr>
      <w:r>
        <w:rPr>
          <w:rFonts w:ascii="Arial" w:cs="Arial" w:eastAsia="Arial" w:hAnsi="Arial"/>
          <w:sz w:val="18"/>
          <w:szCs w:val="18"/>
          <w:color w:val="auto"/>
        </w:rPr>
        <w:t>(d)(10)</w:t>
        <w:tab/>
        <w:t>Second Supplemental Indenture, dated as of September 23, 2014, relating to the 4.50% Notes due 2019, between the Registrant and American Stock Transfer &amp; Trust Company, LLC, as trustee (Incorporated by reference to Exhibit 99 (d)(11) to the Registrant’s Post-Effective Amendment No. 2 to Form N-2 (File No. 333-192782), filed on September 23, 2014.</w:t>
      </w:r>
    </w:p>
    <w:p>
      <w:pPr>
        <w:spacing w:after="0" w:line="86"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(d)(11)</w:t>
        <w:tab/>
        <w:t>Form of 4.50% Senior Notes due 2019 (included as part of Exhibit d(10)).</w:t>
      </w:r>
    </w:p>
    <w:p>
      <w:pPr>
        <w:spacing w:after="0" w:line="117" w:lineRule="exact"/>
        <w:rPr>
          <w:sz w:val="20"/>
          <w:szCs w:val="20"/>
          <w:color w:val="auto"/>
        </w:rPr>
      </w:pPr>
    </w:p>
    <w:p>
      <w:pPr>
        <w:ind w:left="720" w:right="540" w:hanging="560"/>
        <w:spacing w:after="0" w:line="268"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78" w:lineRule="exact"/>
        <w:rPr>
          <w:sz w:val="20"/>
          <w:szCs w:val="20"/>
          <w:color w:val="auto"/>
        </w:rPr>
      </w:pPr>
    </w:p>
    <w:p>
      <w:pPr>
        <w:ind w:left="720" w:right="580" w:hanging="564"/>
        <w:spacing w:after="0" w:line="332" w:lineRule="auto"/>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First Amended and Restated Investment Advisory Management Agreement between the Registrant and PennantPark Investment Advisers, LLC (Incorporated by reference to the Registrant’s Quarterly Report on Form 10-Q (File No. 814-00736), filed on February 3, 2016).</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700" w:right="20" w:hanging="659"/>
        <w:spacing w:after="0" w:line="268" w:lineRule="auto"/>
        <w:tabs>
          <w:tab w:leader="none" w:pos="68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Post-Effective Amendment No. 4 to the Registration Statement on Form N-2/A (File No. 333-150033), filed on February 22, 2010).</w:t>
      </w:r>
    </w:p>
    <w:p>
      <w:pPr>
        <w:spacing w:after="0" w:line="145" w:lineRule="exact"/>
        <w:rPr>
          <w:sz w:val="20"/>
          <w:szCs w:val="20"/>
          <w:color w:val="auto"/>
        </w:rPr>
      </w:pPr>
    </w:p>
    <w:p>
      <w:pPr>
        <w:ind w:left="700" w:right="660" w:hanging="659"/>
        <w:spacing w:after="0" w:line="268" w:lineRule="auto"/>
        <w:tabs>
          <w:tab w:leader="none" w:pos="680" w:val="left"/>
        </w:tabs>
        <w:rPr>
          <w:sz w:val="20"/>
          <w:szCs w:val="20"/>
          <w:color w:val="auto"/>
        </w:rPr>
      </w:pPr>
      <w:r>
        <w:rPr>
          <w:rFonts w:ascii="Arial" w:cs="Arial" w:eastAsia="Arial" w:hAnsi="Arial"/>
          <w:sz w:val="18"/>
          <w:szCs w:val="18"/>
          <w:color w:val="auto"/>
        </w:rPr>
        <w:t>(h)(2)</w:t>
        <w:tab/>
        <w:t>Form of Underwriting Agreement for debt (Incorporated by reference to Exhibit 99.(H)(2) to the Registrant’s Pre-Effective Amendment to the Registration Statement on Form N-2/A (File No. 333-150033), filed on May 30, 2008).</w:t>
      </w:r>
    </w:p>
    <w:p>
      <w:pPr>
        <w:spacing w:after="0" w:line="145" w:lineRule="exact"/>
        <w:rPr>
          <w:sz w:val="20"/>
          <w:szCs w:val="20"/>
          <w:color w:val="auto"/>
        </w:rPr>
      </w:pPr>
    </w:p>
    <w:p>
      <w:pPr>
        <w:ind w:left="700" w:right="60" w:hanging="545"/>
        <w:spacing w:after="0" w:line="268" w:lineRule="auto"/>
        <w:tabs>
          <w:tab w:leader="none" w:pos="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45" w:lineRule="exact"/>
        <w:rPr>
          <w:sz w:val="20"/>
          <w:szCs w:val="20"/>
          <w:color w:val="auto"/>
        </w:rPr>
      </w:pPr>
    </w:p>
    <w:p>
      <w:pPr>
        <w:ind w:left="700" w:hanging="659"/>
        <w:spacing w:after="0" w:line="268" w:lineRule="auto"/>
        <w:tabs>
          <w:tab w:leader="none" w:pos="680" w:val="left"/>
        </w:tabs>
        <w:rPr>
          <w:sz w:val="20"/>
          <w:szCs w:val="20"/>
          <w:color w:val="auto"/>
        </w:rPr>
      </w:pPr>
      <w:r>
        <w:rPr>
          <w:rFonts w:ascii="Arial" w:cs="Arial" w:eastAsia="Arial" w:hAnsi="Arial"/>
          <w:sz w:val="18"/>
          <w:szCs w:val="18"/>
          <w:color w:val="auto"/>
        </w:rPr>
        <w:t>(k)(1)</w:t>
        <w:tab/>
        <w:t>Administration Agreement between the Registrant and PennantPark Investment Administration, LLC (Incorporated by reference to Exhibit 99.(K)(1) to the Registrant’s Registration Statement on Form N-2 (File No. 333-150033), filed on April 2, 2008).</w:t>
      </w:r>
    </w:p>
    <w:p>
      <w:pPr>
        <w:spacing w:after="0" w:line="1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(K)(2) to the Registrant’s Registration Statement on Form N-2 (File No. 333-150033), filed on April 2, 2008).</w:t>
      </w:r>
    </w:p>
    <w:p>
      <w:pPr>
        <w:spacing w:after="0" w:line="178" w:lineRule="exact"/>
        <w:rPr>
          <w:sz w:val="20"/>
          <w:szCs w:val="20"/>
          <w:color w:val="auto"/>
        </w:rPr>
      </w:pPr>
    </w:p>
    <w:p>
      <w:pPr>
        <w:jc w:val="both"/>
        <w:ind w:left="700" w:right="140" w:hanging="659"/>
        <w:spacing w:after="0" w:line="268" w:lineRule="auto"/>
        <w:tabs>
          <w:tab w:leader="none" w:pos="680" w:val="left"/>
        </w:tabs>
        <w:rPr>
          <w:sz w:val="20"/>
          <w:szCs w:val="20"/>
          <w:color w:val="auto"/>
        </w:rPr>
      </w:pPr>
      <w:r>
        <w:rPr>
          <w:rFonts w:ascii="Arial" w:cs="Arial" w:eastAsia="Arial" w:hAnsi="Arial"/>
          <w:sz w:val="18"/>
          <w:szCs w:val="18"/>
          <w:color w:val="auto"/>
        </w:rPr>
        <w:t>(k)(3)</w:t>
        <w:tab/>
        <w:t>Trademark License Agreement (Incorporated by reference to Exhibit 99.(K)(3) to the Registrant’s Registration Statement on Form N-2 (File No. 333-150033), filed on April 2, 2008).</w:t>
      </w:r>
    </w:p>
    <w:p>
      <w:pPr>
        <w:spacing w:after="0" w:line="145" w:lineRule="exact"/>
        <w:rPr>
          <w:sz w:val="20"/>
          <w:szCs w:val="20"/>
          <w:color w:val="auto"/>
        </w:rPr>
      </w:pPr>
    </w:p>
    <w:p>
      <w:pPr>
        <w:jc w:val="both"/>
        <w:ind w:left="700" w:right="140" w:hanging="659"/>
        <w:spacing w:after="0" w:line="259" w:lineRule="auto"/>
        <w:tabs>
          <w:tab w:leader="none" w:pos="680" w:val="left"/>
        </w:tabs>
        <w:rPr>
          <w:sz w:val="20"/>
          <w:szCs w:val="20"/>
          <w:color w:val="auto"/>
        </w:rPr>
      </w:pPr>
      <w:r>
        <w:rPr>
          <w:rFonts w:ascii="Arial" w:cs="Arial" w:eastAsia="Arial" w:hAnsi="Arial"/>
          <w:sz w:val="18"/>
          <w:szCs w:val="18"/>
          <w:color w:val="auto"/>
        </w:rPr>
        <w:t>(k)(4)</w:t>
        <w:tab/>
        <w:t>Second Amended and Restated Senior Secured Revolving Credit Agreement, dated as of June 25, 2014, among PennantPark Investment Corporation, the lenders party hereto, SunTrust Bank, as administrative agent for the lenders (Incorporated by reference to Exhibit 99.2 to the Registrant’s Current Report on Form 8-K (File No. 814-00736), filed on June 30, 2014).</w:t>
      </w:r>
    </w:p>
    <w:p>
      <w:pPr>
        <w:spacing w:after="0" w:line="167" w:lineRule="exact"/>
        <w:rPr>
          <w:sz w:val="20"/>
          <w:szCs w:val="20"/>
          <w:color w:val="auto"/>
        </w:rPr>
      </w:pPr>
    </w:p>
    <w:p>
      <w:pPr>
        <w:jc w:val="both"/>
        <w:ind w:left="700" w:right="20" w:hanging="659"/>
        <w:spacing w:after="0" w:line="259" w:lineRule="auto"/>
        <w:tabs>
          <w:tab w:leader="none" w:pos="680" w:val="left"/>
        </w:tabs>
        <w:rPr>
          <w:sz w:val="20"/>
          <w:szCs w:val="20"/>
          <w:color w:val="auto"/>
        </w:rPr>
      </w:pPr>
      <w:r>
        <w:rPr>
          <w:rFonts w:ascii="Arial" w:cs="Arial" w:eastAsia="Arial" w:hAnsi="Arial"/>
          <w:sz w:val="18"/>
          <w:szCs w:val="18"/>
          <w:color w:val="auto"/>
        </w:rPr>
        <w:t>(k)(5)</w:t>
        <w:tab/>
        <w:t>Indemnification Agreement, dated as of November 15, 2016, between PennantPark Investment Corporation and each of the directors and officers listed on Schedule A attached thereto (Incorporated by reference to Exhibit 10.5 on the Registrant’s Annual Report on Form 10-K (File No. 814-00891), filed on November 21, 2016).</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60"/>
          </w:cols>
          <w:pgMar w:left="240" w:top="460" w:right="2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920" w:hanging="578"/>
        <w:spacing w:after="0"/>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00" w:type="dxa"/>
            <w:vAlign w:val="bottom"/>
          </w:tcPr>
          <w:p>
            <w:pPr>
              <w:jc w:val="center"/>
              <w:ind w:right="112"/>
              <w:spacing w:after="0"/>
              <w:rPr>
                <w:sz w:val="20"/>
                <w:szCs w:val="20"/>
                <w:color w:val="auto"/>
              </w:rPr>
            </w:pPr>
            <w:r>
              <w:rPr>
                <w:rFonts w:ascii="Arial" w:cs="Arial" w:eastAsia="Arial" w:hAnsi="Arial"/>
                <w:sz w:val="18"/>
                <w:szCs w:val="18"/>
                <w:color w:val="auto"/>
              </w:rPr>
              <w:t>(l)(1)*</w:t>
            </w:r>
          </w:p>
        </w:tc>
        <w:tc>
          <w:tcPr>
            <w:tcW w:w="5420" w:type="dxa"/>
            <w:vAlign w:val="bottom"/>
          </w:tcPr>
          <w:p>
            <w:pPr>
              <w:ind w:left="180"/>
              <w:spacing w:after="0"/>
              <w:rPr>
                <w:sz w:val="20"/>
                <w:szCs w:val="20"/>
                <w:color w:val="auto"/>
              </w:rPr>
            </w:pPr>
            <w:r>
              <w:rPr>
                <w:rFonts w:ascii="Arial" w:cs="Arial" w:eastAsia="Arial" w:hAnsi="Arial"/>
                <w:sz w:val="18"/>
                <w:szCs w:val="18"/>
                <w:color w:val="auto"/>
              </w:rPr>
              <w:t>Opinion and Consent of Venable LLP.</w:t>
            </w:r>
          </w:p>
        </w:tc>
      </w:tr>
      <w:tr>
        <w:trPr>
          <w:trHeight w:val="392"/>
        </w:trPr>
        <w:tc>
          <w:tcPr>
            <w:tcW w:w="700" w:type="dxa"/>
            <w:vAlign w:val="bottom"/>
          </w:tcPr>
          <w:p>
            <w:pPr>
              <w:jc w:val="center"/>
              <w:ind w:right="112"/>
              <w:spacing w:after="0"/>
              <w:rPr>
                <w:sz w:val="20"/>
                <w:szCs w:val="20"/>
                <w:color w:val="auto"/>
              </w:rPr>
            </w:pPr>
            <w:r>
              <w:rPr>
                <w:rFonts w:ascii="Arial" w:cs="Arial" w:eastAsia="Arial" w:hAnsi="Arial"/>
                <w:sz w:val="18"/>
                <w:szCs w:val="18"/>
                <w:color w:val="auto"/>
              </w:rPr>
              <w:t>(l)(2)*</w:t>
            </w:r>
          </w:p>
        </w:tc>
        <w:tc>
          <w:tcPr>
            <w:tcW w:w="5420" w:type="dxa"/>
            <w:vAlign w:val="bottom"/>
          </w:tcPr>
          <w:p>
            <w:pPr>
              <w:ind w:left="180"/>
              <w:spacing w:after="0"/>
              <w:rPr>
                <w:sz w:val="20"/>
                <w:szCs w:val="20"/>
                <w:color w:val="auto"/>
              </w:rPr>
            </w:pPr>
            <w:r>
              <w:rPr>
                <w:rFonts w:ascii="Arial" w:cs="Arial" w:eastAsia="Arial" w:hAnsi="Arial"/>
                <w:sz w:val="18"/>
                <w:szCs w:val="18"/>
                <w:color w:val="auto"/>
              </w:rPr>
              <w:t>Opinion and Consent of Dechert LLP.</w:t>
            </w:r>
          </w:p>
        </w:tc>
      </w:tr>
      <w:tr>
        <w:trPr>
          <w:trHeight w:val="392"/>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7"/>
              </w:rPr>
              <w:t>(n)(1)*</w:t>
            </w:r>
          </w:p>
        </w:tc>
        <w:tc>
          <w:tcPr>
            <w:tcW w:w="5420" w:type="dxa"/>
            <w:vAlign w:val="bottom"/>
          </w:tcPr>
          <w:p>
            <w:pPr>
              <w:ind w:left="180"/>
              <w:spacing w:after="0"/>
              <w:rPr>
                <w:sz w:val="20"/>
                <w:szCs w:val="20"/>
                <w:color w:val="auto"/>
              </w:rPr>
            </w:pPr>
            <w:r>
              <w:rPr>
                <w:rFonts w:ascii="Arial" w:cs="Arial" w:eastAsia="Arial" w:hAnsi="Arial"/>
                <w:sz w:val="18"/>
                <w:szCs w:val="18"/>
                <w:color w:val="auto"/>
              </w:rPr>
              <w:t>Consent of RSM US LLP.</w:t>
            </w:r>
          </w:p>
        </w:tc>
      </w:tr>
      <w:tr>
        <w:trPr>
          <w:trHeight w:val="392"/>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7"/>
              </w:rPr>
              <w:t>(n)(2)*</w:t>
            </w:r>
          </w:p>
        </w:tc>
        <w:tc>
          <w:tcPr>
            <w:tcW w:w="5420" w:type="dxa"/>
            <w:vAlign w:val="bottom"/>
          </w:tcPr>
          <w:p>
            <w:pPr>
              <w:ind w:left="180"/>
              <w:spacing w:after="0"/>
              <w:rPr>
                <w:sz w:val="20"/>
                <w:szCs w:val="20"/>
                <w:color w:val="auto"/>
              </w:rPr>
            </w:pPr>
            <w:r>
              <w:rPr>
                <w:rFonts w:ascii="Arial" w:cs="Arial" w:eastAsia="Arial" w:hAnsi="Arial"/>
                <w:sz w:val="18"/>
                <w:szCs w:val="18"/>
                <w:color w:val="auto"/>
                <w:w w:val="88"/>
              </w:rPr>
              <w:t>Report of RSM US LLP regarding senior securities table contained herein.</w:t>
            </w:r>
          </w:p>
        </w:tc>
      </w:tr>
      <w:tr>
        <w:trPr>
          <w:trHeight w:val="392"/>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7"/>
              </w:rPr>
              <w:t>(n)(3)*</w:t>
            </w:r>
          </w:p>
        </w:tc>
        <w:tc>
          <w:tcPr>
            <w:tcW w:w="5420" w:type="dxa"/>
            <w:vAlign w:val="bottom"/>
          </w:tcPr>
          <w:p>
            <w:pPr>
              <w:ind w:left="180"/>
              <w:spacing w:after="0"/>
              <w:rPr>
                <w:sz w:val="20"/>
                <w:szCs w:val="20"/>
                <w:color w:val="auto"/>
              </w:rPr>
            </w:pPr>
            <w:r>
              <w:rPr>
                <w:rFonts w:ascii="Arial" w:cs="Arial" w:eastAsia="Arial" w:hAnsi="Arial"/>
                <w:sz w:val="18"/>
                <w:szCs w:val="18"/>
                <w:color w:val="auto"/>
              </w:rPr>
              <w:t>Awareness Letter of RSM US LLP.</w:t>
            </w:r>
          </w:p>
        </w:tc>
      </w:tr>
    </w:tbl>
    <w:p>
      <w:pPr>
        <w:spacing w:after="0" w:line="169" w:lineRule="exact"/>
        <w:rPr>
          <w:sz w:val="20"/>
          <w:szCs w:val="20"/>
          <w:color w:val="auto"/>
        </w:rPr>
      </w:pPr>
    </w:p>
    <w:p>
      <w:pPr>
        <w:ind w:left="920" w:right="540" w:hanging="709"/>
        <w:spacing w:after="0" w:line="332" w:lineRule="auto"/>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Joint Code of Ethics of the Registrant, PennantPark Floating Rate Capital Ltd. and PennantPark Investment Advisers, LLC (Incorporated by reference to Exhibit 14.1 to the Registrant’s Report on Form 10-K (File No. 814-00736), filed on November 21, 2016).</w:t>
      </w:r>
    </w:p>
    <w:p>
      <w:pPr>
        <w:spacing w:after="0" w:line="99" w:lineRule="exact"/>
        <w:rPr>
          <w:sz w:val="20"/>
          <w:szCs w:val="20"/>
          <w:color w:val="auto"/>
        </w:rPr>
      </w:pPr>
    </w:p>
    <w:p>
      <w:pPr>
        <w:ind w:left="920" w:right="600" w:hanging="819"/>
        <w:spacing w:after="0" w:line="332" w:lineRule="auto"/>
        <w:tabs>
          <w:tab w:leader="none" w:pos="90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(s)(1) to the Registrant’s Pre-Effective Amendment to the Registration Statement on Form N-2/A (File No. 333-172524), filed on August 22, 2011).</w:t>
      </w:r>
    </w:p>
    <w:p>
      <w:pPr>
        <w:spacing w:after="0" w:line="99" w:lineRule="exact"/>
        <w:rPr>
          <w:sz w:val="20"/>
          <w:szCs w:val="20"/>
          <w:color w:val="auto"/>
        </w:rPr>
      </w:pPr>
    </w:p>
    <w:p>
      <w:pPr>
        <w:ind w:left="920" w:right="600" w:hanging="819"/>
        <w:spacing w:after="0" w:line="332" w:lineRule="auto"/>
        <w:tabs>
          <w:tab w:leader="none" w:pos="900" w:val="left"/>
        </w:tabs>
        <w:rPr>
          <w:sz w:val="20"/>
          <w:szCs w:val="20"/>
          <w:color w:val="auto"/>
        </w:rPr>
      </w:pPr>
      <w:r>
        <w:rPr>
          <w:rFonts w:ascii="Arial" w:cs="Arial" w:eastAsia="Arial" w:hAnsi="Arial"/>
          <w:sz w:val="16"/>
          <w:szCs w:val="16"/>
          <w:color w:val="auto"/>
        </w:rPr>
        <w:t>(s)(2)</w:t>
      </w:r>
      <w:r>
        <w:rPr>
          <w:sz w:val="20"/>
          <w:szCs w:val="20"/>
          <w:color w:val="auto"/>
        </w:rPr>
        <w:tab/>
      </w:r>
      <w:r>
        <w:rPr>
          <w:rFonts w:ascii="Arial" w:cs="Arial" w:eastAsia="Arial" w:hAnsi="Arial"/>
          <w:sz w:val="16"/>
          <w:szCs w:val="16"/>
          <w:color w:val="auto"/>
        </w:rPr>
        <w:t>Form of Prospectus Supplement For Preferred Stock Offerings (Incorporated by reference to Exhibit (s)(2) to the Registrant’s Pre-Effective Amendment to the Registration Statement on Form N-2/A (File No. 333-172524), filed on August 22, 2011).</w:t>
      </w:r>
    </w:p>
    <w:p>
      <w:pPr>
        <w:spacing w:after="0" w:line="99" w:lineRule="exact"/>
        <w:rPr>
          <w:sz w:val="20"/>
          <w:szCs w:val="20"/>
          <w:color w:val="auto"/>
        </w:rPr>
      </w:pPr>
    </w:p>
    <w:p>
      <w:pPr>
        <w:ind w:left="920" w:hanging="819"/>
        <w:spacing w:after="0" w:line="268" w:lineRule="auto"/>
        <w:tabs>
          <w:tab w:leader="none" w:pos="90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(s)(3) to the Registrant’s Pre-Effective Amendment to the Registration Statement on Form N-2/A (File No. 333-172524), filed on August 22, 2011).</w:t>
      </w:r>
    </w:p>
    <w:p>
      <w:pPr>
        <w:spacing w:after="0" w:line="145" w:lineRule="exact"/>
        <w:rPr>
          <w:sz w:val="20"/>
          <w:szCs w:val="20"/>
          <w:color w:val="auto"/>
        </w:rPr>
      </w:pPr>
    </w:p>
    <w:p>
      <w:pPr>
        <w:ind w:left="920" w:right="160" w:hanging="819"/>
        <w:spacing w:after="0" w:line="268" w:lineRule="auto"/>
        <w:tabs>
          <w:tab w:leader="none" w:pos="90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Form of Prospectus Supplement For Rights Offerings (Incorporated by reference to Exhibit (s)(4) to the Registrant’s Pre-Effective Amendment to the Registration Statement on Form N-2/A (File No. 333-172524), filed on August 22, 2011).</w:t>
      </w:r>
    </w:p>
    <w:p>
      <w:pPr>
        <w:spacing w:after="0" w:line="145" w:lineRule="exact"/>
        <w:rPr>
          <w:sz w:val="20"/>
          <w:szCs w:val="20"/>
          <w:color w:val="auto"/>
        </w:rPr>
      </w:pPr>
    </w:p>
    <w:p>
      <w:pPr>
        <w:ind w:left="920" w:right="40" w:hanging="819"/>
        <w:spacing w:after="0" w:line="268" w:lineRule="auto"/>
        <w:tabs>
          <w:tab w:leader="none" w:pos="900" w:val="left"/>
        </w:tabs>
        <w:rPr>
          <w:sz w:val="20"/>
          <w:szCs w:val="20"/>
          <w:color w:val="auto"/>
        </w:rPr>
      </w:pPr>
      <w:r>
        <w:rPr>
          <w:rFonts w:ascii="Arial" w:cs="Arial" w:eastAsia="Arial" w:hAnsi="Arial"/>
          <w:sz w:val="18"/>
          <w:szCs w:val="18"/>
          <w:color w:val="auto"/>
        </w:rPr>
        <w:t>(s)(5)</w:t>
      </w:r>
      <w:r>
        <w:rPr>
          <w:sz w:val="20"/>
          <w:szCs w:val="20"/>
          <w:color w:val="auto"/>
        </w:rPr>
        <w:tab/>
      </w:r>
      <w:r>
        <w:rPr>
          <w:rFonts w:ascii="Arial" w:cs="Arial" w:eastAsia="Arial" w:hAnsi="Arial"/>
          <w:sz w:val="18"/>
          <w:szCs w:val="18"/>
          <w:color w:val="auto"/>
        </w:rPr>
        <w:t>Form of Prospectus Supplement For Warrant Offerings (Incorporated by reference to Exhibit (s)(5) to the Registrant’s Pre-Effective Amendment to the Registration Statement on Form N-2/A (File No. 333-172524), filed on August 22, 2011).</w:t>
      </w:r>
    </w:p>
    <w:p>
      <w:pPr>
        <w:spacing w:after="0" w:line="145" w:lineRule="exact"/>
        <w:rPr>
          <w:sz w:val="20"/>
          <w:szCs w:val="20"/>
          <w:color w:val="auto"/>
        </w:rPr>
      </w:pPr>
    </w:p>
    <w:p>
      <w:pPr>
        <w:ind w:left="920" w:hanging="819"/>
        <w:spacing w:after="0" w:line="332" w:lineRule="auto"/>
        <w:tabs>
          <w:tab w:leader="none" w:pos="900" w:val="left"/>
        </w:tabs>
        <w:rPr>
          <w:sz w:val="20"/>
          <w:szCs w:val="20"/>
          <w:color w:val="auto"/>
        </w:rPr>
      </w:pPr>
      <w:r>
        <w:rPr>
          <w:rFonts w:ascii="Arial" w:cs="Arial" w:eastAsia="Arial" w:hAnsi="Arial"/>
          <w:sz w:val="16"/>
          <w:szCs w:val="16"/>
          <w:color w:val="auto"/>
        </w:rPr>
        <w:t>(s)(6)</w:t>
      </w:r>
      <w:r>
        <w:rPr>
          <w:sz w:val="20"/>
          <w:szCs w:val="20"/>
          <w:color w:val="auto"/>
        </w:rPr>
        <w:tab/>
      </w:r>
      <w:r>
        <w:rPr>
          <w:rFonts w:ascii="Arial" w:cs="Arial" w:eastAsia="Arial" w:hAnsi="Arial"/>
          <w:sz w:val="16"/>
          <w:szCs w:val="16"/>
          <w:color w:val="auto"/>
        </w:rPr>
        <w:t>Audited Financial Statements of RAM Energy Holdings LLC as of and for the year ended December 31, 2016 (Incorporated by reference to Exhibit 99.2 to Amendment No.1 to the Registrant’s Report on Form 10-K (File No. 814-00736), filed on March 17, 2017).</w:t>
      </w:r>
    </w:p>
    <w:p>
      <w:pPr>
        <w:spacing w:after="0" w:line="204" w:lineRule="exact"/>
        <w:rPr>
          <w:sz w:val="20"/>
          <w:szCs w:val="20"/>
          <w:color w:val="auto"/>
        </w:rPr>
      </w:pPr>
    </w:p>
    <w:p>
      <w:pPr>
        <w:ind w:left="580" w:hanging="572"/>
        <w:spacing w:after="0"/>
        <w:tabs>
          <w:tab w:leader="none" w:pos="5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8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320"/>
          </w:cols>
          <w:pgMar w:left="240" w:top="460" w:right="339" w:bottom="1440" w:gutter="0" w:footer="0" w:header="0"/>
        </w:sectPr>
      </w:pPr>
    </w:p>
    <w:p>
      <w:pPr>
        <w:spacing w:after="0" w:line="17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-125730</wp:posOffset>
            </wp:positionV>
            <wp:extent cx="361886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180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18865" cy="180340"/>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FINRA filing fee</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180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18865" cy="180340"/>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Legal fees and expenses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18865" cy="180340"/>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Miscellaneous fees and expenses</w:t>
      </w:r>
    </w:p>
    <w:p>
      <w:pPr>
        <w:spacing w:after="0" w:line="14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09" w:lineRule="exact"/>
        <w:rPr>
          <w:sz w:val="20"/>
          <w:szCs w:val="20"/>
          <w:color w:val="auto"/>
        </w:rPr>
      </w:pPr>
    </w:p>
    <w:p>
      <w:pPr>
        <w:ind w:firstLine="8"/>
        <w:spacing w:after="0" w:line="230" w:lineRule="auto"/>
        <w:tabs>
          <w:tab w:leader="none" w:pos="21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This amount has been offset against a filing fee associated with unsold securities registered under a previous registration statement. ** This amount is estimated.</w:t>
      </w:r>
    </w:p>
    <w:p>
      <w:pPr>
        <w:spacing w:after="0"/>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19" w:hanging="319"/>
        <w:spacing w:after="0"/>
        <w:tabs>
          <w:tab w:leader="none" w:pos="31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86,925*</w:t>
      </w:r>
    </w:p>
    <w:p>
      <w:pPr>
        <w:spacing w:after="0" w:line="86" w:lineRule="exact"/>
        <w:rPr>
          <w:rFonts w:ascii="Arial" w:cs="Arial" w:eastAsia="Arial" w:hAnsi="Arial"/>
          <w:sz w:val="16"/>
          <w:szCs w:val="16"/>
          <w:color w:val="auto"/>
        </w:rPr>
      </w:pPr>
    </w:p>
    <w:p>
      <w:pPr>
        <w:ind w:left="219"/>
        <w:spacing w:after="0"/>
        <w:rPr>
          <w:rFonts w:ascii="Arial" w:cs="Arial" w:eastAsia="Arial" w:hAnsi="Arial"/>
          <w:sz w:val="16"/>
          <w:szCs w:val="16"/>
          <w:color w:val="auto"/>
        </w:rPr>
      </w:pPr>
      <w:r>
        <w:rPr>
          <w:rFonts w:ascii="Arial" w:cs="Arial" w:eastAsia="Arial" w:hAnsi="Arial"/>
          <w:sz w:val="16"/>
          <w:szCs w:val="16"/>
          <w:color w:val="auto"/>
        </w:rPr>
        <w:t>65,000**</w:t>
      </w:r>
    </w:p>
    <w:p>
      <w:pPr>
        <w:spacing w:after="0" w:line="99" w:lineRule="exact"/>
        <w:rPr>
          <w:rFonts w:ascii="Arial" w:cs="Arial" w:eastAsia="Arial" w:hAnsi="Arial"/>
          <w:sz w:val="16"/>
          <w:szCs w:val="16"/>
          <w:color w:val="auto"/>
        </w:rPr>
      </w:pPr>
    </w:p>
    <w:p>
      <w:pPr>
        <w:ind w:left="239"/>
        <w:spacing w:after="0"/>
        <w:rPr>
          <w:rFonts w:ascii="Arial" w:cs="Arial" w:eastAsia="Arial" w:hAnsi="Arial"/>
          <w:sz w:val="16"/>
          <w:szCs w:val="16"/>
          <w:color w:val="auto"/>
        </w:rPr>
      </w:pPr>
      <w:r>
        <w:rPr>
          <w:rFonts w:ascii="Arial" w:cs="Arial" w:eastAsia="Arial" w:hAnsi="Arial"/>
          <w:sz w:val="15"/>
          <w:szCs w:val="15"/>
          <w:color w:val="auto"/>
        </w:rPr>
        <w:t>113,000*</w:t>
      </w:r>
    </w:p>
    <w:p>
      <w:pPr>
        <w:spacing w:after="0" w:line="111" w:lineRule="exact"/>
        <w:rPr>
          <w:rFonts w:ascii="Arial" w:cs="Arial" w:eastAsia="Arial" w:hAnsi="Arial"/>
          <w:sz w:val="16"/>
          <w:szCs w:val="16"/>
          <w:color w:val="auto"/>
        </w:rPr>
      </w:pPr>
    </w:p>
    <w:p>
      <w:pPr>
        <w:ind w:left="61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61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61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61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19685</wp:posOffset>
            </wp:positionV>
            <wp:extent cx="6172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38" w:lineRule="exact"/>
        <w:rPr>
          <w:sz w:val="20"/>
          <w:szCs w:val="20"/>
          <w:color w:val="auto"/>
        </w:rPr>
      </w:pPr>
    </w:p>
    <w:p>
      <w:pPr>
        <w:ind w:left="619" w:hanging="619"/>
        <w:spacing w:after="0"/>
        <w:tabs>
          <w:tab w:leader="none" w:pos="6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6172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27940</wp:posOffset>
            </wp:positionV>
            <wp:extent cx="6172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319" w:lineRule="exact"/>
        <w:rPr>
          <w:sz w:val="20"/>
          <w:szCs w:val="20"/>
          <w:color w:val="auto"/>
        </w:rPr>
      </w:pPr>
    </w:p>
    <w:p>
      <w:pPr>
        <w:sectPr>
          <w:pgSz w:w="11900" w:h="16838" w:orient="portrait"/>
          <w:cols w:equalWidth="0" w:num="2">
            <w:col w:w="7320" w:space="261"/>
            <w:col w:w="3739"/>
          </w:cols>
          <w:pgMar w:left="240" w:top="46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C-3</w:t>
      </w:r>
    </w:p>
    <w:p>
      <w:pPr>
        <w:sectPr>
          <w:pgSz w:w="11900" w:h="16838" w:orient="portrait"/>
          <w:cols w:equalWidth="0" w:num="1">
            <w:col w:w="11320"/>
          </w:cols>
          <w:pgMar w:left="240" w:top="460" w:right="3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227"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550545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05450" cy="1714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PennantPark SBIC GP,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GP II,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LP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II LP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Alabama Holdings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Cascade Environmental Holdings,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CI (GALLS) Prime Investment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ecoserve,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Investment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New Gulf Resources,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Power Products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RAM Energy Holdings,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Superior Digital Displays Holdings,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26"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9"/>
          <w:szCs w:val="19"/>
          <w:color w:val="auto"/>
          <w:vertAlign w:val="superscript"/>
        </w:rPr>
      </w:pPr>
      <w:r>
        <w:rPr>
          <w:rFonts w:ascii="Arial" w:cs="Arial" w:eastAsia="Arial" w:hAnsi="Arial"/>
          <w:sz w:val="12"/>
          <w:szCs w:val="12"/>
          <w:color w:val="auto"/>
        </w:rPr>
        <w:t>The entity is directly owned 99% by us and 1% by PennantPark SBIC GP, LLC which is effectively wholly-owned by us.</w:t>
      </w:r>
    </w:p>
    <w:p>
      <w:pPr>
        <w:ind w:left="340" w:hanging="332"/>
        <w:spacing w:after="0" w:line="182" w:lineRule="auto"/>
        <w:tabs>
          <w:tab w:leader="none" w:pos="340" w:val="left"/>
        </w:tabs>
        <w:numPr>
          <w:ilvl w:val="0"/>
          <w:numId w:val="121"/>
        </w:numPr>
        <w:rPr>
          <w:rFonts w:ascii="Arial" w:cs="Arial" w:eastAsia="Arial" w:hAnsi="Arial"/>
          <w:sz w:val="17"/>
          <w:szCs w:val="17"/>
          <w:color w:val="auto"/>
          <w:vertAlign w:val="superscript"/>
        </w:rPr>
      </w:pPr>
      <w:r>
        <w:rPr>
          <w:rFonts w:ascii="Arial" w:cs="Arial" w:eastAsia="Arial" w:hAnsi="Arial"/>
          <w:sz w:val="11"/>
          <w:szCs w:val="11"/>
          <w:color w:val="auto"/>
        </w:rPr>
        <w:t>The entity is directly owned 99% by us and 1% by PennantPark SBIC GP II, LLC, which is effectively wholly-owned by us.</w:t>
      </w:r>
    </w:p>
    <w:p>
      <w:pPr>
        <w:ind w:left="340" w:hanging="332"/>
        <w:spacing w:after="0" w:line="182" w:lineRule="auto"/>
        <w:tabs>
          <w:tab w:leader="none" w:pos="340" w:val="left"/>
        </w:tabs>
        <w:numPr>
          <w:ilvl w:val="0"/>
          <w:numId w:val="121"/>
        </w:numPr>
        <w:rPr>
          <w:rFonts w:ascii="Arial" w:cs="Arial" w:eastAsia="Arial" w:hAnsi="Arial"/>
          <w:sz w:val="17"/>
          <w:szCs w:val="17"/>
          <w:color w:val="auto"/>
          <w:vertAlign w:val="superscript"/>
        </w:rPr>
      </w:pPr>
      <w:r>
        <w:rPr>
          <w:rFonts w:ascii="Arial" w:cs="Arial" w:eastAsia="Arial" w:hAnsi="Arial"/>
          <w:sz w:val="11"/>
          <w:szCs w:val="11"/>
          <w:color w:val="auto"/>
        </w:rPr>
        <w:t>This entity is not operational.</w:t>
      </w:r>
    </w:p>
    <w:p>
      <w:pPr>
        <w:ind w:left="340" w:hanging="332"/>
        <w:spacing w:after="0" w:line="185" w:lineRule="auto"/>
        <w:tabs>
          <w:tab w:leader="none" w:pos="340" w:val="left"/>
        </w:tabs>
        <w:numPr>
          <w:ilvl w:val="0"/>
          <w:numId w:val="121"/>
        </w:numPr>
        <w:rPr>
          <w:rFonts w:ascii="Arial" w:cs="Arial" w:eastAsia="Arial" w:hAnsi="Arial"/>
          <w:sz w:val="18"/>
          <w:szCs w:val="18"/>
          <w:color w:val="auto"/>
          <w:vertAlign w:val="superscript"/>
        </w:rPr>
      </w:pPr>
      <w:r>
        <w:rPr>
          <w:rFonts w:ascii="Arial" w:cs="Arial" w:eastAsia="Arial" w:hAnsi="Arial"/>
          <w:sz w:val="12"/>
          <w:szCs w:val="12"/>
          <w:color w:val="auto"/>
        </w:rPr>
        <w:t>This is a controlled affiliated investment.</w:t>
      </w:r>
    </w:p>
    <w:p>
      <w:pPr>
        <w:spacing w:after="0" w:line="1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1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19"/>
        <w:spacing w:after="0"/>
        <w:rPr>
          <w:sz w:val="20"/>
          <w:szCs w:val="20"/>
          <w:color w:val="auto"/>
        </w:rPr>
      </w:pPr>
      <w:r>
        <w:rPr>
          <w:rFonts w:ascii="Arial" w:cs="Arial" w:eastAsia="Arial" w:hAnsi="Arial"/>
          <w:sz w:val="11"/>
          <w:szCs w:val="11"/>
          <w:b w:val="1"/>
          <w:bCs w:val="1"/>
          <w:u w:val="single" w:color="auto"/>
          <w:color w:val="auto"/>
        </w:rPr>
        <w:t>Owned Percentage</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jc w:val="right"/>
        <w:ind w:right="519"/>
        <w:spacing w:after="0"/>
        <w:tabs>
          <w:tab w:leader="none" w:pos="1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(1)</w:t>
      </w:r>
    </w:p>
    <w:p>
      <w:pPr>
        <w:spacing w:after="0" w:line="50" w:lineRule="exact"/>
        <w:rPr>
          <w:sz w:val="20"/>
          <w:szCs w:val="20"/>
          <w:color w:val="auto"/>
        </w:rPr>
      </w:pPr>
    </w:p>
    <w:p>
      <w:pPr>
        <w:jc w:val="right"/>
        <w:ind w:right="519"/>
        <w:spacing w:after="0"/>
        <w:tabs>
          <w:tab w:leader="none" w:pos="1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(2)</w:t>
      </w:r>
    </w:p>
    <w:p>
      <w:pPr>
        <w:spacing w:after="0" w:line="50" w:lineRule="exact"/>
        <w:rPr>
          <w:sz w:val="20"/>
          <w:szCs w:val="20"/>
          <w:color w:val="auto"/>
        </w:rPr>
      </w:pPr>
    </w:p>
    <w:p>
      <w:pPr>
        <w:jc w:val="right"/>
        <w:ind w:right="519"/>
        <w:spacing w:after="0"/>
        <w:tabs>
          <w:tab w:leader="none" w:pos="1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(3)</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jc w:val="right"/>
        <w:ind w:right="519"/>
        <w:spacing w:after="0"/>
        <w:tabs>
          <w:tab w:leader="none" w:pos="1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(4)</w:t>
      </w:r>
    </w:p>
    <w:p>
      <w:pPr>
        <w:spacing w:after="0" w:line="36" w:lineRule="exact"/>
        <w:rPr>
          <w:sz w:val="20"/>
          <w:szCs w:val="20"/>
          <w:color w:val="auto"/>
        </w:rPr>
      </w:pPr>
    </w:p>
    <w:p>
      <w:pPr>
        <w:jc w:val="right"/>
        <w:ind w:right="519"/>
        <w:spacing w:after="0"/>
        <w:tabs>
          <w:tab w:leader="none" w:pos="1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1"/>
          <w:szCs w:val="11"/>
          <w:color w:val="auto"/>
        </w:rPr>
        <w:t>(4)</w:t>
      </w:r>
    </w:p>
    <w:p>
      <w:pPr>
        <w:sectPr>
          <w:pgSz w:w="11900" w:h="16838" w:orient="portrait"/>
          <w:cols w:equalWidth="0" w:num="2">
            <w:col w:w="7400" w:space="720"/>
            <w:col w:w="2099"/>
          </w:cols>
          <w:pgMar w:left="240" w:top="460" w:right="1440"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980" w:type="dxa"/>
            <w:vAlign w:val="bottom"/>
            <w:gridSpan w:val="2"/>
          </w:tcPr>
          <w:p>
            <w:pPr>
              <w:ind w:left="760"/>
              <w:spacing w:after="0"/>
              <w:rPr>
                <w:sz w:val="20"/>
                <w:szCs w:val="20"/>
                <w:color w:val="auto"/>
              </w:rPr>
            </w:pPr>
            <w:r>
              <w:rPr>
                <w:rFonts w:ascii="Arial" w:cs="Arial" w:eastAsia="Arial" w:hAnsi="Arial"/>
                <w:sz w:val="18"/>
                <w:szCs w:val="18"/>
                <w:b w:val="1"/>
                <w:bCs w:val="1"/>
                <w:color w:val="auto"/>
              </w:rPr>
              <w:t>Number of holders of shares</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8700" w:type="dxa"/>
            <w:vAlign w:val="bottom"/>
            <w:gridSpan w:val="3"/>
          </w:tcPr>
          <w:p>
            <w:pPr>
              <w:ind w:left="580"/>
              <w:spacing w:after="0"/>
              <w:rPr>
                <w:sz w:val="20"/>
                <w:szCs w:val="20"/>
                <w:color w:val="auto"/>
              </w:rPr>
            </w:pPr>
            <w:r>
              <w:rPr>
                <w:rFonts w:ascii="Arial" w:cs="Arial" w:eastAsia="Arial" w:hAnsi="Arial"/>
                <w:sz w:val="18"/>
                <w:szCs w:val="18"/>
                <w:color w:val="auto"/>
              </w:rPr>
              <w:t>As of February 28, 2017</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7980" w:type="dxa"/>
            <w:vAlign w:val="bottom"/>
            <w:gridSpan w:val="2"/>
            <w:vMerge w:val="restart"/>
          </w:tcPr>
          <w:p>
            <w:pPr>
              <w:jc w:val="center"/>
              <w:ind w:right="5380"/>
              <w:spacing w:after="0"/>
              <w:rPr>
                <w:sz w:val="20"/>
                <w:szCs w:val="20"/>
                <w:color w:val="auto"/>
              </w:rPr>
            </w:pPr>
            <w:r>
              <w:rPr>
                <w:rFonts w:ascii="Arial" w:cs="Arial" w:eastAsia="Arial" w:hAnsi="Arial"/>
                <w:sz w:val="14"/>
                <w:szCs w:val="14"/>
                <w:b w:val="1"/>
                <w:bCs w:val="1"/>
                <w:color w:val="auto"/>
                <w:w w:val="87"/>
              </w:rPr>
              <w:t>Title of Class</w:t>
            </w: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w w:val="86"/>
              </w:rPr>
              <w:t>Number of Record Holders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980" w:type="dxa"/>
            <w:vAlign w:val="bottom"/>
            <w:gridSpan w:val="2"/>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4680" w:type="dxa"/>
            <w:vAlign w:val="bottom"/>
          </w:tcPr>
          <w:p>
            <w:pPr>
              <w:spacing w:after="0"/>
              <w:rPr>
                <w:sz w:val="18"/>
                <w:szCs w:val="18"/>
                <w:color w:val="auto"/>
              </w:rPr>
            </w:pPr>
          </w:p>
        </w:tc>
        <w:tc>
          <w:tcPr>
            <w:tcW w:w="1280" w:type="dxa"/>
            <w:vAlign w:val="bottom"/>
          </w:tcPr>
          <w:p>
            <w:pPr>
              <w:jc w:val="right"/>
              <w:ind w:right="482"/>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520"/>
          </w:cols>
          <w:pgMar w:left="240" w:top="459" w:right="11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60"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171" w:lineRule="exact"/>
        <w:rPr>
          <w:rFonts w:ascii="Arial" w:cs="Arial" w:eastAsia="Arial" w:hAnsi="Arial"/>
          <w:sz w:val="18"/>
          <w:szCs w:val="18"/>
          <w:color w:val="auto"/>
        </w:rPr>
      </w:pPr>
    </w:p>
    <w:p>
      <w:pPr>
        <w:ind w:left="5580" w:right="1540" w:hanging="5001"/>
        <w:spacing w:after="0" w:line="440" w:lineRule="auto"/>
        <w:tabs>
          <w:tab w:leader="none" w:pos="8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 C-8</w:t>
      </w:r>
    </w:p>
    <w:p>
      <w:pPr>
        <w:sectPr>
          <w:pgSz w:w="11900" w:h="16838" w:orient="portrait"/>
          <w:cols w:equalWidth="0" w:num="1">
            <w:col w:w="10960"/>
          </w:cols>
          <w:pgMar w:left="240" w:top="459" w:right="6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60" w:right="1440"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120" w:firstLine="579"/>
        <w:spacing w:after="0" w:line="259" w:lineRule="auto"/>
        <w:tabs>
          <w:tab w:leader="none" w:pos="81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firstLine="579"/>
        <w:spacing w:after="0" w:line="294" w:lineRule="auto"/>
        <w:tabs>
          <w:tab w:leader="none" w:pos="8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000" w:hanging="207"/>
        <w:spacing w:after="0"/>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360" w:right="240" w:firstLine="433"/>
        <w:spacing w:after="0" w:line="357" w:lineRule="auto"/>
        <w:tabs>
          <w:tab w:leader="none" w:pos="1061" w:val="left"/>
        </w:tabs>
        <w:numPr>
          <w:ilvl w:val="2"/>
          <w:numId w:val="12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360" w:right="180" w:firstLine="433"/>
        <w:spacing w:after="0" w:line="268" w:lineRule="auto"/>
        <w:tabs>
          <w:tab w:leader="none" w:pos="111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420" w:firstLine="579"/>
        <w:spacing w:after="0" w:line="268" w:lineRule="auto"/>
        <w:tabs>
          <w:tab w:leader="none" w:pos="8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360" w:right="400" w:firstLine="410"/>
        <w:spacing w:after="0" w:line="259" w:lineRule="auto"/>
        <w:tabs>
          <w:tab w:leader="none" w:pos="101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360" w:right="100" w:firstLine="410"/>
        <w:spacing w:after="0" w:line="268" w:lineRule="auto"/>
        <w:tabs>
          <w:tab w:leader="none" w:pos="10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firstLine="410"/>
        <w:spacing w:after="0" w:line="290" w:lineRule="auto"/>
        <w:tabs>
          <w:tab w:leader="none" w:pos="101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left="360" w:right="120" w:firstLine="410"/>
        <w:spacing w:after="0" w:line="323" w:lineRule="auto"/>
        <w:tabs>
          <w:tab w:leader="none" w:pos="999"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6" w:lineRule="exact"/>
        <w:rPr>
          <w:rFonts w:ascii="Arial" w:cs="Arial" w:eastAsia="Arial" w:hAnsi="Arial"/>
          <w:sz w:val="15"/>
          <w:szCs w:val="15"/>
          <w:color w:val="auto"/>
        </w:rPr>
      </w:pPr>
    </w:p>
    <w:p>
      <w:pPr>
        <w:ind w:left="360" w:right="160" w:firstLine="433"/>
        <w:spacing w:after="0" w:line="268" w:lineRule="auto"/>
        <w:tabs>
          <w:tab w:leader="none" w:pos="101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360" w:right="220" w:firstLine="433"/>
        <w:spacing w:after="0" w:line="268" w:lineRule="auto"/>
        <w:tabs>
          <w:tab w:leader="none" w:pos="1061"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100" w:hanging="307"/>
        <w:spacing w:after="0"/>
        <w:tabs>
          <w:tab w:leader="none" w:pos="11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360" w:right="60" w:firstLine="410"/>
        <w:spacing w:after="0" w:line="305" w:lineRule="auto"/>
        <w:tabs>
          <w:tab w:leader="none" w:pos="1028"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to file a post-effective amendment to the registration statement, and to suspend any offers or sales pursuant the registration statement until such post-effective amendment has been declared effective under the Securities Act, in the event the shares of the Registrant are trading below its NAV and either</w:t>
      </w:r>
    </w:p>
    <w:p>
      <w:pPr>
        <w:ind w:left="360" w:right="140" w:hanging="10"/>
        <w:spacing w:after="0" w:line="254" w:lineRule="auto"/>
        <w:tabs>
          <w:tab w:leader="none" w:pos="59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(5)(a) that for the purposes of determining any liability under the Securities Act, the information omitted from the form of prospectus filed as part of a registration statement in reliance upon Rule 430A and contained in the form of prospectus filed by the Registrant under Rule 497(h) under the Securities Act shall be deemed to be part of the Registration Statement as of the time it was declared effective; and</w:t>
      </w:r>
    </w:p>
    <w:p>
      <w:pPr>
        <w:spacing w:after="0" w:line="59" w:lineRule="exact"/>
        <w:rPr>
          <w:sz w:val="20"/>
          <w:szCs w:val="20"/>
          <w:color w:val="auto"/>
        </w:rPr>
      </w:pPr>
    </w:p>
    <w:p>
      <w:pPr>
        <w:ind w:left="360" w:right="20" w:firstLine="410"/>
        <w:spacing w:after="0" w:line="259" w:lineRule="auto"/>
        <w:tabs>
          <w:tab w:leader="none" w:pos="102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60" w:firstLine="579"/>
        <w:spacing w:after="0" w:line="291" w:lineRule="auto"/>
        <w:tabs>
          <w:tab w:leader="none" w:pos="81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State of New York, on the 21st day of March 2017.</w:t>
      </w:r>
    </w:p>
    <w:p>
      <w:pPr>
        <w:spacing w:after="0" w:line="121"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7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KNOW ALL MEN BY THESE PRESENT, each person whose signature appears below hereby constitutes and appoints Aviv Efrat his true and lawful attorney-in-fact and agent, with full power of substitution and resubstitution, for him and in his name, place and stead, in any and all capacities, to sign any and all amendments to this Registration Statement on Form N-2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might or could do in person, hereby ratifying and confirming all that said attorney-in-fact and agent, or his substitutes, may lawfully do or cause to be done by virtue hereof.</w:t>
      </w:r>
    </w:p>
    <w:p>
      <w:pPr>
        <w:spacing w:after="0" w:line="120"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N-2 has been signed by the following persons in the capacities set forth below on the 21st day of March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jc w:val="center"/>
              <w:ind w:right="2016"/>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04"/>
        </w:trPr>
        <w:tc>
          <w:tcPr>
            <w:tcW w:w="1800" w:type="dxa"/>
            <w:vAlign w:val="bottom"/>
            <w:vMerge w:val="restart"/>
          </w:tcPr>
          <w:p>
            <w:pPr>
              <w:ind w:left="1560"/>
              <w:spacing w:after="0"/>
              <w:rPr>
                <w:sz w:val="20"/>
                <w:szCs w:val="20"/>
                <w:color w:val="auto"/>
              </w:rPr>
            </w:pPr>
            <w:r>
              <w:rPr>
                <w:rFonts w:ascii="Arial" w:cs="Arial" w:eastAsia="Arial" w:hAnsi="Arial"/>
                <w:sz w:val="18"/>
                <w:szCs w:val="18"/>
                <w:color w:val="auto"/>
                <w:w w:val="99"/>
              </w:rPr>
              <w:t>/S/</w:t>
            </w:r>
          </w:p>
        </w:tc>
        <w:tc>
          <w:tcPr>
            <w:tcW w:w="3460" w:type="dxa"/>
            <w:vAlign w:val="bottom"/>
            <w:gridSpan w:val="2"/>
            <w:vMerge w:val="restart"/>
          </w:tcPr>
          <w:p>
            <w:pPr>
              <w:jc w:val="center"/>
              <w:ind w:right="1696"/>
              <w:spacing w:after="0"/>
              <w:rPr>
                <w:sz w:val="20"/>
                <w:szCs w:val="20"/>
                <w:color w:val="auto"/>
              </w:rPr>
            </w:pPr>
            <w:r>
              <w:rPr>
                <w:rFonts w:ascii="Arial" w:cs="Arial" w:eastAsia="Arial" w:hAnsi="Arial"/>
                <w:sz w:val="18"/>
                <w:szCs w:val="18"/>
                <w:color w:val="auto"/>
                <w:w w:val="94"/>
              </w:rPr>
              <w:t>ARTHUR H. PENN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 (Principal</w:t>
            </w:r>
          </w:p>
        </w:tc>
        <w:tc>
          <w:tcPr>
            <w:tcW w:w="0" w:type="dxa"/>
            <w:vAlign w:val="bottom"/>
          </w:tcPr>
          <w:p>
            <w:pPr>
              <w:spacing w:after="0"/>
              <w:rPr>
                <w:sz w:val="1"/>
                <w:szCs w:val="1"/>
                <w:color w:val="auto"/>
              </w:rPr>
            </w:pPr>
          </w:p>
        </w:tc>
      </w:tr>
      <w:tr>
        <w:trPr>
          <w:trHeight w:val="92"/>
        </w:trPr>
        <w:tc>
          <w:tcPr>
            <w:tcW w:w="1800" w:type="dxa"/>
            <w:vAlign w:val="bottom"/>
            <w:tcBorders>
              <w:bottom w:val="single" w:sz="8" w:color="auto"/>
            </w:tcBorders>
            <w:vMerge w:val="continue"/>
          </w:tcPr>
          <w:p>
            <w:pPr>
              <w:spacing w:after="0"/>
              <w:rPr>
                <w:sz w:val="7"/>
                <w:szCs w:val="7"/>
                <w:color w:val="auto"/>
              </w:rPr>
            </w:pPr>
          </w:p>
        </w:tc>
        <w:tc>
          <w:tcPr>
            <w:tcW w:w="3460" w:type="dxa"/>
            <w:vAlign w:val="bottom"/>
            <w:tcBorders>
              <w:bottom w:val="single" w:sz="8" w:color="auto"/>
            </w:tcBorders>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2"/>
              </w:rPr>
              <w:t>Executive Officer)</w:t>
            </w:r>
          </w:p>
        </w:tc>
        <w:tc>
          <w:tcPr>
            <w:tcW w:w="0" w:type="dxa"/>
            <w:vAlign w:val="bottom"/>
          </w:tcPr>
          <w:p>
            <w:pPr>
              <w:spacing w:after="0"/>
              <w:rPr>
                <w:sz w:val="1"/>
                <w:szCs w:val="1"/>
                <w:color w:val="auto"/>
              </w:rPr>
            </w:pPr>
          </w:p>
        </w:tc>
      </w:tr>
      <w:tr>
        <w:trPr>
          <w:trHeight w:val="115"/>
        </w:trPr>
        <w:tc>
          <w:tcPr>
            <w:tcW w:w="1800" w:type="dxa"/>
            <w:vAlign w:val="bottom"/>
          </w:tcPr>
          <w:p>
            <w:pPr>
              <w:spacing w:after="0"/>
              <w:rPr>
                <w:sz w:val="10"/>
                <w:szCs w:val="10"/>
                <w:color w:val="auto"/>
              </w:rPr>
            </w:pPr>
          </w:p>
        </w:tc>
        <w:tc>
          <w:tcPr>
            <w:tcW w:w="3460" w:type="dxa"/>
            <w:vAlign w:val="bottom"/>
            <w:gridSpan w:val="2"/>
            <w:vMerge w:val="restart"/>
          </w:tcPr>
          <w:p>
            <w:pPr>
              <w:jc w:val="center"/>
              <w:ind w:right="1716"/>
              <w:spacing w:after="0"/>
              <w:rPr>
                <w:sz w:val="20"/>
                <w:szCs w:val="20"/>
                <w:color w:val="auto"/>
              </w:rPr>
            </w:pPr>
            <w:r>
              <w:rPr>
                <w:rFonts w:ascii="Arial" w:cs="Arial" w:eastAsia="Arial" w:hAnsi="Arial"/>
                <w:sz w:val="18"/>
                <w:szCs w:val="18"/>
                <w:b w:val="1"/>
                <w:bCs w:val="1"/>
                <w:color w:val="auto"/>
                <w:w w:val="92"/>
              </w:rPr>
              <w:t>Arthur H. Penn</w:t>
            </w:r>
          </w:p>
        </w:tc>
        <w:tc>
          <w:tcPr>
            <w:tcW w:w="80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00" w:type="dxa"/>
            <w:vAlign w:val="bottom"/>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/S/</w:t>
            </w:r>
          </w:p>
        </w:tc>
        <w:tc>
          <w:tcPr>
            <w:tcW w:w="3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AVIV EFRAT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c>
          <w:tcPr>
            <w:tcW w:w="0" w:type="dxa"/>
            <w:vAlign w:val="bottom"/>
          </w:tcPr>
          <w:p>
            <w:pPr>
              <w:spacing w:after="0"/>
              <w:rPr>
                <w:sz w:val="1"/>
                <w:szCs w:val="1"/>
                <w:color w:val="auto"/>
              </w:rPr>
            </w:pPr>
          </w:p>
        </w:tc>
      </w:tr>
      <w:tr>
        <w:trPr>
          <w:trHeight w:val="224"/>
        </w:trPr>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jc w:val="center"/>
              <w:ind w:right="2016"/>
              <w:spacing w:after="0"/>
              <w:rPr>
                <w:sz w:val="20"/>
                <w:szCs w:val="20"/>
                <w:color w:val="auto"/>
              </w:rPr>
            </w:pPr>
            <w:r>
              <w:rPr>
                <w:rFonts w:ascii="Arial" w:cs="Arial" w:eastAsia="Arial" w:hAnsi="Arial"/>
                <w:sz w:val="18"/>
                <w:szCs w:val="18"/>
                <w:b w:val="1"/>
                <w:bCs w:val="1"/>
                <w:color w:val="auto"/>
                <w:w w:val="92"/>
              </w:rPr>
              <w:t>Aviv Efrat</w:t>
            </w:r>
          </w:p>
        </w:tc>
        <w:tc>
          <w:tcPr>
            <w:tcW w:w="800" w:type="dxa"/>
            <w:vAlign w:val="bottom"/>
          </w:tcPr>
          <w:p>
            <w:pPr>
              <w:spacing w:after="0"/>
              <w:rPr>
                <w:sz w:val="19"/>
                <w:szCs w:val="19"/>
                <w:color w:val="auto"/>
              </w:rPr>
            </w:pPr>
          </w:p>
        </w:tc>
        <w:tc>
          <w:tcPr>
            <w:tcW w:w="5360" w:type="dxa"/>
            <w:vAlign w:val="bottom"/>
          </w:tcPr>
          <w:p>
            <w:pPr>
              <w:jc w:val="center"/>
              <w:spacing w:after="0" w:line="202" w:lineRule="exact"/>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432"/>
        </w:trPr>
        <w:tc>
          <w:tcPr>
            <w:tcW w:w="18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0"/>
              </w:rPr>
              <w:t>/S/</w:t>
            </w:r>
          </w:p>
        </w:tc>
        <w:tc>
          <w:tcPr>
            <w:tcW w:w="3460" w:type="dxa"/>
            <w:vAlign w:val="bottom"/>
            <w:tcBorders>
              <w:bottom w:val="single" w:sz="8" w:color="auto"/>
            </w:tcBorders>
            <w:gridSpan w:val="2"/>
          </w:tcPr>
          <w:p>
            <w:pPr>
              <w:jc w:val="center"/>
              <w:ind w:right="1336"/>
              <w:spacing w:after="0"/>
              <w:rPr>
                <w:sz w:val="20"/>
                <w:szCs w:val="20"/>
                <w:color w:val="auto"/>
              </w:rPr>
            </w:pPr>
            <w:r>
              <w:rPr>
                <w:rFonts w:ascii="Arial" w:cs="Arial" w:eastAsia="Arial" w:hAnsi="Arial"/>
                <w:sz w:val="18"/>
                <w:szCs w:val="18"/>
                <w:color w:val="auto"/>
                <w:w w:val="96"/>
              </w:rPr>
              <w:t>ADAM K. BERNSTEIN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3460" w:type="dxa"/>
            <w:vAlign w:val="bottom"/>
            <w:gridSpan w:val="2"/>
          </w:tcPr>
          <w:p>
            <w:pPr>
              <w:jc w:val="center"/>
              <w:ind w:right="1696"/>
              <w:spacing w:after="0"/>
              <w:rPr>
                <w:sz w:val="20"/>
                <w:szCs w:val="20"/>
                <w:color w:val="auto"/>
              </w:rPr>
            </w:pPr>
            <w:r>
              <w:rPr>
                <w:rFonts w:ascii="Arial" w:cs="Arial" w:eastAsia="Arial" w:hAnsi="Arial"/>
                <w:sz w:val="18"/>
                <w:szCs w:val="18"/>
                <w:b w:val="1"/>
                <w:bCs w:val="1"/>
                <w:color w:val="auto"/>
                <w:w w:val="89"/>
              </w:rPr>
              <w:t>Adam K. Bernstein</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jc w:val="center"/>
              <w:ind w:right="1636"/>
              <w:spacing w:after="0"/>
              <w:rPr>
                <w:sz w:val="20"/>
                <w:szCs w:val="20"/>
                <w:color w:val="auto"/>
              </w:rPr>
            </w:pPr>
            <w:r>
              <w:rPr>
                <w:rFonts w:ascii="Arial" w:cs="Arial" w:eastAsia="Arial" w:hAnsi="Arial"/>
                <w:sz w:val="18"/>
                <w:szCs w:val="18"/>
                <w:color w:val="auto"/>
                <w:w w:val="93"/>
              </w:rPr>
              <w:t>JEFFREY FLUG</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jc w:val="center"/>
              <w:ind w:right="2016"/>
              <w:spacing w:after="0"/>
              <w:rPr>
                <w:sz w:val="20"/>
                <w:szCs w:val="20"/>
                <w:color w:val="auto"/>
              </w:rPr>
            </w:pPr>
            <w:r>
              <w:rPr>
                <w:rFonts w:ascii="Arial" w:cs="Arial" w:eastAsia="Arial" w:hAnsi="Arial"/>
                <w:sz w:val="18"/>
                <w:szCs w:val="18"/>
                <w:b w:val="1"/>
                <w:bCs w:val="1"/>
                <w:color w:val="auto"/>
                <w:w w:val="88"/>
              </w:rPr>
              <w:t>Jeffrey Flug</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gridSpan w:val="2"/>
          </w:tcPr>
          <w:p>
            <w:pPr>
              <w:jc w:val="center"/>
              <w:ind w:right="1336"/>
              <w:spacing w:after="0"/>
              <w:rPr>
                <w:sz w:val="20"/>
                <w:szCs w:val="20"/>
                <w:color w:val="auto"/>
              </w:rPr>
            </w:pPr>
            <w:r>
              <w:rPr>
                <w:rFonts w:ascii="Arial" w:cs="Arial" w:eastAsia="Arial" w:hAnsi="Arial"/>
                <w:sz w:val="18"/>
                <w:szCs w:val="18"/>
                <w:color w:val="auto"/>
                <w:w w:val="95"/>
              </w:rPr>
              <w:t>MARSHALL BROZOST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3460" w:type="dxa"/>
            <w:vAlign w:val="bottom"/>
            <w:gridSpan w:val="2"/>
          </w:tcPr>
          <w:p>
            <w:pPr>
              <w:jc w:val="center"/>
              <w:ind w:right="1716"/>
              <w:spacing w:after="0"/>
              <w:rPr>
                <w:sz w:val="20"/>
                <w:szCs w:val="20"/>
                <w:color w:val="auto"/>
              </w:rPr>
            </w:pPr>
            <w:r>
              <w:rPr>
                <w:rFonts w:ascii="Arial" w:cs="Arial" w:eastAsia="Arial" w:hAnsi="Arial"/>
                <w:sz w:val="18"/>
                <w:szCs w:val="18"/>
                <w:b w:val="1"/>
                <w:bCs w:val="1"/>
                <w:color w:val="auto"/>
                <w:w w:val="89"/>
              </w:rPr>
              <w:t>Marshall Brozost</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100" w:type="dxa"/>
            <w:vAlign w:val="bottom"/>
            <w:tcBorders>
              <w:bottom w:val="single" w:sz="8" w:color="auto"/>
            </w:tcBorders>
            <w:gridSpan w:val="2"/>
          </w:tcPr>
          <w:p>
            <w:pPr>
              <w:ind w:left="174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jc w:val="center"/>
              <w:ind w:right="1636"/>
              <w:spacing w:after="0"/>
              <w:rPr>
                <w:sz w:val="20"/>
                <w:szCs w:val="20"/>
                <w:color w:val="auto"/>
              </w:rPr>
            </w:pPr>
            <w:r>
              <w:rPr>
                <w:rFonts w:ascii="Arial" w:cs="Arial" w:eastAsia="Arial" w:hAnsi="Arial"/>
                <w:sz w:val="18"/>
                <w:szCs w:val="18"/>
                <w:color w:val="auto"/>
                <w:w w:val="96"/>
              </w:rPr>
              <w:t>SAMUEL L. KATZ</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3460" w:type="dxa"/>
            <w:vAlign w:val="bottom"/>
            <w:gridSpan w:val="2"/>
          </w:tcPr>
          <w:p>
            <w:pPr>
              <w:jc w:val="center"/>
              <w:ind w:right="1696"/>
              <w:spacing w:after="0"/>
              <w:rPr>
                <w:sz w:val="20"/>
                <w:szCs w:val="20"/>
                <w:color w:val="auto"/>
              </w:rPr>
            </w:pPr>
            <w:r>
              <w:rPr>
                <w:rFonts w:ascii="Arial" w:cs="Arial" w:eastAsia="Arial" w:hAnsi="Arial"/>
                <w:sz w:val="18"/>
                <w:szCs w:val="18"/>
                <w:b w:val="1"/>
                <w:bCs w:val="1"/>
                <w:color w:val="auto"/>
                <w:w w:val="90"/>
              </w:rPr>
              <w:t>Samuel L. Katz</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160" w:type="dxa"/>
            <w:vAlign w:val="bottom"/>
            <w:gridSpan w:val="2"/>
          </w:tcPr>
          <w:p>
            <w:pPr>
              <w:ind w:left="280"/>
              <w:spacing w:after="0"/>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445760" cy="6172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457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1484"/>
        <w:spacing w:after="0" w:line="288"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of the offering by the Company of up to $750,000,000 aggregate initial offering price of the following securities of the Company (collectively, the “Securities”): (a) shares (the “Common Shares”) of common stock, $.001 par value per share (the “Common Stock”); (b) shares (the “Preferred Shares”) of preferred stock, $.001 par value per share (the “Preferred Stock”); (c) warrants (the “Warrants”) to purchase Common Stock, Preferred Stock or Debt Securities (as defined below); (d) subscription rights (the “Subscription Rights”) to purchase Common Stock; (e) debt securities (the “Debt Securities”); and (f) units (the “Units”) consisting of one or more of the foregoing Securities or of securities issued by the U.S. Treasury, covered by the above-referenced Registration Statement, and all amendments thereto (the “Registration Statement”), filed by the Company with the Securities and Exchange Commission (the “Commission”) under the Securities Act of 1933, as amended (the “1933 Act”), on or about the date hereof.</w:t>
      </w:r>
    </w:p>
    <w:p>
      <w:pPr>
        <w:spacing w:after="0" w:line="120" w:lineRule="exact"/>
        <w:rPr>
          <w:sz w:val="20"/>
          <w:szCs w:val="20"/>
          <w:color w:val="auto"/>
        </w:rPr>
      </w:pPr>
    </w:p>
    <w:p>
      <w:pPr>
        <w:ind w:right="280" w:firstLine="1484"/>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right="460" w:firstLine="1492"/>
        <w:spacing w:after="0" w:line="268" w:lineRule="auto"/>
        <w:tabs>
          <w:tab w:leader="none" w:pos="165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in the form transmitted to the Commission for filing pursuant to the 1933 Act;</w:t>
      </w:r>
    </w:p>
    <w:p>
      <w:pPr>
        <w:spacing w:after="0" w:line="131" w:lineRule="exact"/>
        <w:rPr>
          <w:rFonts w:ascii="Arial" w:cs="Arial" w:eastAsia="Arial" w:hAnsi="Arial"/>
          <w:sz w:val="18"/>
          <w:szCs w:val="18"/>
          <w:color w:val="auto"/>
        </w:rPr>
      </w:pPr>
    </w:p>
    <w:p>
      <w:pPr>
        <w:ind w:left="1660" w:hanging="168"/>
        <w:spacing w:after="0"/>
        <w:tabs>
          <w:tab w:leader="none" w:pos="1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charter of the Company (the “Charter”), certified by the State Department of Assessments and Taxation of Maryland (the “SDAT”);</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Amended and Restated Bylaws of the Company (the “Bylaws”), certified as of the date hereof by an officer of the Company;</w:t>
      </w:r>
    </w:p>
    <w:p>
      <w:pPr>
        <w:sectPr>
          <w:pgSz w:w="11900" w:h="16838" w:orient="portrait"/>
          <w:cols w:equalWidth="0" w:num="1">
            <w:col w:w="11420"/>
          </w:cols>
          <w:pgMar w:left="240" w:top="125" w:right="239" w:bottom="1440" w:gutter="0" w:footer="0" w:header="0"/>
        </w:sectPr>
      </w:pPr>
    </w:p>
    <w:bookmarkStart w:id="189" w:name="page190"/>
    <w:bookmarkEnd w:id="189"/>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14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814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660" w:hanging="168"/>
        <w:spacing w:after="0"/>
        <w:tabs>
          <w:tab w:leader="none" w:pos="1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171" w:lineRule="exact"/>
        <w:rPr>
          <w:rFonts w:ascii="Arial" w:cs="Arial" w:eastAsia="Arial" w:hAnsi="Arial"/>
          <w:sz w:val="18"/>
          <w:szCs w:val="18"/>
          <w:color w:val="auto"/>
        </w:rPr>
      </w:pPr>
    </w:p>
    <w:p>
      <w:pPr>
        <w:ind w:right="140" w:firstLine="1492"/>
        <w:spacing w:after="0" w:line="268" w:lineRule="auto"/>
        <w:tabs>
          <w:tab w:leader="none" w:pos="165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131" w:lineRule="exact"/>
        <w:rPr>
          <w:rFonts w:ascii="Arial" w:cs="Arial" w:eastAsia="Arial" w:hAnsi="Arial"/>
          <w:sz w:val="18"/>
          <w:szCs w:val="18"/>
          <w:color w:val="auto"/>
        </w:rPr>
      </w:pPr>
    </w:p>
    <w:p>
      <w:pPr>
        <w:ind w:left="1660" w:hanging="168"/>
        <w:spacing w:after="0"/>
        <w:tabs>
          <w:tab w:leader="none" w:pos="1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460" w:firstLine="1492"/>
        <w:spacing w:after="0" w:line="268" w:lineRule="auto"/>
        <w:tabs>
          <w:tab w:leader="none" w:pos="165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1660" w:hanging="168"/>
        <w:spacing w:after="0"/>
        <w:tabs>
          <w:tab w:leader="none" w:pos="1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right="20" w:firstLine="1492"/>
        <w:spacing w:after="0" w:line="259" w:lineRule="auto"/>
        <w:tabs>
          <w:tab w:leader="none" w:pos="16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40" w:lineRule="exact"/>
        <w:rPr>
          <w:rFonts w:ascii="Arial" w:cs="Arial" w:eastAsia="Arial" w:hAnsi="Arial"/>
          <w:sz w:val="18"/>
          <w:szCs w:val="18"/>
          <w:color w:val="auto"/>
        </w:rPr>
      </w:pPr>
    </w:p>
    <w:p>
      <w:pPr>
        <w:ind w:firstLine="1492"/>
        <w:spacing w:after="0" w:line="254" w:lineRule="auto"/>
        <w:tabs>
          <w:tab w:leader="none" w:pos="16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rFonts w:ascii="Arial" w:cs="Arial" w:eastAsia="Arial" w:hAnsi="Arial"/>
          <w:sz w:val="18"/>
          <w:szCs w:val="18"/>
          <w:color w:val="auto"/>
        </w:rPr>
      </w:pPr>
    </w:p>
    <w:p>
      <w:pPr>
        <w:ind w:right="220" w:firstLine="1492"/>
        <w:spacing w:after="0" w:line="268" w:lineRule="auto"/>
        <w:tabs>
          <w:tab w:leader="none" w:pos="16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issuance of, and certain terms of, the Securities to be issued by the Company from time to time will be authorized and approved by the Board of Directors, or a duly</w:t>
      </w:r>
    </w:p>
    <w:p>
      <w:pPr>
        <w:sectPr>
          <w:pgSz w:w="11900" w:h="16838" w:orient="portrait"/>
          <w:cols w:equalWidth="0" w:num="1">
            <w:col w:w="11400"/>
          </w:cols>
          <w:pgMar w:left="240" w:top="1440" w:right="259" w:bottom="1440" w:gutter="0" w:footer="0" w:header="0"/>
        </w:sectPr>
      </w:pPr>
    </w:p>
    <w:bookmarkStart w:id="190" w:name="page191"/>
    <w:bookmarkEnd w:id="190"/>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14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814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authorized committee thereof, in accordance with the Maryland General Corporation Law, the Charter, the Bylaws and the Resolutions prior to the issuance of such Securities (such approval referred to herein as the “Corporate Proceedings”).</w:t>
      </w:r>
    </w:p>
    <w:p>
      <w:pPr>
        <w:spacing w:after="0" w:line="132" w:lineRule="exact"/>
        <w:rPr>
          <w:sz w:val="20"/>
          <w:szCs w:val="20"/>
          <w:color w:val="auto"/>
        </w:rPr>
      </w:pPr>
    </w:p>
    <w:p>
      <w:pPr>
        <w:ind w:firstLine="1492"/>
        <w:spacing w:after="0" w:line="306" w:lineRule="auto"/>
        <w:tabs>
          <w:tab w:leader="none" w:pos="165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106" w:lineRule="exact"/>
        <w:rPr>
          <w:rFonts w:ascii="Arial" w:cs="Arial" w:eastAsia="Arial" w:hAnsi="Arial"/>
          <w:sz w:val="16"/>
          <w:szCs w:val="16"/>
          <w:color w:val="auto"/>
        </w:rPr>
      </w:pPr>
    </w:p>
    <w:p>
      <w:pPr>
        <w:ind w:right="300" w:firstLine="1492"/>
        <w:spacing w:after="0" w:line="332" w:lineRule="auto"/>
        <w:tabs>
          <w:tab w:leader="none" w:pos="165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85" w:lineRule="exact"/>
        <w:rPr>
          <w:rFonts w:ascii="Arial" w:cs="Arial" w:eastAsia="Arial" w:hAnsi="Arial"/>
          <w:sz w:val="16"/>
          <w:szCs w:val="16"/>
          <w:color w:val="auto"/>
        </w:rPr>
      </w:pPr>
    </w:p>
    <w:p>
      <w:pPr>
        <w:ind w:right="60" w:firstLine="1492"/>
        <w:spacing w:after="0" w:line="255" w:lineRule="auto"/>
        <w:tabs>
          <w:tab w:leader="none" w:pos="165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right="360" w:firstLine="1492"/>
        <w:spacing w:after="0" w:line="268" w:lineRule="auto"/>
        <w:tabs>
          <w:tab w:leader="none" w:pos="16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pacing w:after="0" w:line="131" w:lineRule="exact"/>
        <w:rPr>
          <w:rFonts w:ascii="Arial" w:cs="Arial" w:eastAsia="Arial" w:hAnsi="Arial"/>
          <w:sz w:val="18"/>
          <w:szCs w:val="18"/>
          <w:color w:val="auto"/>
        </w:rPr>
      </w:pPr>
    </w:p>
    <w:p>
      <w:pPr>
        <w:ind w:right="400" w:firstLine="1492"/>
        <w:spacing w:after="0" w:line="259" w:lineRule="auto"/>
        <w:tabs>
          <w:tab w:leader="none" w:pos="16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140" w:lineRule="exact"/>
        <w:rPr>
          <w:rFonts w:ascii="Arial" w:cs="Arial" w:eastAsia="Arial" w:hAnsi="Arial"/>
          <w:sz w:val="18"/>
          <w:szCs w:val="18"/>
          <w:color w:val="auto"/>
        </w:rPr>
      </w:pPr>
    </w:p>
    <w:p>
      <w:pPr>
        <w:ind w:right="400" w:firstLine="1492"/>
        <w:spacing w:after="0" w:line="259" w:lineRule="auto"/>
        <w:tabs>
          <w:tab w:leader="none" w:pos="16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ectPr>
          <w:pgSz w:w="11900" w:h="16838" w:orient="portrait"/>
          <w:cols w:equalWidth="0" w:num="1">
            <w:col w:w="11380"/>
          </w:cols>
          <w:pgMar w:left="240" w:top="1440" w:right="279" w:bottom="1440" w:gutter="0" w:footer="0" w:header="0"/>
        </w:sectPr>
      </w:pPr>
    </w:p>
    <w:bookmarkStart w:id="191" w:name="page192"/>
    <w:bookmarkEnd w:id="191"/>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14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814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1660" w:hanging="168"/>
        <w:spacing w:after="0"/>
        <w:tabs>
          <w:tab w:leader="none" w:pos="1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Warrants, the issuance of the Warrants will be duly authorized.</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Upon the completion of all the Corporate Proceedings relating to the Subscription Rights, the issuance of the Subscription Rights will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6. Upon the completion of all Corporate Proceedings relating to the Debt Securities, the issuance of the Debt Securities will be duly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 Upon the completion of all Corporate Proceedings relating to the Units, the issuance of the Units will be duly authorized.</w:t>
      </w:r>
    </w:p>
    <w:p>
      <w:pPr>
        <w:spacing w:after="0" w:line="171" w:lineRule="exact"/>
        <w:rPr>
          <w:sz w:val="20"/>
          <w:szCs w:val="20"/>
          <w:color w:val="auto"/>
        </w:rPr>
      </w:pPr>
    </w:p>
    <w:p>
      <w:pPr>
        <w:ind w:right="200" w:firstLine="1484"/>
        <w:spacing w:after="0" w:line="256"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We express no opinion as to debt obligations of third parties that may be issued in combination with other Securities as a Unit as described in the Registration Statement.</w:t>
      </w:r>
    </w:p>
    <w:p>
      <w:pPr>
        <w:spacing w:after="0" w:line="143" w:lineRule="exact"/>
        <w:rPr>
          <w:sz w:val="20"/>
          <w:szCs w:val="20"/>
          <w:color w:val="auto"/>
        </w:rPr>
      </w:pPr>
    </w:p>
    <w:p>
      <w:pPr>
        <w:jc w:val="both"/>
        <w:ind w:right="60" w:firstLine="1484"/>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360"/>
          </w:cols>
          <w:pgMar w:left="240" w:top="1440" w:right="29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182995" cy="840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8299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have acted as counsel to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on the date hereof,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possible offerings from time to time of up to an aggregate of $750,000,000 of the following securities of the Company: (1) shares of common stock, par value $0.001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3" w:lineRule="exact"/>
        <w:rPr>
          <w:sz w:val="20"/>
          <w:szCs w:val="20"/>
          <w:color w:val="auto"/>
        </w:rPr>
      </w:pPr>
    </w:p>
    <w:p>
      <w:pPr>
        <w:ind w:right="80" w:firstLine="8"/>
        <w:spacing w:after="0" w:line="320" w:lineRule="auto"/>
        <w:tabs>
          <w:tab w:leader="none" w:pos="249" w:val="left"/>
        </w:tabs>
        <w:numPr>
          <w:ilvl w:val="0"/>
          <w:numId w:val="136"/>
        </w:numPr>
        <w:rPr>
          <w:rFonts w:ascii="Arial" w:cs="Arial" w:eastAsia="Arial" w:hAnsi="Arial"/>
          <w:sz w:val="15"/>
          <w:szCs w:val="15"/>
          <w:color w:val="auto"/>
        </w:rPr>
      </w:pPr>
      <w:r>
        <w:rPr>
          <w:rFonts w:ascii="Arial" w:cs="Arial" w:eastAsia="Arial" w:hAnsi="Arial"/>
          <w:sz w:val="15"/>
          <w:szCs w:val="15"/>
          <w:color w:val="auto"/>
        </w:rPr>
        <w:t>shares of preferred stock, par value $0.001 per share, of the Company (“</w:t>
      </w:r>
      <w:r>
        <w:rPr>
          <w:rFonts w:ascii="Arial" w:cs="Arial" w:eastAsia="Arial" w:hAnsi="Arial"/>
          <w:sz w:val="15"/>
          <w:szCs w:val="15"/>
          <w:u w:val="single" w:color="auto"/>
          <w:color w:val="auto"/>
        </w:rPr>
        <w:t>Preferred Stock</w:t>
      </w:r>
      <w:r>
        <w:rPr>
          <w:rFonts w:ascii="Arial" w:cs="Arial" w:eastAsia="Arial" w:hAnsi="Arial"/>
          <w:sz w:val="15"/>
          <w:szCs w:val="15"/>
          <w:color w:val="auto"/>
        </w:rPr>
        <w:t>”), (3) warrants of the Company (“</w:t>
      </w:r>
      <w:r>
        <w:rPr>
          <w:rFonts w:ascii="Arial" w:cs="Arial" w:eastAsia="Arial" w:hAnsi="Arial"/>
          <w:sz w:val="15"/>
          <w:szCs w:val="15"/>
          <w:u w:val="single" w:color="auto"/>
          <w:color w:val="auto"/>
        </w:rPr>
        <w:t>Warrants</w:t>
      </w:r>
      <w:r>
        <w:rPr>
          <w:rFonts w:ascii="Arial" w:cs="Arial" w:eastAsia="Arial" w:hAnsi="Arial"/>
          <w:sz w:val="15"/>
          <w:szCs w:val="15"/>
          <w:color w:val="auto"/>
        </w:rPr>
        <w:t>”) to purchase Common Stock, Preferred Stock or Debt Securities (as defined below), (4) rights to purchase Common Stock, (5) debt securities (“</w:t>
      </w:r>
      <w:r>
        <w:rPr>
          <w:rFonts w:ascii="Arial" w:cs="Arial" w:eastAsia="Arial" w:hAnsi="Arial"/>
          <w:sz w:val="15"/>
          <w:szCs w:val="15"/>
          <w:u w:val="single" w:color="auto"/>
          <w:color w:val="auto"/>
        </w:rPr>
        <w:t>Debt Securities</w:t>
      </w:r>
      <w:r>
        <w:rPr>
          <w:rFonts w:ascii="Arial" w:cs="Arial" w:eastAsia="Arial" w:hAnsi="Arial"/>
          <w:sz w:val="15"/>
          <w:szCs w:val="15"/>
          <w:color w:val="auto"/>
        </w:rPr>
        <w:t>”) to be issued pursuant to an indenture between the Company and American Stock Transfer &amp; Trust Company, LLC, as trustee (the “</w:t>
      </w:r>
      <w:r>
        <w:rPr>
          <w:rFonts w:ascii="Arial" w:cs="Arial" w:eastAsia="Arial" w:hAnsi="Arial"/>
          <w:sz w:val="15"/>
          <w:szCs w:val="15"/>
          <w:u w:val="single" w:color="auto"/>
          <w:color w:val="auto"/>
        </w:rPr>
        <w:t>Trustee</w:t>
      </w:r>
      <w:r>
        <w:rPr>
          <w:rFonts w:ascii="Arial" w:cs="Arial" w:eastAsia="Arial" w:hAnsi="Arial"/>
          <w:sz w:val="15"/>
          <w:szCs w:val="15"/>
          <w:color w:val="auto"/>
        </w:rPr>
        <w:t>”), and (6) units consisting of any combination of the foregoing or of securities issued by the U.S. Treasury. The Warrants and Debt Securities are collectively referred to herein as the “</w:t>
      </w:r>
      <w:r>
        <w:rPr>
          <w:rFonts w:ascii="Arial" w:cs="Arial" w:eastAsia="Arial" w:hAnsi="Arial"/>
          <w:sz w:val="15"/>
          <w:szCs w:val="15"/>
          <w:u w:val="single" w:color="auto"/>
          <w:color w:val="auto"/>
        </w:rPr>
        <w:t>Securities</w:t>
      </w:r>
      <w:r>
        <w:rPr>
          <w:rFonts w:ascii="Arial" w:cs="Arial" w:eastAsia="Arial" w:hAnsi="Arial"/>
          <w:sz w:val="15"/>
          <w:szCs w:val="15"/>
          <w:color w:val="auto"/>
        </w:rPr>
        <w:t>.”</w:t>
      </w:r>
    </w:p>
    <w:p>
      <w:pPr>
        <w:spacing w:after="0" w:line="10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1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62" w:lineRule="exact"/>
        <w:rPr>
          <w:sz w:val="20"/>
          <w:szCs w:val="20"/>
          <w:color w:val="auto"/>
        </w:rPr>
      </w:pPr>
    </w:p>
    <w:p>
      <w:pPr>
        <w:ind w:left="1140" w:hanging="565"/>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Registration Statement;</w:t>
      </w:r>
    </w:p>
    <w:p>
      <w:pPr>
        <w:sectPr>
          <w:pgSz w:w="11900" w:h="16838" w:orient="portrait"/>
          <w:cols w:equalWidth="0" w:num="1">
            <w:col w:w="11420"/>
          </w:cols>
          <w:pgMar w:left="240" w:top="125" w:right="239" w:bottom="1440" w:gutter="0" w:footer="0" w:header="0"/>
        </w:sectPr>
      </w:pPr>
    </w:p>
    <w:bookmarkStart w:id="193" w:name="page194"/>
    <w:bookmarkEnd w:id="193"/>
    <w:p>
      <w:pP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-125730</wp:posOffset>
            </wp:positionV>
            <wp:extent cx="1217930" cy="5657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17930" cy="565785"/>
                    </a:xfrm>
                    <a:prstGeom prst="rect">
                      <a:avLst/>
                    </a:prstGeom>
                    <a:noFill/>
                  </pic:spPr>
                </pic:pic>
              </a:graphicData>
            </a:graphic>
          </wp:anchor>
        </w:drawing>
      </w:r>
    </w:p>
    <w:p>
      <w:pPr>
        <w:ind w:left="926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40" w:hanging="565"/>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form of warrant agreement (as may be amended or supplemented from time to time,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760" w:hanging="565"/>
        <w:spacing w:after="0" w:line="268"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indenture, dated as of January 22, 2013, governing the Debt Securities (as may be amended 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1140" w:right="580" w:hanging="565"/>
        <w:spacing w:after="0" w:line="268"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relating to, among other things, the authorization and approval of the preparation and filing of the Registration Statement.</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to the facts upon which this opinion is based, we have relied upon certificates of public officials and certificates and written statements of agents, officers, directors and representatives of the Company.</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qualifications and limitations set forth in this letter, we are of the opinion that:</w:t>
      </w:r>
    </w:p>
    <w:p>
      <w:pPr>
        <w:spacing w:after="0" w:line="90" w:lineRule="exact"/>
        <w:rPr>
          <w:sz w:val="20"/>
          <w:szCs w:val="20"/>
          <w:color w:val="auto"/>
        </w:rPr>
      </w:pPr>
    </w:p>
    <w:p>
      <w:pPr>
        <w:ind w:left="1140" w:right="60" w:hanging="565"/>
        <w:spacing w:after="0" w:line="255"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61" w:lineRule="exact"/>
        <w:rPr>
          <w:rFonts w:ascii="Arial" w:cs="Arial" w:eastAsia="Arial" w:hAnsi="Arial"/>
          <w:sz w:val="18"/>
          <w:szCs w:val="18"/>
          <w:color w:val="auto"/>
        </w:rPr>
      </w:pPr>
    </w:p>
    <w:p>
      <w:pPr>
        <w:ind w:left="1140" w:right="100" w:hanging="565"/>
        <w:spacing w:after="0" w:line="268"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Debt Securities, when (a) duly authorized and executed by the Company and authenticated by the Trustee in accordance with the provisions of the Indenture and (x) issued and sold in accordance with the Registration Statement and</w:t>
      </w:r>
    </w:p>
    <w:p>
      <w:pPr>
        <w:sectPr>
          <w:pgSz w:w="11900" w:h="16838" w:orient="portrait"/>
          <w:cols w:equalWidth="0" w:num="1">
            <w:col w:w="11380"/>
          </w:cols>
          <w:pgMar w:left="240" w:top="280" w:right="279" w:bottom="1440" w:gutter="0" w:footer="0" w:header="0"/>
        </w:sectPr>
      </w:pPr>
    </w:p>
    <w:bookmarkStart w:id="194" w:name="page195"/>
    <w:bookmarkEnd w:id="194"/>
    <w:p>
      <w:pP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-125730</wp:posOffset>
            </wp:positionV>
            <wp:extent cx="1217930" cy="5657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17930" cy="565785"/>
                    </a:xfrm>
                    <a:prstGeom prst="rect">
                      <a:avLst/>
                    </a:prstGeom>
                    <a:noFill/>
                  </pic:spPr>
                </pic:pic>
              </a:graphicData>
            </a:graphic>
          </wp:anchor>
        </w:drawing>
      </w:r>
    </w:p>
    <w:p>
      <w:pPr>
        <w:ind w:left="926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40" w:right="40"/>
        <w:spacing w:after="0" w:line="255" w:lineRule="auto"/>
        <w:rPr>
          <w:sz w:val="20"/>
          <w:szCs w:val="20"/>
          <w:color w:val="auto"/>
        </w:rPr>
      </w:pPr>
      <w:r>
        <w:rPr>
          <w:rFonts w:ascii="Arial" w:cs="Arial" w:eastAsia="Arial" w:hAnsi="Arial"/>
          <w:sz w:val="18"/>
          <w:szCs w:val="18"/>
          <w:color w:val="auto"/>
        </w:rPr>
        <w:t>applicable Prospectus Supplement or (y)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51" w:lineRule="exact"/>
        <w:rPr>
          <w:sz w:val="20"/>
          <w:szCs w:val="20"/>
          <w:color w:val="auto"/>
        </w:rPr>
      </w:pPr>
    </w:p>
    <w:p>
      <w:pPr>
        <w:ind w:left="1140" w:hanging="565"/>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90" w:lineRule="exact"/>
        <w:rPr>
          <w:rFonts w:ascii="Arial" w:cs="Arial" w:eastAsia="Arial" w:hAnsi="Arial"/>
          <w:sz w:val="18"/>
          <w:szCs w:val="18"/>
          <w:color w:val="auto"/>
        </w:rPr>
      </w:pPr>
    </w:p>
    <w:p>
      <w:pPr>
        <w:ind w:left="1140" w:right="240" w:hanging="565"/>
        <w:spacing w:after="0" w:line="259" w:lineRule="auto"/>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Board of Directors, including any appropriate committee appointed thereby, and/or appropriate officers of the Company shall have duly (x) established the terms of the Securities and (y) authorized and taken any other necessary corporate or other action to approve the creation, if applicable, issuance and sale of the Securities and related matters;</w:t>
      </w:r>
    </w:p>
    <w:p>
      <w:pPr>
        <w:spacing w:after="0" w:line="59" w:lineRule="exact"/>
        <w:rPr>
          <w:rFonts w:ascii="Arial" w:cs="Arial" w:eastAsia="Arial" w:hAnsi="Arial"/>
          <w:sz w:val="18"/>
          <w:szCs w:val="18"/>
          <w:color w:val="auto"/>
        </w:rPr>
      </w:pPr>
    </w:p>
    <w:p>
      <w:pPr>
        <w:ind w:left="1140" w:right="120" w:hanging="565"/>
        <w:spacing w:after="0" w:line="268" w:lineRule="auto"/>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resolutions establishing the definitive terms and authorizing the Company to register, offer, sell and issue the Securities shall remain in effect and unchanged at all times during which the Securities are offered, sold or issued by the Company;</w:t>
      </w:r>
    </w:p>
    <w:p>
      <w:pPr>
        <w:spacing w:after="0" w:line="50" w:lineRule="exact"/>
        <w:rPr>
          <w:rFonts w:ascii="Arial" w:cs="Arial" w:eastAsia="Arial" w:hAnsi="Arial"/>
          <w:sz w:val="18"/>
          <w:szCs w:val="18"/>
          <w:color w:val="auto"/>
        </w:rPr>
      </w:pPr>
    </w:p>
    <w:p>
      <w:pPr>
        <w:ind w:left="1140" w:hanging="565"/>
        <w:spacing w:after="0" w:line="289" w:lineRule="auto"/>
        <w:tabs>
          <w:tab w:leader="none" w:pos="11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terms of the issuance and sale of the Securities (x) shall have been duly established in accordance with all applicable law and the Articles of Incorporation and Bylaws of the Company, any Indenture, underwriting agreement and Warrant Agreement and any other relevant agreement relating to the terms and the offer and sale of the Securities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ectPr>
          <w:pgSz w:w="11900" w:h="16838" w:orient="portrait"/>
          <w:cols w:equalWidth="0" w:num="1">
            <w:col w:w="11420"/>
          </w:cols>
          <w:pgMar w:left="240" w:top="280" w:right="239" w:bottom="1440" w:gutter="0" w:footer="0" w:header="0"/>
        </w:sectPr>
      </w:pPr>
    </w:p>
    <w:bookmarkStart w:id="195" w:name="page196"/>
    <w:bookmarkEnd w:id="195"/>
    <w:p>
      <w:pPr>
        <w:ind w:left="868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-125730</wp:posOffset>
            </wp:positionV>
            <wp:extent cx="1217930" cy="5657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17930" cy="565785"/>
                    </a:xfrm>
                    <a:prstGeom prst="rect">
                      <a:avLst/>
                    </a:prstGeom>
                    <a:noFill/>
                  </pic:spPr>
                </pic:pic>
              </a:graphicData>
            </a:graphic>
          </wp:anchor>
        </w:drawing>
      </w:r>
    </w:p>
    <w:p>
      <w:pPr>
        <w:ind w:left="8685"/>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5" w:hanging="565"/>
        <w:spacing w:after="0"/>
        <w:tabs>
          <w:tab w:leader="none" w:pos="56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interest rate on the Debt Securities shall not be higher than the maximum lawful rate permitted from time to time under applicable law;</w:t>
      </w:r>
    </w:p>
    <w:p>
      <w:pPr>
        <w:spacing w:after="0" w:line="113" w:lineRule="exact"/>
        <w:rPr>
          <w:rFonts w:ascii="Arial" w:cs="Arial" w:eastAsia="Arial" w:hAnsi="Arial"/>
          <w:sz w:val="16"/>
          <w:szCs w:val="16"/>
          <w:color w:val="auto"/>
        </w:rPr>
      </w:pPr>
    </w:p>
    <w:p>
      <w:pPr>
        <w:ind w:left="565" w:right="180" w:hanging="565"/>
        <w:spacing w:after="0" w:line="255"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pacing w:after="0" w:line="61" w:lineRule="exact"/>
        <w:rPr>
          <w:rFonts w:ascii="Arial" w:cs="Arial" w:eastAsia="Arial" w:hAnsi="Arial"/>
          <w:sz w:val="18"/>
          <w:szCs w:val="18"/>
          <w:color w:val="auto"/>
        </w:rPr>
      </w:pPr>
    </w:p>
    <w:p>
      <w:pPr>
        <w:ind w:left="565" w:right="40" w:hanging="565"/>
        <w:spacing w:after="0" w:line="268"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Indenture and Warrant Agreement and any other relevant agreement has been duly authorized, executed and delivered by, and will constitute a valid and binding obligation of, each party thereto (other than the Company);</w:t>
      </w:r>
    </w:p>
    <w:p>
      <w:pPr>
        <w:spacing w:after="0" w:line="50" w:lineRule="exact"/>
        <w:rPr>
          <w:rFonts w:ascii="Arial" w:cs="Arial" w:eastAsia="Arial" w:hAnsi="Arial"/>
          <w:sz w:val="18"/>
          <w:szCs w:val="18"/>
          <w:color w:val="auto"/>
        </w:rPr>
      </w:pPr>
    </w:p>
    <w:p>
      <w:pPr>
        <w:jc w:val="both"/>
        <w:ind w:left="565" w:right="40" w:hanging="565"/>
        <w:spacing w:after="0" w:line="357" w:lineRule="auto"/>
        <w:tabs>
          <w:tab w:leader="none" w:pos="565"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Registration Statement, as amended (including all necessary post-effective amendments), and any additional registration statement filed under Rule 462 under the Securities Act, shall be effective under the Securities Act, and such effectiveness shall not have been terminated or rescinded;</w:t>
      </w:r>
    </w:p>
    <w:p>
      <w:pPr>
        <w:ind w:left="565" w:hanging="565"/>
        <w:spacing w:after="0" w:line="268"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appropriate Prospectus Supplement shall have been prepared, delivered and filed in compliance with the Securities Act and the applicable rules and regulations thereunder describing the Securities offered thereby;</w:t>
      </w:r>
    </w:p>
    <w:p>
      <w:pPr>
        <w:spacing w:after="0" w:line="50" w:lineRule="exact"/>
        <w:rPr>
          <w:rFonts w:ascii="Arial" w:cs="Arial" w:eastAsia="Arial" w:hAnsi="Arial"/>
          <w:sz w:val="18"/>
          <w:szCs w:val="18"/>
          <w:color w:val="auto"/>
        </w:rPr>
      </w:pPr>
    </w:p>
    <w:p>
      <w:pPr>
        <w:ind w:left="565" w:right="20" w:hanging="565"/>
        <w:spacing w:after="0" w:line="259"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59" w:lineRule="exact"/>
        <w:rPr>
          <w:rFonts w:ascii="Arial" w:cs="Arial" w:eastAsia="Arial" w:hAnsi="Arial"/>
          <w:sz w:val="18"/>
          <w:szCs w:val="18"/>
          <w:color w:val="auto"/>
        </w:rPr>
      </w:pPr>
    </w:p>
    <w:p>
      <w:pPr>
        <w:ind w:left="565" w:right="100" w:hanging="565"/>
        <w:spacing w:after="0" w:line="259"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 and</w:t>
      </w:r>
    </w:p>
    <w:p>
      <w:pPr>
        <w:spacing w:after="0" w:line="59" w:lineRule="exact"/>
        <w:rPr>
          <w:rFonts w:ascii="Arial" w:cs="Arial" w:eastAsia="Arial" w:hAnsi="Arial"/>
          <w:sz w:val="18"/>
          <w:szCs w:val="18"/>
          <w:color w:val="auto"/>
        </w:rPr>
      </w:pPr>
    </w:p>
    <w:p>
      <w:pPr>
        <w:ind w:left="565" w:hanging="565"/>
        <w:spacing w:after="0" w:line="268"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case of an agreement or instrument pursuant to which any Securities are to be issued, there shall be no terms or provisions contained therein which would affect the validity of any of the opinions rendered herein.</w:t>
      </w:r>
    </w:p>
    <w:p>
      <w:pPr>
        <w:sectPr>
          <w:pgSz w:w="11900" w:h="16838" w:orient="portrait"/>
          <w:cols w:equalWidth="0" w:num="1">
            <w:col w:w="10845"/>
          </w:cols>
          <w:pgMar w:left="815" w:top="280" w:right="239" w:bottom="1440" w:gutter="0" w:footer="0" w:header="0"/>
        </w:sectPr>
      </w:pPr>
    </w:p>
    <w:bookmarkStart w:id="196" w:name="page197"/>
    <w:bookmarkEnd w:id="196"/>
    <w:p>
      <w:pP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-125730</wp:posOffset>
            </wp:positionV>
            <wp:extent cx="1217930" cy="5657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17930" cy="565785"/>
                    </a:xfrm>
                    <a:prstGeom prst="rect">
                      <a:avLst/>
                    </a:prstGeom>
                    <a:noFill/>
                  </pic:spPr>
                </pic:pic>
              </a:graphicData>
            </a:graphic>
          </wp:anchor>
        </w:drawing>
      </w:r>
    </w:p>
    <w:p>
      <w:pPr>
        <w:ind w:left="9260"/>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w:t>
      </w:r>
    </w:p>
    <w:p>
      <w:pPr>
        <w:spacing w:after="0" w:line="1" w:lineRule="exact"/>
        <w:rPr>
          <w:sz w:val="20"/>
          <w:szCs w:val="20"/>
          <w:color w:val="auto"/>
        </w:rPr>
      </w:pPr>
    </w:p>
    <w:p>
      <w:pPr>
        <w:ind w:right="80" w:firstLine="8"/>
        <w:spacing w:after="0" w:line="290" w:lineRule="auto"/>
        <w:tabs>
          <w:tab w:leader="none" w:pos="25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1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are members of the bar of the State of New York, and the foregoing opinions are limited to the laws of the State of New York.</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effectiveness of the Registration Statement.</w:t>
      </w:r>
    </w:p>
    <w:p>
      <w:pPr>
        <w:spacing w:after="0" w:line="13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ectPr>
          <w:pgSz w:w="11900" w:h="16838" w:orient="portrait"/>
          <w:cols w:equalWidth="0" w:num="1">
            <w:col w:w="11340"/>
          </w:cols>
          <w:pgMar w:left="240" w:top="280"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(n)(l)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consent to use in this Registration Statement on Form N-2 of PennantPark Investment Corporation and Subsidiaries of our reports dated November 21, 2016, relating to the consolidated financial statements and internal control over financial reporting, appearing in the Prospectus, which is part of this Registration Statement, and of our report dated November 21, 2016, relating to the senior securities table appearing elsewhere in this Registration Statement.</w:t>
      </w:r>
    </w:p>
    <w:p>
      <w:pPr>
        <w:spacing w:after="0" w:line="107" w:lineRule="exact"/>
        <w:rPr>
          <w:sz w:val="20"/>
          <w:szCs w:val="20"/>
          <w:color w:val="auto"/>
        </w:rPr>
      </w:pPr>
    </w:p>
    <w:p>
      <w:pPr>
        <w:ind w:right="2080"/>
        <w:spacing w:after="0" w:line="391" w:lineRule="auto"/>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 /s/ RSM US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Our audit of the consolidated financial statements and internal control over financial reporting referred to in our reports dated November 21, 2016, (appearing in the accompanying registration statement on Form N-2) also included an audit of the senior securities table of PennantPark Investment Corporation and Subsidiaries (collectively, the Company) for the year ended September 30, 2016 appearing in this Registration Statement on Form N-2. This table is the responsibility of the Company’s management. Our responsibility is to express an opinion based on our audit of the consolidated financial statements.</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our opinion, the senior securities table for the year ended September 30, 2016, when considered in relation to the basic consolidated financial statements taken as a whole, presents fairly in all material respects the information set forth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2016</w:t>
      </w:r>
    </w:p>
    <w:p>
      <w:pPr>
        <w:sectPr>
          <w:pgSz w:w="11900" w:h="16838" w:orient="portrait"/>
          <w:cols w:equalWidth="0" w:num="1">
            <w:col w:w="11420"/>
          </w:cols>
          <w:pgMar w:left="240" w:top="125"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143510</wp:posOffset>
            </wp:positionV>
            <wp:extent cx="1320800" cy="1037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2080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1185 Avenue of the Americas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Sixth Floor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10036</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+1212 372 1000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+1212 372 1001</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www.rsmus.com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jc w:val="both"/>
        <w:ind w:right="640"/>
        <w:spacing w:after="0" w:line="306" w:lineRule="auto"/>
        <w:rPr>
          <w:sz w:val="20"/>
          <w:szCs w:val="20"/>
          <w:color w:val="auto"/>
        </w:rPr>
      </w:pPr>
      <w:r>
        <w:rPr>
          <w:rFonts w:ascii="Arial" w:cs="Arial" w:eastAsia="Arial" w:hAnsi="Arial"/>
          <w:sz w:val="16"/>
          <w:szCs w:val="16"/>
          <w:color w:val="auto"/>
        </w:rPr>
        <w:t>We have reviewed, in accordance with the standards of the Public Company Accounting Oversight Board (United States), the unaudited interim financial information of PennantPark Investment Corporation and Subsidiaries for the periods ended December 31, 2016 and 2015, as indicated in our report dated February, 8, 2017; because we did not perform an audit, we expressed no opinion on that information.</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are aware that our report referred to above, which was included in your Quarterly Report on Form 10-Q for the quarter ended December 31, 2016, is being used in this Registration Statement.</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089015" cy="780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89015" cy="78041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1)"/>
      <w:numFmt w:val="decimal"/>
      <w:start w:val="1"/>
    </w:lvl>
  </w:abstractNum>
  <w:abstractNum w:abstractNumId="2">
    <w:nsid w:val="168E121F"/>
    <w:multiLevelType w:val="hybridMultilevel"/>
    <w:lvl w:ilvl="0">
      <w:lvlJc w:val="left"/>
      <w:lvlText w:val="(%1)"/>
      <w:numFmt w:val="decimal"/>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1)"/>
      <w:numFmt w:val="decimal"/>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decimal"/>
      <w:start w:val="820"/>
    </w:lvl>
  </w:abstractNum>
  <w:abstractNum w:abstractNumId="10">
    <w:nsid w:val="BF72B14"/>
    <w:multiLevelType w:val="hybridMultilevel"/>
    <w:lvl w:ilvl="0">
      <w:lvlJc w:val="left"/>
      <w:lvlText w:val="%1."/>
      <w:numFmt w:val="decimal"/>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1)"/>
      <w:numFmt w:val="decimal"/>
      <w:start w:val="1"/>
    </w:lvl>
  </w:abstractNum>
  <w:abstractNum w:abstractNumId="21">
    <w:nsid w:val="14330624"/>
    <w:multiLevelType w:val="hybridMultilevel"/>
    <w:lvl w:ilvl="0">
      <w:lvlJc w:val="left"/>
      <w:lvlText w:val="(%1)"/>
      <w:numFmt w:val="decimal"/>
      <w:start w:val="3"/>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1)"/>
      <w:numFmt w:val="decimal"/>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1)"/>
      <w:numFmt w:val="decimal"/>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1)"/>
      <w:numFmt w:val="decimal"/>
      <w:start w:val="2"/>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1)"/>
      <w:numFmt w:val="lowerLetter"/>
      <w:start w:val="1"/>
    </w:lvl>
  </w:abstractNum>
  <w:abstractNum w:abstractNumId="33">
    <w:nsid w:val="1716703B"/>
    <w:multiLevelType w:val="hybridMultilevel"/>
    <w:lvl w:ilvl="0">
      <w:lvlJc w:val="left"/>
      <w:lvlText w:val="%1)"/>
      <w:numFmt w:val="lowerLetter"/>
      <w:start w:val="2"/>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1)"/>
      <w:numFmt w:val="lowerLetter"/>
      <w:start w:val="3"/>
    </w:lvl>
  </w:abstractNum>
  <w:abstractNum w:abstractNumId="36">
    <w:nsid w:val="74DE0EE3"/>
    <w:multiLevelType w:val="hybridMultilevel"/>
    <w:lvl w:ilvl="0">
      <w:lvlJc w:val="left"/>
      <w:lvlText w:val="%1)"/>
      <w:numFmt w:val="lowerLetter"/>
      <w:start w:val="4"/>
    </w:lvl>
  </w:abstractNum>
  <w:abstractNum w:abstractNumId="37">
    <w:nsid w:val="68EBC550"/>
    <w:multiLevelType w:val="hybridMultilevel"/>
    <w:lvl w:ilvl="0">
      <w:lvlJc w:val="left"/>
      <w:lvlText w:val="%1)"/>
      <w:numFmt w:val="lowerLetter"/>
      <w:start w:val="1"/>
    </w:lvl>
  </w:abstractNum>
  <w:abstractNum w:abstractNumId="38">
    <w:nsid w:val="2DF6D648"/>
    <w:multiLevelType w:val="hybridMultilevel"/>
    <w:lvl w:ilvl="0">
      <w:lvlJc w:val="left"/>
      <w:lvlText w:val="%1)"/>
      <w:numFmt w:val="lowerLetter"/>
      <w:start w:val="2"/>
    </w:lvl>
  </w:abstractNum>
  <w:abstractNum w:abstractNumId="39">
    <w:nsid w:val="46B7D447"/>
    <w:multiLevelType w:val="hybridMultilevel"/>
    <w:lvl w:ilvl="0">
      <w:lvlJc w:val="left"/>
      <w:lvlText w:val="%1)"/>
      <w:numFmt w:val="lowerLetter"/>
      <w:start w:val="3"/>
    </w:lvl>
  </w:abstractNum>
  <w:abstractNum w:abstractNumId="40">
    <w:nsid w:val="4A2AC315"/>
    <w:multiLevelType w:val="hybridMultilevel"/>
    <w:lvl w:ilvl="0">
      <w:lvlJc w:val="left"/>
      <w:lvlText w:val="%1)"/>
      <w:numFmt w:val="lowerLetter"/>
      <w:start w:val="4"/>
    </w:lvl>
  </w:abstractNum>
  <w:abstractNum w:abstractNumId="41">
    <w:nsid w:val="39EE015C"/>
    <w:multiLevelType w:val="hybridMultilevel"/>
    <w:lvl w:ilvl="0">
      <w:lvlJc w:val="left"/>
      <w:lvlText w:val="%1)"/>
      <w:numFmt w:val="lowerLetter"/>
      <w:start w:val="5"/>
    </w:lvl>
  </w:abstractNum>
  <w:abstractNum w:abstractNumId="42">
    <w:nsid w:val="57FC4FBB"/>
    <w:multiLevelType w:val="hybridMultilevel"/>
    <w:lvl w:ilvl="0">
      <w:lvlJc w:val="left"/>
      <w:lvlText w:val="%1)"/>
      <w:numFmt w:val="lowerLetter"/>
      <w:start w:val="6"/>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1)"/>
      <w:numFmt w:val="decimal"/>
      <w:start w:val="1"/>
    </w:lvl>
  </w:abstractNum>
  <w:abstractNum w:abstractNumId="47">
    <w:nsid w:val="7F01579B"/>
    <w:multiLevelType w:val="hybridMultilevel"/>
    <w:lvl w:ilvl="0">
      <w:lvlJc w:val="left"/>
      <w:lvlText w:val="(%1)"/>
      <w:numFmt w:val="decimal"/>
      <w:start w:val="1"/>
    </w:lvl>
  </w:abstractNum>
  <w:abstractNum w:abstractNumId="48">
    <w:nsid w:val="49DA307D"/>
    <w:multiLevelType w:val="hybridMultilevel"/>
    <w:lvl w:ilvl="0">
      <w:lvlJc w:val="left"/>
      <w:lvlText w:val="(%1)"/>
      <w:numFmt w:val="decimal"/>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1)"/>
      <w:numFmt w:val="decimal"/>
    </w:lvl>
    <w:lvl w:ilvl="1">
      <w:lvlJc w:val="left"/>
      <w:lvlText w:val="(*)"/>
      <w:numFmt w:val="bullet"/>
      <w:start w:val="1"/>
    </w:lvl>
  </w:abstractNum>
  <w:abstractNum w:abstractNumId="55">
    <w:nsid w:val="7672BD23"/>
    <w:multiLevelType w:val="hybridMultilevel"/>
    <w:lvl w:ilvl="0">
      <w:lvlJc w:val="left"/>
      <w:lvlText w:val="(%1)"/>
      <w:numFmt w:val="decimal"/>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1)"/>
      <w:numFmt w:val="lowerLetter"/>
      <w:start w:val="2"/>
    </w:lvl>
  </w:abstractNum>
  <w:abstractNum w:abstractNumId="59">
    <w:nsid w:val="5F3534A4"/>
    <w:multiLevelType w:val="hybridMultilevel"/>
    <w:lvl w:ilvl="0">
      <w:lvlJc w:val="left"/>
      <w:lvlText w:val="(%1)"/>
      <w:numFmt w:val="decimal"/>
      <w:start w:val="3"/>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
      <w:numFmt w:val="bullet"/>
      <w:start w:val="1"/>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
      <w:numFmt w:val="bullet"/>
      <w:start w:val="1"/>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
      <w:numFmt w:val="bullet"/>
      <w:start w:val="1"/>
    </w:lvl>
  </w:abstractNum>
  <w:abstractNum w:abstractNumId="82">
    <w:nsid w:val="23D86AAC"/>
    <w:multiLevelType w:val="hybridMultilevel"/>
    <w:lvl w:ilvl="0">
      <w:lvlJc w:val="left"/>
      <w:lvlText w:val="(%1)"/>
      <w:numFmt w:val="decimal"/>
      <w:start w:val="2"/>
    </w:lvl>
  </w:abstractNum>
  <w:abstractNum w:abstractNumId="83">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5C10FE21"/>
    <w:multiLevelType w:val="hybridMultilevel"/>
    <w:lvl w:ilvl="0">
      <w:lvlJc w:val="left"/>
      <w:lvlText w:val="(%1)"/>
      <w:numFmt w:val="decimal"/>
      <w:start w:val="2"/>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
      <w:numFmt w:val="bullet"/>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lvl w:ilvl="1">
      <w:lvlJc w:val="left"/>
      <w:lvlText w:val="%2)"/>
      <w:numFmt w:val="decimal"/>
      <w:start w:val="1"/>
    </w:lvl>
  </w:abstractNum>
  <w:abstractNum w:abstractNumId="89">
    <w:nsid w:val="39B7AAA2"/>
    <w:multiLevelType w:val="hybridMultilevel"/>
    <w:lvl w:ilvl="0">
      <w:lvlJc w:val="left"/>
      <w:lvlText w:val="(%1)"/>
      <w:numFmt w:val="decimal"/>
      <w:start w:val="1"/>
    </w:lvl>
  </w:abstractNum>
  <w:abstractNum w:abstractNumId="90">
    <w:nsid w:val="2B0D8DBE"/>
    <w:multiLevelType w:val="hybridMultilevel"/>
    <w:lvl w:ilvl="0">
      <w:lvlJc w:val="left"/>
      <w:lvlText w:val="(%1)"/>
      <w:numFmt w:val="decimal"/>
      <w:start w:val="1"/>
    </w:lvl>
  </w:abstractNum>
  <w:abstractNum w:abstractNumId="91">
    <w:nsid w:val="6C80EC70"/>
    <w:multiLevelType w:val="hybridMultilevel"/>
    <w:lvl w:ilvl="0">
      <w:lvlJc w:val="left"/>
      <w:lvlText w:val="•"/>
      <w:numFmt w:val="bullet"/>
      <w:start w:val="1"/>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1)"/>
      <w:numFmt w:val="decimal"/>
      <w:start w:val="1"/>
    </w:lvl>
  </w:abstractNum>
  <w:abstractNum w:abstractNumId="94">
    <w:nsid w:val="2C27173B"/>
    <w:multiLevelType w:val="hybridMultilevel"/>
    <w:lvl w:ilvl="0">
      <w:lvlJc w:val="left"/>
      <w:lvlText w:val="(%1)"/>
      <w:numFmt w:val="decimal"/>
      <w:start w:val="1"/>
    </w:lvl>
  </w:abstractNum>
  <w:abstractNum w:abstractNumId="95">
    <w:nsid w:val="4C9B0904"/>
    <w:multiLevelType w:val="hybridMultilevel"/>
    <w:lvl w:ilvl="0">
      <w:lvlJc w:val="left"/>
      <w:lvlText w:val="%1."/>
      <w:numFmt w:val="decimal"/>
      <w:start w:val="1"/>
    </w:lvl>
  </w:abstractNum>
  <w:abstractNum w:abstractNumId="96">
    <w:nsid w:val="6AA7B75C"/>
    <w:multiLevelType w:val="hybridMultilevel"/>
    <w:lvl w:ilvl="0">
      <w:lvlJc w:val="left"/>
      <w:lvlText w:val="(%1)"/>
      <w:numFmt w:val="decimal"/>
      <w:start w:val="1"/>
    </w:lvl>
  </w:abstractNum>
  <w:abstractNum w:abstractNumId="97">
    <w:nsid w:val="1DF029D3"/>
    <w:multiLevelType w:val="hybridMultilevel"/>
    <w:lvl w:ilvl="0">
      <w:lvlJc w:val="left"/>
      <w:lvlText w:val="(%1)"/>
      <w:numFmt w:val="decimal"/>
      <w:start w:val="1"/>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1)"/>
      <w:numFmt w:val="decimal"/>
      <w:start w:val="1"/>
    </w:lvl>
  </w:abstractNum>
  <w:abstractNum w:abstractNumId="100">
    <w:nsid w:val="3DB012B3"/>
    <w:multiLevelType w:val="hybridMultilevel"/>
    <w:lvl w:ilvl="0">
      <w:lvlJc w:val="left"/>
      <w:lvlText w:val="(%1)"/>
      <w:numFmt w:val="decimal"/>
      <w:start w:val="1"/>
    </w:lvl>
  </w:abstractNum>
  <w:abstractNum w:abstractNumId="101">
    <w:nsid w:val="2708C9AF"/>
    <w:multiLevelType w:val="hybridMultilevel"/>
    <w:lvl w:ilvl="0">
      <w:lvlJc w:val="left"/>
      <w:lvlText w:val="(%1)"/>
      <w:numFmt w:val="decimal"/>
      <w:start w:val="1"/>
    </w:lvl>
  </w:abstractNum>
  <w:abstractNum w:abstractNumId="102">
    <w:nsid w:val="5B25ACE2"/>
    <w:multiLevelType w:val="hybridMultilevel"/>
    <w:lvl w:ilvl="0">
      <w:lvlJc w:val="left"/>
      <w:lvlText w:val="(%1)"/>
      <w:numFmt w:val="decimal"/>
      <w:start w:val="1"/>
    </w:lvl>
  </w:abstractNum>
  <w:abstractNum w:abstractNumId="103">
    <w:nsid w:val="175DFCF0"/>
    <w:multiLevelType w:val="hybridMultilevel"/>
    <w:lvl w:ilvl="0">
      <w:lvlJc w:val="left"/>
      <w:lvlText w:val="(%1)"/>
      <w:numFmt w:val="decimal"/>
      <w:start w:val="1"/>
    </w:lvl>
  </w:abstractNum>
  <w:abstractNum w:abstractNumId="104">
    <w:nsid w:val="4F97E3E4"/>
    <w:multiLevelType w:val="hybridMultilevel"/>
    <w:lvl w:ilvl="0">
      <w:lvlJc w:val="left"/>
      <w:lvlText w:val="%1."/>
      <w:numFmt w:val="decimal"/>
      <w:start w:val="1"/>
    </w:lvl>
  </w:abstractNum>
  <w:abstractNum w:abstractNumId="105">
    <w:nsid w:val="53B0A9E"/>
    <w:multiLevelType w:val="hybridMultilevel"/>
    <w:lvl w:ilvl="0">
      <w:lvlJc w:val="left"/>
      <w:lvlText w:val="(%1)"/>
      <w:numFmt w:val="decimal"/>
      <w:start w:val="1"/>
    </w:lvl>
  </w:abstractNum>
  <w:abstractNum w:abstractNumId="106">
    <w:nsid w:val="34FD6B4F"/>
    <w:multiLevelType w:val="hybridMultilevel"/>
    <w:lvl w:ilvl="0">
      <w:lvlJc w:val="left"/>
      <w:lvlText w:val="(%1)"/>
      <w:numFmt w:val="decimal"/>
      <w:start w:val="1"/>
    </w:lvl>
  </w:abstractNum>
  <w:abstractNum w:abstractNumId="107">
    <w:nsid w:val="5915FF32"/>
    <w:multiLevelType w:val="hybridMultilevel"/>
    <w:lvl w:ilvl="0">
      <w:lvlJc w:val="left"/>
      <w:lvlText w:val="(%1)"/>
      <w:numFmt w:val="decimal"/>
      <w:start w:val="1"/>
    </w:lvl>
  </w:abstractNum>
  <w:abstractNum w:abstractNumId="108">
    <w:nsid w:val="56438D15"/>
    <w:multiLevelType w:val="hybridMultilevel"/>
    <w:lvl w:ilvl="0">
      <w:lvlJc w:val="left"/>
      <w:lvlText w:val="1"/>
      <w:numFmt w:val="bullet"/>
      <w:start w:val="1"/>
    </w:lvl>
  </w:abstractNum>
  <w:abstractNum w:abstractNumId="109">
    <w:nsid w:val="519E3149"/>
    <w:multiLevelType w:val="hybridMultilevel"/>
    <w:lvl w:ilvl="0">
      <w:lvlJc w:val="left"/>
      <w:lvlText w:val="2"/>
      <w:numFmt w:val="bullet"/>
      <w:start w:val="1"/>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1)"/>
      <w:numFmt w:val="lowerLetter"/>
      <w:start w:val="5"/>
    </w:lvl>
  </w:abstractNum>
  <w:abstractNum w:abstractNumId="112">
    <w:nsid w:val="4DF72E4E"/>
    <w:multiLevelType w:val="hybridMultilevel"/>
    <w:lvl w:ilvl="0">
      <w:lvlJc w:val="left"/>
      <w:lvlText w:val="(%1)"/>
      <w:numFmt w:val="lowerLetter"/>
      <w:start w:val="7"/>
    </w:lvl>
  </w:abstractNum>
  <w:abstractNum w:abstractNumId="113">
    <w:nsid w:val="5046B5A9"/>
    <w:multiLevelType w:val="hybridMultilevel"/>
    <w:lvl w:ilvl="0">
      <w:lvlJc w:val="left"/>
      <w:lvlText w:val="(%1)"/>
      <w:numFmt w:val="lowerLetter"/>
      <w:start w:val="10"/>
    </w:lvl>
  </w:abstractNum>
  <w:abstractNum w:abstractNumId="114">
    <w:nsid w:val="5D888A08"/>
    <w:multiLevelType w:val="hybridMultilevel"/>
    <w:lvl w:ilvl="0">
      <w:lvlJc w:val="left"/>
      <w:lvlText w:val="2"/>
      <w:numFmt w:val="bullet"/>
      <w:start w:val="1"/>
    </w:lvl>
  </w:abstractNum>
  <w:abstractNum w:abstractNumId="115">
    <w:nsid w:val="2A082C70"/>
    <w:multiLevelType w:val="hybridMultilevel"/>
    <w:lvl w:ilvl="0">
      <w:lvlJc w:val="left"/>
      <w:lvlText w:val="(%1)"/>
      <w:numFmt w:val="lowerLetter"/>
      <w:start w:val="18"/>
    </w:lvl>
  </w:abstractNum>
  <w:abstractNum w:abstractNumId="116">
    <w:nsid w:val="5EC6AFD4"/>
    <w:multiLevelType w:val="hybridMultilevel"/>
    <w:lvl w:ilvl="0">
      <w:lvlJc w:val="left"/>
      <w:lvlText w:val="*"/>
      <w:numFmt w:val="bullet"/>
      <w:start w:val="1"/>
    </w:lvl>
  </w:abstractNum>
  <w:abstractNum w:abstractNumId="117">
    <w:nsid w:val="19E21BB2"/>
    <w:multiLevelType w:val="hybridMultilevel"/>
    <w:lvl w:ilvl="0">
      <w:lvlJc w:val="left"/>
      <w:lvlText w:val="*"/>
      <w:numFmt w:val="bullet"/>
      <w:start w:val="1"/>
    </w:lvl>
  </w:abstractNum>
  <w:abstractNum w:abstractNumId="118">
    <w:nsid w:val="75E0858A"/>
    <w:multiLevelType w:val="hybridMultilevel"/>
    <w:lvl w:ilvl="0">
      <w:lvlJc w:val="left"/>
      <w:lvlText w:val="$"/>
      <w:numFmt w:val="bullet"/>
      <w:start w:val="1"/>
    </w:lvl>
  </w:abstractNum>
  <w:abstractNum w:abstractNumId="119">
    <w:nsid w:val="57A61A29"/>
    <w:multiLevelType w:val="hybridMultilevel"/>
    <w:lvl w:ilvl="0">
      <w:lvlJc w:val="left"/>
      <w:lvlText w:val="$"/>
      <w:numFmt w:val="bullet"/>
      <w:start w:val="1"/>
    </w:lvl>
  </w:abstractNum>
  <w:abstractNum w:abstractNumId="120">
    <w:nsid w:val="5399C654"/>
    <w:multiLevelType w:val="hybridMultilevel"/>
    <w:lvl w:ilvl="0">
      <w:lvlJc w:val="left"/>
      <w:lvlText w:val="(%1)"/>
      <w:numFmt w:val="decimal"/>
      <w:start w:val="1"/>
    </w:lvl>
  </w:abstractNum>
  <w:abstractNum w:abstractNumId="121">
    <w:nsid w:val="20EE1348"/>
    <w:multiLevelType w:val="hybridMultilevel"/>
    <w:lvl w:ilvl="0">
      <w:lvlJc w:val="left"/>
      <w:lvlText w:val="(%1)"/>
      <w:numFmt w:val="decimal"/>
      <w:start w:val="1"/>
    </w:lvl>
  </w:abstractNum>
  <w:abstractNum w:abstractNumId="122">
    <w:nsid w:val="4427069A"/>
    <w:multiLevelType w:val="hybridMultilevel"/>
    <w:lvl w:ilvl="0">
      <w:lvlJc w:val="left"/>
      <w:lvlText w:val="(%1)"/>
      <w:numFmt w:val="decimal"/>
      <w:start w:val="1"/>
    </w:lvl>
  </w:abstractNum>
  <w:abstractNum w:abstractNumId="123">
    <w:nsid w:val="B37E80A"/>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2"/>
    </w:lvl>
  </w:abstractNum>
  <w:abstractNum w:abstractNumId="124">
    <w:nsid w:val="2157F6BC"/>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25">
    <w:nsid w:val="704E1DD5"/>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26">
    <w:nsid w:val="57D2F10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7">
    <w:nsid w:val="BFFAE18"/>
    <w:multiLevelType w:val="hybridMultilevel"/>
    <w:lvl w:ilvl="0">
      <w:lvlJc w:val="left"/>
      <w:lvlText w:val="%1"/>
      <w:numFmt w:val="decimal"/>
      <w:start w:val="1"/>
    </w:lvl>
    <w:lvl w:ilvl="1">
      <w:lvlJc w:val="left"/>
      <w:lvlText w:val="(%2)"/>
      <w:numFmt w:val="lowerLetter"/>
      <w:start w:val="2"/>
    </w:lvl>
  </w:abstractNum>
  <w:abstractNum w:abstractNumId="128">
    <w:nsid w:val="E3E47A8"/>
    <w:multiLevelType w:val="hybridMultilevel"/>
    <w:lvl w:ilvl="0">
      <w:lvlJc w:val="left"/>
      <w:lvlText w:val="(%1)"/>
      <w:numFmt w:val="decimal"/>
      <w:start w:val="6"/>
    </w:lvl>
    <w:lvl w:ilvl="1">
      <w:lvlJc w:val="left"/>
      <w:lvlText w:val="%2"/>
      <w:numFmt w:val="lowerLetter"/>
      <w:start w:val="1"/>
    </w:lvl>
  </w:abstractNum>
  <w:abstractNum w:abstractNumId="129">
    <w:nsid w:val="2E48F044"/>
    <w:multiLevelType w:val="hybridMultilevel"/>
    <w:lvl w:ilvl="0">
      <w:lvlJc w:val="left"/>
      <w:lvlText w:val="%1."/>
      <w:numFmt w:val="decimal"/>
      <w:start w:val="1"/>
    </w:lvl>
  </w:abstractNum>
  <w:abstractNum w:abstractNumId="130">
    <w:nsid w:val="49D0FEAC"/>
    <w:multiLevelType w:val="hybridMultilevel"/>
    <w:lvl w:ilvl="0">
      <w:lvlJc w:val="left"/>
      <w:lvlText w:val="%1."/>
      <w:numFmt w:val="decimal"/>
      <w:start w:val="4"/>
    </w:lvl>
  </w:abstractNum>
  <w:abstractNum w:abstractNumId="131">
    <w:nsid w:val="4BEE5A5B"/>
    <w:multiLevelType w:val="hybridMultilevel"/>
    <w:lvl w:ilvl="0">
      <w:lvlJc w:val="left"/>
      <w:lvlText w:val="%1."/>
      <w:numFmt w:val="decimal"/>
      <w:start w:val="1"/>
    </w:lvl>
  </w:abstractNum>
  <w:abstractNum w:abstractNumId="132">
    <w:nsid w:val="5551B9F3"/>
    <w:multiLevelType w:val="hybridMultilevel"/>
    <w:lvl w:ilvl="0">
      <w:lvlJc w:val="left"/>
      <w:lvlText w:val="%1."/>
      <w:numFmt w:val="decimal"/>
      <w:start w:val="6"/>
    </w:lvl>
  </w:abstractNum>
  <w:abstractNum w:abstractNumId="133">
    <w:nsid w:val="24F6AB8E"/>
    <w:multiLevelType w:val="hybridMultilevel"/>
    <w:lvl w:ilvl="0">
      <w:lvlJc w:val="left"/>
      <w:lvlText w:val="%1."/>
      <w:numFmt w:val="decimal"/>
      <w:start w:val="1"/>
    </w:lvl>
  </w:abstractNum>
  <w:abstractNum w:abstractNumId="134">
    <w:nsid w:val="634C574C"/>
    <w:multiLevelType w:val="hybridMultilevel"/>
    <w:lvl w:ilvl="0">
      <w:lvlJc w:val="left"/>
      <w:lvlText w:val="%1."/>
      <w:numFmt w:val="decimal"/>
      <w:start w:val="4"/>
    </w:lvl>
  </w:abstractNum>
  <w:abstractNum w:abstractNumId="135">
    <w:nsid w:val="24E99DD7"/>
    <w:multiLevelType w:val="hybridMultilevel"/>
    <w:lvl w:ilvl="0">
      <w:lvlJc w:val="left"/>
      <w:lvlText w:val="(%1)"/>
      <w:numFmt w:val="decimal"/>
      <w:start w:val="2"/>
    </w:lvl>
  </w:abstractNum>
  <w:abstractNum w:abstractNumId="136">
    <w:nsid w:val="2A31B62D"/>
    <w:multiLevelType w:val="hybridMultilevel"/>
    <w:lvl w:ilvl="0">
      <w:lvlJc w:val="left"/>
      <w:lvlText w:val="(%1)"/>
      <w:numFmt w:val="lowerRoman"/>
      <w:start w:val="1"/>
    </w:lvl>
  </w:abstractNum>
  <w:abstractNum w:abstractNumId="137">
    <w:nsid w:val="1849C29B"/>
    <w:multiLevelType w:val="hybridMultilevel"/>
    <w:lvl w:ilvl="0">
      <w:lvlJc w:val="left"/>
      <w:lvlText w:val="(%1)"/>
      <w:numFmt w:val="lowerRoman"/>
      <w:start w:val="2"/>
    </w:lvl>
  </w:abstractNum>
  <w:abstractNum w:abstractNumId="138">
    <w:nsid w:val="7DFF9D09"/>
    <w:multiLevelType w:val="hybridMultilevel"/>
    <w:lvl w:ilvl="0">
      <w:lvlJc w:val="left"/>
      <w:lvlText w:val="%1."/>
      <w:numFmt w:val="decimal"/>
      <w:start w:val="1"/>
    </w:lvl>
  </w:abstractNum>
  <w:abstractNum w:abstractNumId="139">
    <w:nsid w:val="754342"/>
    <w:multiLevelType w:val="hybridMultilevel"/>
    <w:lvl w:ilvl="0">
      <w:lvlJc w:val="left"/>
      <w:lvlText w:val="(%1)"/>
      <w:numFmt w:val="lowerRoman"/>
      <w:start w:val="1"/>
    </w:lvl>
  </w:abstractNum>
  <w:abstractNum w:abstractNumId="140">
    <w:nsid w:val="69E7F3E5"/>
    <w:multiLevelType w:val="hybridMultilevel"/>
    <w:lvl w:ilvl="0">
      <w:lvlJc w:val="left"/>
      <w:lvlText w:val="(%1)"/>
      <w:numFmt w:val="lowerRoman"/>
      <w:start w:val="5"/>
    </w:lvl>
  </w:abstractNum>
  <w:abstractNum w:abstractNumId="141">
    <w:nsid w:val="2A6DE80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2019-12-07T04:59:59Z</dcterms:created>
  <dcterms:modified xsi:type="dcterms:W3CDTF">2019-12-07T04:59:59Z</dcterms:modified>
</cp:coreProperties>
</file>