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31" w:lineRule="exact"/>
        <w:rPr>
          <w:sz w:val="24"/>
          <w:szCs w:val="24"/>
          <w:color w:val="auto"/>
        </w:rPr>
      </w:pPr>
    </w:p>
    <w:p>
      <w:pPr>
        <w:ind w:left="4980"/>
        <w:spacing w:after="0"/>
        <w:rPr>
          <w:sz w:val="20"/>
          <w:szCs w:val="20"/>
          <w:color w:val="auto"/>
        </w:rPr>
      </w:pPr>
      <w:r>
        <w:rPr>
          <w:rFonts w:ascii="Arial" w:cs="Arial" w:eastAsia="Arial" w:hAnsi="Arial"/>
          <w:sz w:val="13"/>
          <w:szCs w:val="13"/>
          <w:color w:val="auto"/>
        </w:rPr>
        <w:t>___________________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ind w:left="4980"/>
        <w:spacing w:after="0"/>
        <w:rPr>
          <w:sz w:val="20"/>
          <w:szCs w:val="20"/>
          <w:color w:val="auto"/>
        </w:rPr>
      </w:pPr>
      <w:r>
        <w:rPr>
          <w:rFonts w:ascii="Arial" w:cs="Arial" w:eastAsia="Arial" w:hAnsi="Arial"/>
          <w:sz w:val="13"/>
          <w:szCs w:val="13"/>
          <w:color w:val="auto"/>
        </w:rPr>
        <w:t>___________________</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June 12, 2007</w:t>
      </w:r>
    </w:p>
    <w:p>
      <w:pPr>
        <w:spacing w:after="0" w:line="229" w:lineRule="exact"/>
        <w:rPr>
          <w:sz w:val="24"/>
          <w:szCs w:val="24"/>
          <w:color w:val="auto"/>
        </w:rPr>
      </w:pPr>
    </w:p>
    <w:p>
      <w:pPr>
        <w:ind w:left="4980"/>
        <w:spacing w:after="0"/>
        <w:rPr>
          <w:sz w:val="20"/>
          <w:szCs w:val="20"/>
          <w:color w:val="auto"/>
        </w:rPr>
      </w:pPr>
      <w:r>
        <w:rPr>
          <w:rFonts w:ascii="Arial" w:cs="Arial" w:eastAsia="Arial" w:hAnsi="Arial"/>
          <w:sz w:val="13"/>
          <w:szCs w:val="13"/>
          <w:color w:val="auto"/>
        </w:rPr>
        <w:t>___________________</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36" w:lineRule="exact"/>
        <w:rPr>
          <w:sz w:val="24"/>
          <w:szCs w:val="24"/>
          <w:color w:val="auto"/>
        </w:rPr>
      </w:pPr>
    </w:p>
    <w:p>
      <w:pPr>
        <w:ind w:left="4980"/>
        <w:spacing w:after="0"/>
        <w:rPr>
          <w:sz w:val="20"/>
          <w:szCs w:val="20"/>
          <w:color w:val="auto"/>
        </w:rPr>
      </w:pPr>
      <w:r>
        <w:rPr>
          <w:rFonts w:ascii="Arial" w:cs="Arial" w:eastAsia="Arial" w:hAnsi="Arial"/>
          <w:sz w:val="13"/>
          <w:szCs w:val="13"/>
          <w:color w:val="auto"/>
        </w:rPr>
        <w:t>___________________</w:t>
      </w:r>
    </w:p>
    <w:p>
      <w:pPr>
        <w:spacing w:after="0" w:line="387" w:lineRule="exact"/>
        <w:rPr>
          <w:sz w:val="24"/>
          <w:szCs w:val="24"/>
          <w:color w:val="auto"/>
        </w:rPr>
      </w:pPr>
    </w:p>
    <w:tbl>
      <w:tblPr>
        <w:tblLayout w:type="fixed"/>
        <w:tblInd w:w="1680" w:type="dxa"/>
        <w:tblCellMar>
          <w:top w:w="0" w:type="dxa"/>
          <w:left w:w="0" w:type="dxa"/>
          <w:bottom w:w="0" w:type="dxa"/>
          <w:right w:w="0" w:type="dxa"/>
        </w:tblCellMar>
      </w:tblPr>
      <w:tr>
        <w:trPr>
          <w:trHeight w:val="218"/>
        </w:trPr>
        <w:tc>
          <w:tcPr>
            <w:tcW w:w="2740" w:type="dxa"/>
            <w:vAlign w:val="bottom"/>
          </w:tcPr>
          <w:p>
            <w:pPr>
              <w:jc w:val="center"/>
              <w:ind w:right="321"/>
              <w:spacing w:after="0"/>
              <w:rPr>
                <w:sz w:val="20"/>
                <w:szCs w:val="20"/>
                <w:color w:val="auto"/>
              </w:rPr>
            </w:pPr>
            <w:r>
              <w:rPr>
                <w:rFonts w:ascii="Arial" w:cs="Arial" w:eastAsia="Arial" w:hAnsi="Arial"/>
                <w:sz w:val="18"/>
                <w:szCs w:val="18"/>
                <w:b w:val="1"/>
                <w:bCs w:val="1"/>
                <w:color w:val="auto"/>
                <w:w w:val="93"/>
              </w:rPr>
              <w:t>Maryland</w:t>
            </w:r>
          </w:p>
        </w:tc>
        <w:tc>
          <w:tcPr>
            <w:tcW w:w="2820" w:type="dxa"/>
            <w:vAlign w:val="bottom"/>
          </w:tcPr>
          <w:p>
            <w:pPr>
              <w:jc w:val="right"/>
              <w:ind w:right="1062"/>
              <w:spacing w:after="0"/>
              <w:rPr>
                <w:sz w:val="20"/>
                <w:szCs w:val="20"/>
                <w:color w:val="auto"/>
              </w:rPr>
            </w:pPr>
            <w:r>
              <w:rPr>
                <w:rFonts w:ascii="Arial" w:cs="Arial" w:eastAsia="Arial" w:hAnsi="Arial"/>
                <w:sz w:val="18"/>
                <w:szCs w:val="18"/>
                <w:b w:val="1"/>
                <w:bCs w:val="1"/>
                <w:color w:val="auto"/>
              </w:rPr>
              <w:t>814-00736</w:t>
            </w:r>
          </w:p>
        </w:tc>
        <w:tc>
          <w:tcPr>
            <w:tcW w:w="1780" w:type="dxa"/>
            <w:vAlign w:val="bottom"/>
          </w:tcPr>
          <w:p>
            <w:pPr>
              <w:jc w:val="center"/>
              <w:ind w:left="644"/>
              <w:spacing w:after="0"/>
              <w:rPr>
                <w:sz w:val="20"/>
                <w:szCs w:val="20"/>
                <w:color w:val="auto"/>
              </w:rPr>
            </w:pPr>
            <w:r>
              <w:rPr>
                <w:rFonts w:ascii="Arial" w:cs="Arial" w:eastAsia="Arial" w:hAnsi="Arial"/>
                <w:sz w:val="18"/>
                <w:szCs w:val="18"/>
                <w:b w:val="1"/>
                <w:bCs w:val="1"/>
                <w:color w:val="auto"/>
                <w:w w:val="89"/>
              </w:rPr>
              <w:t>20-8250744</w:t>
            </w:r>
          </w:p>
        </w:tc>
      </w:tr>
      <w:tr>
        <w:trPr>
          <w:trHeight w:val="149"/>
        </w:trPr>
        <w:tc>
          <w:tcPr>
            <w:tcW w:w="2740" w:type="dxa"/>
            <w:vAlign w:val="bottom"/>
          </w:tcPr>
          <w:p>
            <w:pPr>
              <w:jc w:val="center"/>
              <w:ind w:right="321"/>
              <w:spacing w:after="0"/>
              <w:rPr>
                <w:sz w:val="20"/>
                <w:szCs w:val="20"/>
                <w:color w:val="auto"/>
              </w:rPr>
            </w:pPr>
            <w:r>
              <w:rPr>
                <w:rFonts w:ascii="Arial" w:cs="Arial" w:eastAsia="Arial" w:hAnsi="Arial"/>
                <w:sz w:val="13"/>
                <w:szCs w:val="13"/>
                <w:b w:val="1"/>
                <w:bCs w:val="1"/>
                <w:color w:val="auto"/>
                <w:w w:val="94"/>
              </w:rPr>
              <w:t>(State or other jurisdiction</w:t>
            </w:r>
          </w:p>
        </w:tc>
        <w:tc>
          <w:tcPr>
            <w:tcW w:w="2820" w:type="dxa"/>
            <w:vAlign w:val="bottom"/>
          </w:tcPr>
          <w:p>
            <w:pPr>
              <w:jc w:val="center"/>
              <w:ind w:right="142"/>
              <w:spacing w:after="0"/>
              <w:rPr>
                <w:sz w:val="20"/>
                <w:szCs w:val="20"/>
                <w:color w:val="auto"/>
              </w:rPr>
            </w:pPr>
            <w:r>
              <w:rPr>
                <w:rFonts w:ascii="Arial" w:cs="Arial" w:eastAsia="Arial" w:hAnsi="Arial"/>
                <w:sz w:val="13"/>
                <w:szCs w:val="13"/>
                <w:b w:val="1"/>
                <w:bCs w:val="1"/>
                <w:color w:val="auto"/>
                <w:w w:val="94"/>
              </w:rPr>
              <w:t>(Commission File Number)</w:t>
            </w:r>
          </w:p>
        </w:tc>
        <w:tc>
          <w:tcPr>
            <w:tcW w:w="1780" w:type="dxa"/>
            <w:vAlign w:val="bottom"/>
          </w:tcPr>
          <w:p>
            <w:pPr>
              <w:jc w:val="center"/>
              <w:ind w:left="64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2740" w:type="dxa"/>
            <w:vAlign w:val="bottom"/>
          </w:tcPr>
          <w:p>
            <w:pPr>
              <w:jc w:val="center"/>
              <w:ind w:right="321"/>
              <w:spacing w:after="0"/>
              <w:rPr>
                <w:sz w:val="20"/>
                <w:szCs w:val="20"/>
                <w:color w:val="auto"/>
              </w:rPr>
            </w:pPr>
            <w:r>
              <w:rPr>
                <w:rFonts w:ascii="Arial" w:cs="Arial" w:eastAsia="Arial" w:hAnsi="Arial"/>
                <w:sz w:val="13"/>
                <w:szCs w:val="13"/>
                <w:b w:val="1"/>
                <w:bCs w:val="1"/>
                <w:color w:val="auto"/>
                <w:w w:val="94"/>
              </w:rPr>
              <w:t>of incorporation)</w:t>
            </w:r>
          </w:p>
        </w:tc>
        <w:tc>
          <w:tcPr>
            <w:tcW w:w="2820" w:type="dxa"/>
            <w:vAlign w:val="bottom"/>
          </w:tcPr>
          <w:p>
            <w:pPr>
              <w:spacing w:after="0"/>
              <w:rPr>
                <w:sz w:val="15"/>
                <w:szCs w:val="15"/>
                <w:color w:val="auto"/>
              </w:rPr>
            </w:pPr>
          </w:p>
        </w:tc>
        <w:tc>
          <w:tcPr>
            <w:tcW w:w="1780" w:type="dxa"/>
            <w:vAlign w:val="bottom"/>
          </w:tcPr>
          <w:p>
            <w:pPr>
              <w:jc w:val="center"/>
              <w:ind w:left="644"/>
              <w:spacing w:after="0"/>
              <w:rPr>
                <w:sz w:val="20"/>
                <w:szCs w:val="20"/>
                <w:color w:val="auto"/>
              </w:rPr>
            </w:pPr>
            <w:r>
              <w:rPr>
                <w:rFonts w:ascii="Arial" w:cs="Arial" w:eastAsia="Arial" w:hAnsi="Arial"/>
                <w:sz w:val="13"/>
                <w:szCs w:val="13"/>
                <w:b w:val="1"/>
                <w:bCs w:val="1"/>
                <w:color w:val="auto"/>
                <w:w w:val="96"/>
              </w:rPr>
              <w:t>Identification No.)</w:t>
            </w:r>
          </w:p>
        </w:tc>
      </w:tr>
      <w:tr>
        <w:trPr>
          <w:trHeight w:val="349"/>
        </w:trPr>
        <w:tc>
          <w:tcPr>
            <w:tcW w:w="2740" w:type="dxa"/>
            <w:vAlign w:val="bottom"/>
          </w:tcPr>
          <w:p>
            <w:pPr>
              <w:jc w:val="center"/>
              <w:ind w:right="441"/>
              <w:spacing w:after="0"/>
              <w:rPr>
                <w:sz w:val="20"/>
                <w:szCs w:val="20"/>
                <w:color w:val="auto"/>
              </w:rPr>
            </w:pPr>
            <w:r>
              <w:rPr>
                <w:rFonts w:ascii="Arial" w:cs="Arial" w:eastAsia="Arial" w:hAnsi="Arial"/>
                <w:sz w:val="18"/>
                <w:szCs w:val="18"/>
                <w:b w:val="1"/>
                <w:bCs w:val="1"/>
                <w:color w:val="auto"/>
                <w:w w:val="87"/>
              </w:rPr>
              <w:t>445 Park Avenue</w:t>
            </w:r>
          </w:p>
        </w:tc>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43"/>
        </w:trPr>
        <w:tc>
          <w:tcPr>
            <w:tcW w:w="2740" w:type="dxa"/>
            <w:vAlign w:val="bottom"/>
          </w:tcPr>
          <w:p>
            <w:pPr>
              <w:jc w:val="center"/>
              <w:ind w:right="441"/>
              <w:spacing w:after="0"/>
              <w:rPr>
                <w:sz w:val="20"/>
                <w:szCs w:val="20"/>
                <w:color w:val="auto"/>
              </w:rPr>
            </w:pPr>
            <w:r>
              <w:rPr>
                <w:rFonts w:ascii="Arial" w:cs="Arial" w:eastAsia="Arial" w:hAnsi="Arial"/>
                <w:sz w:val="18"/>
                <w:szCs w:val="18"/>
                <w:b w:val="1"/>
                <w:bCs w:val="1"/>
                <w:color w:val="auto"/>
                <w:w w:val="89"/>
              </w:rPr>
              <w:t>10th Floor</w:t>
            </w:r>
          </w:p>
        </w:tc>
        <w:tc>
          <w:tcPr>
            <w:tcW w:w="28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43"/>
        </w:trPr>
        <w:tc>
          <w:tcPr>
            <w:tcW w:w="2740" w:type="dxa"/>
            <w:vAlign w:val="bottom"/>
          </w:tcPr>
          <w:p>
            <w:pPr>
              <w:jc w:val="center"/>
              <w:ind w:right="441"/>
              <w:spacing w:after="0"/>
              <w:rPr>
                <w:sz w:val="20"/>
                <w:szCs w:val="20"/>
                <w:color w:val="auto"/>
              </w:rPr>
            </w:pPr>
            <w:r>
              <w:rPr>
                <w:rFonts w:ascii="Arial" w:cs="Arial" w:eastAsia="Arial" w:hAnsi="Arial"/>
                <w:sz w:val="18"/>
                <w:szCs w:val="18"/>
                <w:b w:val="1"/>
                <w:bCs w:val="1"/>
                <w:color w:val="auto"/>
                <w:w w:val="94"/>
              </w:rPr>
              <w:t>New York,NY</w:t>
            </w:r>
          </w:p>
        </w:tc>
        <w:tc>
          <w:tcPr>
            <w:tcW w:w="2820" w:type="dxa"/>
            <w:vAlign w:val="bottom"/>
          </w:tcPr>
          <w:p>
            <w:pPr>
              <w:spacing w:after="0"/>
              <w:rPr>
                <w:sz w:val="21"/>
                <w:szCs w:val="21"/>
                <w:color w:val="auto"/>
              </w:rPr>
            </w:pPr>
          </w:p>
        </w:tc>
        <w:tc>
          <w:tcPr>
            <w:tcW w:w="1780" w:type="dxa"/>
            <w:vAlign w:val="bottom"/>
          </w:tcPr>
          <w:p>
            <w:pPr>
              <w:jc w:val="right"/>
              <w:ind w:right="184"/>
              <w:spacing w:after="0"/>
              <w:rPr>
                <w:sz w:val="20"/>
                <w:szCs w:val="20"/>
                <w:color w:val="auto"/>
              </w:rPr>
            </w:pPr>
            <w:r>
              <w:rPr>
                <w:rFonts w:ascii="Arial" w:cs="Arial" w:eastAsia="Arial" w:hAnsi="Arial"/>
                <w:sz w:val="18"/>
                <w:szCs w:val="18"/>
                <w:b w:val="1"/>
                <w:bCs w:val="1"/>
                <w:color w:val="auto"/>
              </w:rPr>
              <w:t>10022</w:t>
            </w:r>
          </w:p>
        </w:tc>
      </w:tr>
      <w:tr>
        <w:trPr>
          <w:trHeight w:val="190"/>
        </w:trPr>
        <w:tc>
          <w:tcPr>
            <w:tcW w:w="2740" w:type="dxa"/>
            <w:vAlign w:val="bottom"/>
          </w:tcPr>
          <w:p>
            <w:pPr>
              <w:jc w:val="center"/>
              <w:ind w:right="441"/>
              <w:spacing w:after="0"/>
              <w:rPr>
                <w:sz w:val="20"/>
                <w:szCs w:val="20"/>
                <w:color w:val="auto"/>
              </w:rPr>
            </w:pPr>
            <w:r>
              <w:rPr>
                <w:rFonts w:ascii="Arial" w:cs="Arial" w:eastAsia="Arial" w:hAnsi="Arial"/>
                <w:sz w:val="13"/>
                <w:szCs w:val="13"/>
                <w:b w:val="1"/>
                <w:bCs w:val="1"/>
                <w:color w:val="auto"/>
                <w:w w:val="91"/>
              </w:rPr>
              <w:t>(Address of principal executive offices)</w:t>
            </w:r>
          </w:p>
        </w:tc>
        <w:tc>
          <w:tcPr>
            <w:tcW w:w="2820" w:type="dxa"/>
            <w:vAlign w:val="bottom"/>
          </w:tcPr>
          <w:p>
            <w:pPr>
              <w:spacing w:after="0"/>
              <w:rPr>
                <w:sz w:val="16"/>
                <w:szCs w:val="16"/>
                <w:color w:val="auto"/>
              </w:rPr>
            </w:pPr>
          </w:p>
        </w:tc>
        <w:tc>
          <w:tcPr>
            <w:tcW w:w="1780" w:type="dxa"/>
            <w:vAlign w:val="bottom"/>
          </w:tcPr>
          <w:p>
            <w:pPr>
              <w:jc w:val="center"/>
              <w:ind w:left="744"/>
              <w:spacing w:after="0"/>
              <w:rPr>
                <w:sz w:val="20"/>
                <w:szCs w:val="20"/>
                <w:color w:val="auto"/>
              </w:rPr>
            </w:pPr>
            <w:r>
              <w:rPr>
                <w:rFonts w:ascii="Arial" w:cs="Arial" w:eastAsia="Arial" w:hAnsi="Arial"/>
                <w:sz w:val="13"/>
                <w:szCs w:val="13"/>
                <w:b w:val="1"/>
                <w:bCs w:val="1"/>
                <w:color w:val="auto"/>
                <w:w w:val="99"/>
              </w:rPr>
              <w:t>(Zip Code)</w:t>
            </w:r>
          </w:p>
        </w:tc>
      </w:tr>
    </w:tbl>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212-307-3280</w:t>
      </w:r>
    </w:p>
    <w:p>
      <w:pPr>
        <w:spacing w:after="0" w:line="200" w:lineRule="exact"/>
        <w:rPr>
          <w:sz w:val="24"/>
          <w:szCs w:val="24"/>
          <w:color w:val="auto"/>
        </w:rPr>
      </w:pPr>
    </w:p>
    <w:p>
      <w:pPr>
        <w:spacing w:after="0" w:line="204" w:lineRule="exact"/>
        <w:rPr>
          <w:sz w:val="24"/>
          <w:szCs w:val="24"/>
          <w:color w:val="auto"/>
        </w:rPr>
      </w:pPr>
    </w:p>
    <w:p>
      <w:pPr>
        <w:ind w:left="4980"/>
        <w:spacing w:after="0"/>
        <w:rPr>
          <w:sz w:val="20"/>
          <w:szCs w:val="20"/>
          <w:color w:val="auto"/>
        </w:rPr>
      </w:pPr>
      <w:r>
        <w:rPr>
          <w:rFonts w:ascii="Arial" w:cs="Arial" w:eastAsia="Arial" w:hAnsi="Arial"/>
          <w:sz w:val="13"/>
          <w:szCs w:val="13"/>
          <w:color w:val="auto"/>
        </w:rPr>
        <w:t>___________________</w:t>
      </w:r>
    </w:p>
    <w:p>
      <w:pPr>
        <w:spacing w:after="0" w:line="366"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940" w:type="dxa"/>
            <w:vAlign w:val="bottom"/>
          </w:tcPr>
          <w:p>
            <w:pPr>
              <w:ind w:left="6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392"/>
        </w:trPr>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9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391"/>
        </w:trPr>
        <w:tc>
          <w:tcPr>
            <w:tcW w:w="3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940" w:type="dxa"/>
            <w:vAlign w:val="bottom"/>
          </w:tcPr>
          <w:p>
            <w:pPr>
              <w:ind w:left="6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392"/>
        </w:trPr>
        <w:tc>
          <w:tcPr>
            <w:tcW w:w="3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940" w:type="dxa"/>
            <w:vAlign w:val="bottom"/>
          </w:tcPr>
          <w:p>
            <w:pPr>
              <w:ind w:left="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117"/>
        </w:trPr>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940" w:type="dxa"/>
            <w:vAlign w:val="bottom"/>
            <w:tcBorders>
              <w:bottom w:val="single" w:sz="8" w:color="9A9A9A"/>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Item 8.01. Other Events.</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The following press release was issued by PennantPark Investment Corporation on June 11, 2007:</w:t>
      </w:r>
    </w:p>
    <w:p>
      <w:pPr>
        <w:spacing w:after="0" w:line="200" w:lineRule="exact"/>
        <w:rPr>
          <w:sz w:val="24"/>
          <w:szCs w:val="24"/>
          <w:color w:val="auto"/>
        </w:rPr>
      </w:pPr>
    </w:p>
    <w:p>
      <w:pPr>
        <w:spacing w:after="0" w:line="255" w:lineRule="exact"/>
        <w:rPr>
          <w:sz w:val="24"/>
          <w:szCs w:val="24"/>
          <w:color w:val="auto"/>
        </w:rPr>
      </w:pPr>
    </w:p>
    <w:p>
      <w:pPr>
        <w:ind w:left="3340"/>
        <w:spacing w:after="0"/>
        <w:rPr>
          <w:sz w:val="20"/>
          <w:szCs w:val="20"/>
          <w:color w:val="auto"/>
        </w:rPr>
      </w:pPr>
      <w:r>
        <w:rPr>
          <w:rFonts w:ascii="Arial" w:cs="Arial" w:eastAsia="Arial" w:hAnsi="Arial"/>
          <w:sz w:val="22"/>
          <w:szCs w:val="22"/>
          <w:color w:val="auto"/>
        </w:rPr>
        <w:t>PENNANTPARK INVESTMENT CORPORATION</w:t>
      </w:r>
    </w:p>
    <w:p>
      <w:pPr>
        <w:spacing w:after="0" w:line="8" w:lineRule="exact"/>
        <w:rPr>
          <w:sz w:val="24"/>
          <w:szCs w:val="24"/>
          <w:color w:val="auto"/>
        </w:rPr>
      </w:pPr>
    </w:p>
    <w:p>
      <w:pPr>
        <w:ind w:left="3360"/>
        <w:spacing w:after="0"/>
        <w:rPr>
          <w:sz w:val="20"/>
          <w:szCs w:val="20"/>
          <w:color w:val="auto"/>
        </w:rPr>
      </w:pPr>
      <w:r>
        <w:rPr>
          <w:rFonts w:ascii="Arial" w:cs="Arial" w:eastAsia="Arial" w:hAnsi="Arial"/>
          <w:sz w:val="22"/>
          <w:szCs w:val="22"/>
          <w:color w:val="auto"/>
        </w:rPr>
        <w:t>ANNOUNCES DIVIDEND OF $0.14 PER SHARE</w:t>
      </w:r>
    </w:p>
    <w:p>
      <w:pPr>
        <w:spacing w:after="0" w:line="188" w:lineRule="exact"/>
        <w:rPr>
          <w:sz w:val="24"/>
          <w:szCs w:val="24"/>
          <w:color w:val="auto"/>
        </w:rPr>
      </w:pPr>
    </w:p>
    <w:p>
      <w:pPr>
        <w:spacing w:after="0" w:line="277" w:lineRule="auto"/>
        <w:rPr>
          <w:sz w:val="20"/>
          <w:szCs w:val="20"/>
          <w:color w:val="auto"/>
        </w:rPr>
      </w:pPr>
      <w:r>
        <w:rPr>
          <w:rFonts w:ascii="Arial" w:cs="Arial" w:eastAsia="Arial" w:hAnsi="Arial"/>
          <w:sz w:val="19"/>
          <w:szCs w:val="19"/>
          <w:color w:val="auto"/>
        </w:rPr>
        <w:t>New York, N.Y. - June 11, 2007 - PennantPark Investment Corporation (the "Company") (NasdaqGS: PNNT) announces that it has declared a dividend of $0.14 per share for the period ended June 30, 2007, payable on June 29, 2007 to shareholders of record as of June 22, 2007. The ex-dividend date is June 20, 2007. Dividends are being paid from taxable earnings whose specific tax characteristics will be reported to shareholders on Form 1099 after the end of the calendar year. This dividend represents a 5.1% annualized dividend yield, based on a price of $15 per share and the 67-day period between the closing of the Company's initial public offering on April 24, 2007 and June 30, 2007. The Company is a business development company that invests primarily in U.S. middle-market companies in the form of senior secured loans, mezzanine loans and equity.</w:t>
      </w:r>
    </w:p>
    <w:p>
      <w:pPr>
        <w:spacing w:after="0" w:line="152" w:lineRule="exact"/>
        <w:rPr>
          <w:sz w:val="24"/>
          <w:szCs w:val="24"/>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4"/>
          <w:szCs w:val="24"/>
          <w:color w:val="auto"/>
        </w:rPr>
      </w:pPr>
    </w:p>
    <w:p>
      <w:pPr>
        <w:ind w:right="6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 All forward-looking statements speak only as of the date of this press release.</w:t>
      </w:r>
    </w:p>
    <w:p>
      <w:pPr>
        <w:sectPr>
          <w:pgSz w:w="11900" w:h="16838" w:orient="portrait"/>
          <w:cols w:equalWidth="0" w:num="1">
            <w:col w:w="11240"/>
          </w:cols>
          <w:pgMar w:left="320" w:top="449" w:right="339" w:bottom="0" w:gutter="0" w:footer="0" w:header="0"/>
        </w:sectPr>
      </w:pPr>
    </w:p>
    <w:bookmarkStart w:id="1" w:name="page2"/>
    <w:bookmarkEnd w:id="1"/>
    <w:p>
      <w:pPr>
        <w:ind w:right="1860"/>
        <w:spacing w:after="0" w:line="251" w:lineRule="auto"/>
        <w:rPr>
          <w:sz w:val="20"/>
          <w:szCs w:val="20"/>
          <w:color w:val="auto"/>
        </w:rPr>
      </w:pPr>
      <w:r>
        <w:rPr>
          <w:rFonts w:ascii="Arial" w:cs="Arial" w:eastAsia="Arial" w:hAnsi="Arial"/>
          <w:sz w:val="22"/>
          <w:szCs w:val="22"/>
          <w:color w:val="auto"/>
        </w:rPr>
        <w:t xml:space="preserve">Contact: Aviv Efrat of PennantPark Investment Corporation, (212) 307-3280 or visit us on our website at </w:t>
      </w:r>
      <w:r>
        <w:rPr>
          <w:rFonts w:ascii="Arial" w:cs="Arial" w:eastAsia="Arial" w:hAnsi="Arial"/>
          <w:sz w:val="22"/>
          <w:szCs w:val="22"/>
          <w:i w:val="1"/>
          <w:iCs w:val="1"/>
          <w:color w:val="auto"/>
        </w:rPr>
        <w:t>http://www.pennantpark.com.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SIGNATURES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PennantPark Investment Corporation</w:t>
      </w:r>
    </w:p>
    <w:p>
      <w:pPr>
        <w:spacing w:after="0" w:line="279" w:lineRule="exact"/>
        <w:rPr>
          <w:sz w:val="20"/>
          <w:szCs w:val="20"/>
          <w:color w:val="auto"/>
        </w:rPr>
      </w:pPr>
    </w:p>
    <w:p>
      <w:pPr>
        <w:ind w:left="7900"/>
        <w:spacing w:after="0"/>
        <w:rPr>
          <w:sz w:val="20"/>
          <w:szCs w:val="20"/>
          <w:color w:val="auto"/>
        </w:rPr>
      </w:pPr>
      <w:r>
        <w:rPr>
          <w:rFonts w:ascii="Arial" w:cs="Arial" w:eastAsia="Arial" w:hAnsi="Arial"/>
          <w:sz w:val="18"/>
          <w:szCs w:val="18"/>
          <w:u w:val="single" w:color="auto"/>
          <w:color w:val="auto"/>
        </w:rPr>
        <w:t>/s/ Aviv Efrat</w:t>
      </w:r>
    </w:p>
    <w:p>
      <w:pPr>
        <w:spacing w:after="0" w:line="3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(Signature)</w:t>
      </w:r>
    </w:p>
    <w:p>
      <w:pPr>
        <w:spacing w:after="0" w:line="279" w:lineRule="exact"/>
        <w:rPr>
          <w:sz w:val="20"/>
          <w:szCs w:val="20"/>
          <w:color w:val="auto"/>
        </w:rPr>
      </w:pPr>
    </w:p>
    <w:p>
      <w:pPr>
        <w:ind w:left="7900"/>
        <w:spacing w:after="0"/>
        <w:tabs>
          <w:tab w:leader="none" w:pos="8380" w:val="left"/>
        </w:tabs>
        <w:rPr>
          <w:sz w:val="20"/>
          <w:szCs w:val="20"/>
          <w:color w:val="auto"/>
        </w:rPr>
      </w:pPr>
      <w:r>
        <w:rPr>
          <w:rFonts w:ascii="Arial" w:cs="Arial" w:eastAsia="Arial" w:hAnsi="Arial"/>
          <w:sz w:val="18"/>
          <w:szCs w:val="18"/>
          <w:color w:val="auto"/>
        </w:rPr>
        <w:t>By:</w:t>
        <w:tab/>
        <w:t>Aviv Efrat</w:t>
      </w:r>
    </w:p>
    <w:p>
      <w:pPr>
        <w:spacing w:after="0" w:line="3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Title:  Chief Financial Officer</w:t>
      </w:r>
    </w:p>
    <w:p>
      <w:pPr>
        <w:spacing w:after="0" w:line="36"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Date:  June 11, 2007</w:t>
      </w:r>
    </w:p>
    <w:sectPr>
      <w:pgSz w:w="11900" w:h="16838" w:orient="portrait"/>
      <w:cols w:equalWidth="0" w:num="1">
        <w:col w:w="10940"/>
      </w:cols>
      <w:pgMar w:left="320" w:top="118"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2020-05-05T15:06:44Z</dcterms:created>
  <dcterms:modified xsi:type="dcterms:W3CDTF">2020-05-05T15:06:44Z</dcterms:modified>
</cp:coreProperties>
</file>