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right="260" w:hanging="459"/>
        <w:spacing w:after="0" w:line="24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80" w:right="260" w:hanging="459"/>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22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9"/>
              </w:rPr>
              <w:t>MARYLAND</w:t>
            </w:r>
          </w:p>
        </w:tc>
        <w:tc>
          <w:tcPr>
            <w:tcW w:w="35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93"/>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79"/>
        </w:trPr>
        <w:tc>
          <w:tcPr>
            <w:tcW w:w="51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3580" w:type="dxa"/>
            <w:vAlign w:val="bottom"/>
          </w:tcPr>
          <w:p>
            <w:pPr>
              <w:spacing w:after="0"/>
              <w:rPr>
                <w:sz w:val="24"/>
                <w:szCs w:val="24"/>
                <w:color w:val="auto"/>
              </w:rPr>
            </w:pPr>
          </w:p>
        </w:tc>
      </w:tr>
      <w:tr>
        <w:trPr>
          <w:trHeight w:val="238"/>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58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193"/>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457" w:right="339" w:bottom="1440" w:gutter="0" w:footer="0" w:header="0"/>
        </w:sectPr>
      </w:pPr>
    </w:p>
    <w:p>
      <w:pPr>
        <w:spacing w:after="0" w:line="9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260" w:space="720"/>
            <w:col w:w="2080" w:space="720"/>
            <w:col w:w="3460"/>
          </w:cols>
          <w:pgMar w:left="320" w:top="457"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New York Stock Exchange</w:t>
      </w:r>
    </w:p>
    <w:p>
      <w:pPr>
        <w:spacing w:after="0" w:line="113" w:lineRule="exact"/>
        <w:rPr>
          <w:sz w:val="24"/>
          <w:szCs w:val="24"/>
          <w:color w:val="auto"/>
        </w:rPr>
      </w:pPr>
    </w:p>
    <w:p>
      <w:pPr>
        <w:sectPr>
          <w:pgSz w:w="11900" w:h="16838" w:orient="portrait"/>
          <w:cols w:equalWidth="0" w:num="3">
            <w:col w:w="4700" w:space="720"/>
            <w:col w:w="2200" w:space="720"/>
            <w:col w:w="2900"/>
          </w:cols>
          <w:pgMar w:left="320" w:top="457" w:right="339" w:bottom="1440" w:gutter="0" w:footer="0" w:header="0"/>
          <w:type w:val="continuous"/>
        </w:sect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42" w:lineRule="exact"/>
        <w:rPr>
          <w:sz w:val="24"/>
          <w:szCs w:val="24"/>
          <w:color w:val="auto"/>
        </w:rPr>
      </w:pPr>
    </w:p>
    <w:p>
      <w:pPr>
        <w:ind w:right="180" w:firstLine="50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2"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9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69" w:lineRule="exact"/>
        <w:rPr>
          <w:sz w:val="24"/>
          <w:szCs w:val="24"/>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 w:lineRule="exact"/>
        <w:rPr>
          <w:sz w:val="24"/>
          <w:szCs w:val="24"/>
          <w:color w:val="auto"/>
        </w:rPr>
      </w:pPr>
    </w:p>
    <w:p>
      <w:pPr>
        <w:ind w:left="520" w:right="1920"/>
        <w:spacing w:after="0" w:line="40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No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The number of shares of the registrant’s common stock, $0.001 par value per share, outstanding as of February 8, 2023 was 65,224,500.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jc w:val="center"/>
        <w:ind w:left="460"/>
        <w:spacing w:after="0" w:line="229" w:lineRule="auto"/>
        <w:rPr>
          <w:sz w:val="20"/>
          <w:szCs w:val="20"/>
          <w:color w:val="auto"/>
        </w:rPr>
      </w:pPr>
      <w:r>
        <w:rPr>
          <w:rFonts w:ascii="Times New Roman" w:cs="Times New Roman" w:eastAsia="Times New Roman" w:hAnsi="Times New Roman"/>
          <w:sz w:val="14"/>
          <w:szCs w:val="14"/>
          <w:b w:val="1"/>
          <w:bCs w:val="1"/>
          <w:color w:val="auto"/>
        </w:rPr>
        <w:t>FORM 10-Q FOR THE QUARTER ENDED DECEMBER 31, 2022</w:t>
      </w: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80" w:type="dxa"/>
            <w:vAlign w:val="bottom"/>
            <w:gridSpan w:val="15"/>
          </w:tcPr>
          <w:p>
            <w:pPr>
              <w:jc w:val="center"/>
              <w:ind w:right="204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2040" w:type="dxa"/>
            <w:vAlign w:val="bottom"/>
          </w:tcPr>
          <w:p>
            <w:pPr>
              <w:spacing w:after="0"/>
              <w:rPr>
                <w:sz w:val="13"/>
                <w:szCs w:val="13"/>
                <w:color w:val="auto"/>
              </w:rPr>
            </w:pPr>
          </w:p>
        </w:tc>
      </w:tr>
      <w:tr>
        <w:trPr>
          <w:trHeight w:val="331"/>
        </w:trPr>
        <w:tc>
          <w:tcPr>
            <w:tcW w:w="20" w:type="dxa"/>
            <w:vAlign w:val="bottom"/>
          </w:tcPr>
          <w:p>
            <w:pPr>
              <w:spacing w:after="0"/>
              <w:rPr>
                <w:sz w:val="24"/>
                <w:szCs w:val="24"/>
                <w:color w:val="auto"/>
              </w:rPr>
            </w:pPr>
          </w:p>
        </w:tc>
        <w:tc>
          <w:tcPr>
            <w:tcW w:w="35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3"/>
          </w:tcPr>
          <w:p>
            <w:pPr>
              <w:spacing w:after="0"/>
              <w:rPr>
                <w:sz w:val="24"/>
                <w:szCs w:val="24"/>
                <w:color w:val="auto"/>
              </w:rPr>
            </w:pPr>
          </w:p>
        </w:tc>
        <w:tc>
          <w:tcPr>
            <w:tcW w:w="204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December 31, 2022 (unaudited) and September 30, 2022</w:t>
            </w:r>
          </w:p>
        </w:tc>
        <w:tc>
          <w:tcPr>
            <w:tcW w:w="232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months ended December 31, 2022 and 2021 (unaudited)</w:t>
            </w:r>
          </w:p>
        </w:tc>
        <w:tc>
          <w:tcPr>
            <w:tcW w:w="2560" w:type="dxa"/>
            <w:vAlign w:val="bottom"/>
            <w:gridSpan w:val="5"/>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months ended December 31, 2022 and 2021 (unaudited)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December 31, 2022 and 2021 (unaudited)</w:t>
            </w:r>
          </w:p>
        </w:tc>
        <w:tc>
          <w:tcPr>
            <w:tcW w:w="19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December 31, 2022 (unaudited) and September 30, 2022</w:t>
            </w:r>
          </w:p>
        </w:tc>
        <w:tc>
          <w:tcPr>
            <w:tcW w:w="420" w:type="dxa"/>
            <w:vAlign w:val="bottom"/>
            <w:tcBorders>
              <w:top w:val="single" w:sz="8" w:color="0000FF"/>
            </w:tcBorders>
            <w:gridSpan w:val="3"/>
          </w:tcPr>
          <w:p>
            <w:pPr>
              <w:spacing w:after="0"/>
              <w:rPr>
                <w:sz w:val="24"/>
                <w:szCs w:val="24"/>
                <w:color w:val="auto"/>
              </w:rPr>
            </w:pPr>
          </w:p>
        </w:tc>
        <w:tc>
          <w:tcPr>
            <w:tcW w:w="252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20" w:type="dxa"/>
            <w:vAlign w:val="bottom"/>
            <w:tcBorders>
              <w:bottom w:val="single" w:sz="8" w:color="0000EE"/>
            </w:tcBorders>
          </w:tcPr>
          <w:p>
            <w:pPr>
              <w:spacing w:after="0"/>
              <w:rPr>
                <w:sz w:val="24"/>
                <w:szCs w:val="24"/>
                <w:color w:val="auto"/>
              </w:rPr>
            </w:pPr>
          </w:p>
        </w:tc>
        <w:tc>
          <w:tcPr>
            <w:tcW w:w="5580" w:type="dxa"/>
            <w:vAlign w:val="bottom"/>
            <w:gridSpan w:val="13"/>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(PCAOB ID 49)</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31"/>
        </w:trPr>
        <w:tc>
          <w:tcPr>
            <w:tcW w:w="20" w:type="dxa"/>
            <w:vAlign w:val="bottom"/>
            <w:tcBorders>
              <w:bottom w:val="single" w:sz="8" w:color="0000EE"/>
            </w:tcBorders>
          </w:tcPr>
          <w:p>
            <w:pPr>
              <w:spacing w:after="0"/>
              <w:rPr>
                <w:sz w:val="24"/>
                <w:szCs w:val="24"/>
                <w:color w:val="auto"/>
              </w:rPr>
            </w:pPr>
          </w:p>
        </w:tc>
        <w:tc>
          <w:tcPr>
            <w:tcW w:w="5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324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331"/>
        </w:trPr>
        <w:tc>
          <w:tcPr>
            <w:tcW w:w="20" w:type="dxa"/>
            <w:vAlign w:val="bottom"/>
            <w:tcBorders>
              <w:bottom w:val="single" w:sz="8" w:color="0000EE"/>
            </w:tcBorders>
          </w:tcPr>
          <w:p>
            <w:pPr>
              <w:spacing w:after="0"/>
              <w:rPr>
                <w:sz w:val="24"/>
                <w:szCs w:val="24"/>
                <w:color w:val="auto"/>
              </w:rPr>
            </w:pPr>
          </w:p>
        </w:tc>
        <w:tc>
          <w:tcPr>
            <w:tcW w:w="4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4980" w:type="dxa"/>
            <w:vAlign w:val="bottom"/>
            <w:gridSpan w:val="11"/>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31"/>
        </w:trPr>
        <w:tc>
          <w:tcPr>
            <w:tcW w:w="20" w:type="dxa"/>
            <w:vAlign w:val="bottom"/>
          </w:tcPr>
          <w:p>
            <w:pPr>
              <w:spacing w:after="0"/>
              <w:rPr>
                <w:sz w:val="24"/>
                <w:szCs w:val="24"/>
                <w:color w:val="auto"/>
              </w:rPr>
            </w:pPr>
          </w:p>
        </w:tc>
        <w:tc>
          <w:tcPr>
            <w:tcW w:w="91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740" w:type="dxa"/>
            <w:vAlign w:val="bottom"/>
            <w:gridSpan w:val="6"/>
          </w:tcPr>
          <w:p>
            <w:pPr>
              <w:spacing w:after="0"/>
              <w:rPr>
                <w:sz w:val="24"/>
                <w:szCs w:val="24"/>
                <w:color w:val="auto"/>
              </w:rPr>
            </w:pPr>
          </w:p>
        </w:tc>
        <w:tc>
          <w:tcPr>
            <w:tcW w:w="204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1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0" w:type="dxa"/>
            <w:vAlign w:val="bottom"/>
            <w:gridSpan w:val="21"/>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Pr>
          <w:p>
            <w:pPr>
              <w:spacing w:after="0"/>
              <w:rPr>
                <w:sz w:val="24"/>
                <w:szCs w:val="24"/>
                <w:color w:val="auto"/>
              </w:rPr>
            </w:pPr>
          </w:p>
        </w:tc>
        <w:tc>
          <w:tcPr>
            <w:tcW w:w="91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31"/>
        </w:trPr>
        <w:tc>
          <w:tcPr>
            <w:tcW w:w="20" w:type="dxa"/>
            <w:vAlign w:val="bottom"/>
            <w:tcBorders>
              <w:top w:val="single" w:sz="8" w:color="0000EE"/>
            </w:tcBorders>
          </w:tcPr>
          <w:p>
            <w:pPr>
              <w:spacing w:after="0"/>
              <w:rPr>
                <w:sz w:val="24"/>
                <w:szCs w:val="24"/>
                <w:color w:val="auto"/>
              </w:rPr>
            </w:pPr>
          </w:p>
        </w:tc>
        <w:tc>
          <w:tcPr>
            <w:tcW w:w="4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506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6760" w:type="dxa"/>
            <w:vAlign w:val="bottom"/>
            <w:gridSpan w:val="17"/>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31"/>
        </w:trPr>
        <w:tc>
          <w:tcPr>
            <w:tcW w:w="20" w:type="dxa"/>
            <w:vAlign w:val="bottom"/>
          </w:tcPr>
          <w:p>
            <w:pPr>
              <w:spacing w:after="0"/>
              <w:rPr>
                <w:sz w:val="24"/>
                <w:szCs w:val="24"/>
                <w:color w:val="auto"/>
              </w:rPr>
            </w:pPr>
          </w:p>
        </w:tc>
        <w:tc>
          <w:tcPr>
            <w:tcW w:w="91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31"/>
        </w:trPr>
        <w:tc>
          <w:tcPr>
            <w:tcW w:w="20" w:type="dxa"/>
            <w:vAlign w:val="bottom"/>
            <w:tcBorders>
              <w:top w:val="single" w:sz="8" w:color="0000EE"/>
            </w:tcBorders>
          </w:tcPr>
          <w:p>
            <w:pPr>
              <w:spacing w:after="0"/>
              <w:rPr>
                <w:sz w:val="24"/>
                <w:szCs w:val="24"/>
                <w:color w:val="auto"/>
              </w:rPr>
            </w:pPr>
          </w:p>
        </w:tc>
        <w:tc>
          <w:tcPr>
            <w:tcW w:w="16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7560" w:type="dxa"/>
            <w:vAlign w:val="bottom"/>
            <w:gridSpan w:val="20"/>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31"/>
        </w:trPr>
        <w:tc>
          <w:tcPr>
            <w:tcW w:w="20" w:type="dxa"/>
            <w:vAlign w:val="bottom"/>
            <w:tcBorders>
              <w:top w:val="single" w:sz="8" w:color="0000EE"/>
            </w:tcBorders>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200" w:type="dxa"/>
            <w:vAlign w:val="bottom"/>
            <w:gridSpan w:val="24"/>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389"/>
        </w:trPr>
        <w:tc>
          <w:tcPr>
            <w:tcW w:w="2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5020" w:type="dxa"/>
            <w:vAlign w:val="bottom"/>
            <w:gridSpan w:val="17"/>
          </w:tcPr>
          <w:p>
            <w:pPr>
              <w:jc w:val="right"/>
              <w:ind w:right="30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138" w:lineRule="exact"/>
        <w:rPr>
          <w:sz w:val="20"/>
          <w:szCs w:val="20"/>
          <w:color w:val="auto"/>
        </w:rPr>
      </w:pPr>
    </w:p>
    <w:p>
      <w:pPr>
        <w:jc w:val="both"/>
        <w:ind w:firstLine="449"/>
        <w:spacing w:after="0" w:line="223"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960" w:type="dxa"/>
            <w:vAlign w:val="bottom"/>
            <w:gridSpan w:val="2"/>
          </w:tcPr>
          <w:p>
            <w:pPr>
              <w:jc w:val="center"/>
              <w:ind w:left="3228"/>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780" w:type="dxa"/>
            <w:vAlign w:val="bottom"/>
          </w:tcPr>
          <w:p>
            <w:pPr>
              <w:jc w:val="center"/>
              <w:ind w:left="338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8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auto"/>
            </w:tcBorders>
            <w:shd w:val="clear" w:color="auto" w:fill="CCECFF"/>
          </w:tcPr>
          <w:p>
            <w:pPr>
              <w:spacing w:after="0"/>
              <w:rPr>
                <w:sz w:val="14"/>
                <w:szCs w:val="14"/>
                <w:color w:val="auto"/>
              </w:rPr>
            </w:pPr>
          </w:p>
        </w:tc>
        <w:tc>
          <w:tcPr>
            <w:tcW w:w="1360" w:type="dxa"/>
            <w:vAlign w:val="bottom"/>
            <w:tcBorders>
              <w:top w:val="single" w:sz="8" w:color="auto"/>
            </w:tcBorders>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(cost—$929,937 and $882,513 respectively)</w:t>
            </w: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928,888</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932,155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(cost—$38,431 and $37,612, respectively)</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(cost—395,134 and $381,904, respectively)</w:t>
            </w:r>
          </w:p>
        </w:tc>
        <w:tc>
          <w:tcPr>
            <w:tcW w:w="180" w:type="dxa"/>
            <w:vAlign w:val="bottom"/>
            <w:tcBorders>
              <w:bottom w:val="single" w:sz="8" w:color="auto"/>
            </w:tcBorders>
            <w:shd w:val="clear" w:color="auto" w:fill="CCECFF"/>
          </w:tcPr>
          <w:p>
            <w:pPr>
              <w:spacing w:after="0"/>
              <w:rPr>
                <w:sz w:val="15"/>
                <w:szCs w:val="15"/>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231,568</w:t>
            </w:r>
          </w:p>
        </w:tc>
        <w:tc>
          <w:tcPr>
            <w:tcW w:w="2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investments (cost—$1,363,502 and $1,302,029, respectively)</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1,196,035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(cost—$28,558 and $52,844, respectively)</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80" w:type="dxa"/>
            <w:vAlign w:val="bottom"/>
            <w:shd w:val="clear" w:color="auto" w:fill="CCECFF"/>
          </w:tcPr>
          <w:p>
            <w:pPr>
              <w:spacing w:after="0"/>
              <w:rPr>
                <w:sz w:val="15"/>
                <w:szCs w:val="15"/>
                <w:color w:val="auto"/>
              </w:rPr>
            </w:pP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29,494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receivable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Borders>
              <w:bottom w:val="single" w:sz="8" w:color="auto"/>
            </w:tcBorders>
            <w:shd w:val="clear" w:color="auto" w:fill="CCECFF"/>
          </w:tcPr>
          <w:p>
            <w:pPr>
              <w:spacing w:after="0"/>
              <w:rPr>
                <w:sz w:val="15"/>
                <w:szCs w:val="15"/>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2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1,236,007</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 Credit Facility payable, at fair value (cost—$380,920 and $385,920, respectively) (See Notes 5 and 10)</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367,308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 $150,000) (See Notes 5 and 10)</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146,993</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Notes-2 payable, net (par— $165,000) (See Notes 5 and 10)</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(par—$20,000) (See Notes 5 and 10)</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19,701</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Base-management fee payable, net (See Note 3)</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Incentive fee payable (See Note 3)</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tax liability</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733,098</w:t>
            </w:r>
          </w:p>
        </w:tc>
        <w:tc>
          <w:tcPr>
            <w:tcW w:w="2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732,945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65,224,500 shares issued and outstanding</w:t>
            </w:r>
          </w:p>
        </w:tc>
        <w:tc>
          <w:tcPr>
            <w:tcW w:w="18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8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(245,325 )</w:t>
            </w: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(162,669 )</w:t>
            </w: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80" w:type="dxa"/>
            <w:vAlign w:val="bottom"/>
            <w:tcBorders>
              <w:top w:val="single" w:sz="8" w:color="auto"/>
              <w:bottom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502,909</w:t>
            </w:r>
          </w:p>
        </w:tc>
        <w:tc>
          <w:tcPr>
            <w:tcW w:w="2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1,236,007</w:t>
            </w: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-3325495</wp:posOffset>
            </wp:positionV>
            <wp:extent cx="685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-2647950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-1062355</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OPERATIONS (Unaudited)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0" w:type="dxa"/>
            <w:vAlign w:val="bottom"/>
          </w:tcPr>
          <w:p>
            <w:pPr>
              <w:spacing w:after="0"/>
              <w:rPr>
                <w:sz w:val="16"/>
                <w:szCs w:val="16"/>
                <w:color w:val="auto"/>
              </w:rPr>
            </w:pPr>
          </w:p>
        </w:tc>
        <w:tc>
          <w:tcPr>
            <w:tcW w:w="30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69"/>
        </w:trPr>
        <w:tc>
          <w:tcPr>
            <w:tcW w:w="8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8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40" w:type="dxa"/>
            <w:vAlign w:val="bottom"/>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00" w:type="dxa"/>
            <w:vAlign w:val="bottom"/>
            <w:shd w:val="clear" w:color="auto" w:fill="CCECFF"/>
          </w:tcPr>
          <w:p>
            <w:pPr>
              <w:spacing w:after="0"/>
              <w:rPr>
                <w:sz w:val="15"/>
                <w:szCs w:val="15"/>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840" w:type="dxa"/>
            <w:vAlign w:val="bottom"/>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shd w:val="clear" w:color="auto" w:fill="CCECFF"/>
          </w:tcPr>
          <w:p>
            <w:pPr>
              <w:spacing w:after="0"/>
              <w:rPr>
                <w:sz w:val="15"/>
                <w:szCs w:val="15"/>
                <w:color w:val="auto"/>
              </w:rPr>
            </w:pPr>
          </w:p>
        </w:tc>
      </w:tr>
      <w:tr>
        <w:trPr>
          <w:trHeight w:val="17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shd w:val="clear" w:color="auto" w:fill="CCECFF"/>
          </w:tcPr>
          <w:p>
            <w:pPr>
              <w:spacing w:after="0"/>
              <w:rPr>
                <w:sz w:val="15"/>
                <w:szCs w:val="15"/>
                <w:color w:val="auto"/>
              </w:rPr>
            </w:pPr>
          </w:p>
        </w:tc>
      </w:tr>
      <w:tr>
        <w:trPr>
          <w:trHeight w:val="176"/>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5"/>
                <w:szCs w:val="15"/>
                <w:color w:val="auto"/>
              </w:rPr>
            </w:pPr>
          </w:p>
        </w:tc>
      </w:tr>
      <w:tr>
        <w:trPr>
          <w:trHeight w:val="175"/>
        </w:trPr>
        <w:tc>
          <w:tcPr>
            <w:tcW w:w="8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840" w:type="dxa"/>
            <w:vAlign w:val="bottom"/>
            <w:tcBorders>
              <w:bottom w:val="single" w:sz="8" w:color="auto"/>
            </w:tcBorders>
            <w:shd w:val="clear" w:color="auto" w:fill="CCECFF"/>
          </w:tcPr>
          <w:p>
            <w:pPr>
              <w:spacing w:after="0"/>
              <w:rPr>
                <w:sz w:val="15"/>
                <w:szCs w:val="15"/>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26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100" w:type="dxa"/>
            <w:vAlign w:val="bottom"/>
          </w:tcPr>
          <w:p>
            <w:pPr>
              <w:spacing w:after="0"/>
              <w:rPr>
                <w:sz w:val="14"/>
                <w:szCs w:val="14"/>
                <w:color w:val="auto"/>
              </w:rPr>
            </w:pPr>
          </w:p>
        </w:tc>
      </w:tr>
      <w:tr>
        <w:trPr>
          <w:trHeight w:val="169"/>
        </w:trPr>
        <w:tc>
          <w:tcPr>
            <w:tcW w:w="8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shd w:val="clear" w:color="auto" w:fill="CCECFF"/>
          </w:tcPr>
          <w:p>
            <w:pPr>
              <w:spacing w:after="0"/>
              <w:rPr>
                <w:sz w:val="15"/>
                <w:szCs w:val="15"/>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CFF"/>
          </w:tcPr>
          <w:p>
            <w:pPr>
              <w:spacing w:after="0"/>
              <w:rPr>
                <w:sz w:val="15"/>
                <w:szCs w:val="15"/>
                <w:color w:val="auto"/>
              </w:rPr>
            </w:pPr>
          </w:p>
        </w:tc>
      </w:tr>
      <w:tr>
        <w:trPr>
          <w:trHeight w:val="176"/>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5"/>
                <w:szCs w:val="15"/>
                <w:color w:val="auto"/>
              </w:rPr>
            </w:pPr>
          </w:p>
        </w:tc>
      </w:tr>
      <w:tr>
        <w:trPr>
          <w:trHeight w:val="169"/>
        </w:trPr>
        <w:tc>
          <w:tcPr>
            <w:tcW w:w="8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84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26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4"/>
                <w:szCs w:val="14"/>
                <w:color w:val="auto"/>
              </w:rPr>
            </w:pPr>
          </w:p>
        </w:tc>
      </w:tr>
      <w:tr>
        <w:trPr>
          <w:trHeight w:val="169"/>
        </w:trPr>
        <w:tc>
          <w:tcPr>
            <w:tcW w:w="8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84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26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15,825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00" w:type="dxa"/>
            <w:vAlign w:val="bottom"/>
          </w:tcPr>
          <w:p>
            <w:pPr>
              <w:spacing w:after="0"/>
              <w:rPr>
                <w:sz w:val="14"/>
                <w:szCs w:val="14"/>
                <w:color w:val="auto"/>
              </w:rPr>
            </w:pPr>
          </w:p>
        </w:tc>
      </w:tr>
      <w:tr>
        <w:trPr>
          <w:trHeight w:val="169"/>
        </w:trPr>
        <w:tc>
          <w:tcPr>
            <w:tcW w:w="8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8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00" w:type="dxa"/>
            <w:vAlign w:val="bottom"/>
            <w:shd w:val="clear" w:color="auto" w:fill="CCECFF"/>
          </w:tcPr>
          <w:p>
            <w:pPr>
              <w:spacing w:after="0"/>
              <w:rPr>
                <w:sz w:val="15"/>
                <w:szCs w:val="15"/>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840" w:type="dxa"/>
            <w:vAlign w:val="bottom"/>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(31,274 )</w:t>
            </w: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(1,669 )</w:t>
            </w:r>
          </w:p>
        </w:tc>
      </w:tr>
      <w:tr>
        <w:trPr>
          <w:trHeight w:val="20"/>
        </w:trPr>
        <w:tc>
          <w:tcPr>
            <w:tcW w:w="8200" w:type="dxa"/>
            <w:vAlign w:val="bottom"/>
            <w:shd w:val="clear" w:color="auto" w:fill="CCEC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(27,742 )</w:t>
            </w:r>
          </w:p>
        </w:tc>
      </w:tr>
      <w:tr>
        <w:trPr>
          <w:trHeight w:val="169"/>
        </w:trPr>
        <w:tc>
          <w:tcPr>
            <w:tcW w:w="8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840" w:type="dxa"/>
            <w:vAlign w:val="bottom"/>
            <w:tcBorders>
              <w:top w:val="single" w:sz="8" w:color="auto"/>
            </w:tcBorders>
            <w:shd w:val="clear" w:color="auto" w:fill="CCECFF"/>
          </w:tcPr>
          <w:p>
            <w:pPr>
              <w:spacing w:after="0"/>
              <w:rPr>
                <w:sz w:val="14"/>
                <w:szCs w:val="14"/>
                <w:color w:val="auto"/>
              </w:rPr>
            </w:pPr>
          </w:p>
        </w:tc>
        <w:tc>
          <w:tcPr>
            <w:tcW w:w="48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840" w:type="dxa"/>
            <w:vAlign w:val="bottom"/>
          </w:tcPr>
          <w:p>
            <w:pPr>
              <w:spacing w:after="0"/>
              <w:rPr>
                <w:sz w:val="15"/>
                <w:szCs w:val="15"/>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(50,517 )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(49,603 )</w:t>
            </w: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840" w:type="dxa"/>
            <w:vAlign w:val="bottom"/>
            <w:shd w:val="clear" w:color="auto" w:fill="CCECFF"/>
          </w:tcPr>
          <w:p>
            <w:pPr>
              <w:spacing w:after="0"/>
              <w:rPr>
                <w:sz w:val="15"/>
                <w:szCs w:val="15"/>
                <w:color w:val="auto"/>
              </w:rPr>
            </w:pPr>
          </w:p>
        </w:tc>
        <w:tc>
          <w:tcPr>
            <w:tcW w:w="7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(41,048 )</w:t>
            </w: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96,372</w:t>
            </w:r>
          </w:p>
        </w:tc>
        <w:tc>
          <w:tcPr>
            <w:tcW w:w="100" w:type="dxa"/>
            <w:vAlign w:val="bottom"/>
            <w:shd w:val="clear" w:color="auto" w:fill="CCECFF"/>
          </w:tcPr>
          <w:p>
            <w:pPr>
              <w:spacing w:after="0"/>
              <w:rPr>
                <w:sz w:val="15"/>
                <w:szCs w:val="15"/>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(depreciation) on investments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(5,045 )</w:t>
            </w:r>
          </w:p>
        </w:tc>
      </w:tr>
      <w:tr>
        <w:trPr>
          <w:trHeight w:val="176"/>
        </w:trPr>
        <w:tc>
          <w:tcPr>
            <w:tcW w:w="8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 (See Notes 5 and 10)</w:t>
            </w:r>
          </w:p>
        </w:tc>
        <w:tc>
          <w:tcPr>
            <w:tcW w:w="84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(996 )</w:t>
            </w:r>
          </w:p>
        </w:tc>
      </w:tr>
      <w:tr>
        <w:trPr>
          <w:trHeight w:val="20"/>
        </w:trPr>
        <w:tc>
          <w:tcPr>
            <w:tcW w:w="8200" w:type="dxa"/>
            <w:vAlign w:val="bottom"/>
            <w:shd w:val="clear" w:color="auto" w:fill="CCEC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840" w:type="dxa"/>
            <w:vAlign w:val="bottom"/>
          </w:tcPr>
          <w:p>
            <w:pPr>
              <w:spacing w:after="0"/>
              <w:rPr>
                <w:sz w:val="14"/>
                <w:szCs w:val="14"/>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(86,291 )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40,728</w:t>
            </w:r>
          </w:p>
        </w:tc>
        <w:tc>
          <w:tcPr>
            <w:tcW w:w="100" w:type="dxa"/>
            <w:vAlign w:val="bottom"/>
          </w:tcPr>
          <w:p>
            <w:pPr>
              <w:spacing w:after="0"/>
              <w:rPr>
                <w:sz w:val="14"/>
                <w:szCs w:val="14"/>
                <w:color w:val="auto"/>
              </w:rPr>
            </w:pPr>
          </w:p>
        </w:tc>
      </w:tr>
      <w:tr>
        <w:trPr>
          <w:trHeight w:val="169"/>
        </w:trPr>
        <w:tc>
          <w:tcPr>
            <w:tcW w:w="82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840" w:type="dxa"/>
            <w:vAlign w:val="bottom"/>
            <w:tcBorders>
              <w:top w:val="single" w:sz="8" w:color="auto"/>
              <w:bottom w:val="single" w:sz="8" w:color="auto"/>
            </w:tcBorders>
            <w:shd w:val="clear" w:color="auto" w:fill="CCECFF"/>
          </w:tcPr>
          <w:p>
            <w:pPr>
              <w:spacing w:after="0"/>
              <w:rPr>
                <w:sz w:val="14"/>
                <w:szCs w:val="14"/>
                <w:color w:val="auto"/>
              </w:rPr>
            </w:pP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(82,227</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CECFF"/>
          </w:tcPr>
          <w:p>
            <w:pPr>
              <w:spacing w:after="0"/>
              <w:rPr>
                <w:sz w:val="14"/>
                <w:szCs w:val="14"/>
                <w:color w:val="auto"/>
              </w:rPr>
            </w:pP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840" w:type="dxa"/>
            <w:vAlign w:val="bottom"/>
          </w:tcPr>
          <w:p>
            <w:pPr>
              <w:spacing w:after="0"/>
              <w:rPr>
                <w:sz w:val="14"/>
                <w:szCs w:val="14"/>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(71,894 )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tcPr>
          <w:p>
            <w:pPr>
              <w:spacing w:after="0"/>
              <w:rPr>
                <w:sz w:val="14"/>
                <w:szCs w:val="14"/>
                <w:color w:val="auto"/>
              </w:rPr>
            </w:pPr>
          </w:p>
        </w:tc>
      </w:tr>
      <w:tr>
        <w:trPr>
          <w:trHeight w:val="20"/>
        </w:trPr>
        <w:tc>
          <w:tcPr>
            <w:tcW w:w="8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 per common share (See Note 7)</w:t>
            </w:r>
          </w:p>
        </w:tc>
        <w:tc>
          <w:tcPr>
            <w:tcW w:w="840" w:type="dxa"/>
            <w:vAlign w:val="bottom"/>
            <w:tcBorders>
              <w:bottom w:val="single" w:sz="8" w:color="auto"/>
            </w:tcBorders>
            <w:shd w:val="clear" w:color="auto" w:fill="CCECFF"/>
          </w:tcPr>
          <w:p>
            <w:pPr>
              <w:jc w:val="right"/>
              <w:ind w:right="6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(1.10</w:t>
            </w:r>
          </w:p>
        </w:tc>
        <w:tc>
          <w:tcPr>
            <w:tcW w:w="260" w:type="dxa"/>
            <w:vAlign w:val="bottom"/>
            <w:tcBorders>
              <w:bottom w:val="single" w:sz="8" w:color="CCECFF"/>
            </w:tcBorders>
            <w:shd w:val="clear" w:color="auto" w:fill="CCECFF"/>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bottom w:val="single" w:sz="8" w:color="auto"/>
            </w:tcBorders>
            <w:shd w:val="clear" w:color="auto" w:fill="CCECFF"/>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0.38</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82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840" w:type="dxa"/>
            <w:vAlign w:val="bottom"/>
            <w:tcBorders>
              <w:bottom w:val="single" w:sz="8" w:color="auto"/>
            </w:tcBorders>
          </w:tcPr>
          <w:p>
            <w:pPr>
              <w:jc w:val="right"/>
              <w:ind w:right="6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0.16</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3"/>
                <w:szCs w:val="13"/>
                <w:color w:val="auto"/>
              </w:rPr>
            </w:pPr>
          </w:p>
        </w:tc>
      </w:tr>
      <w:tr>
        <w:trPr>
          <w:trHeight w:val="20"/>
        </w:trPr>
        <w:tc>
          <w:tcPr>
            <w:tcW w:w="8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-3188335</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-2271395</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-2030730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-1344930</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-659130</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-419100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10890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16256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 (Unaudited)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00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260" w:type="dxa"/>
            <w:vAlign w:val="bottom"/>
          </w:tcPr>
          <w:p>
            <w:pPr>
              <w:spacing w:after="0"/>
              <w:rPr>
                <w:sz w:val="15"/>
                <w:szCs w:val="15"/>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00" w:type="dxa"/>
            <w:vAlign w:val="bottom"/>
          </w:tcPr>
          <w:p>
            <w:pPr>
              <w:spacing w:after="0"/>
              <w:rPr>
                <w:sz w:val="15"/>
                <w:szCs w:val="15"/>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100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(27,742 )</w:t>
            </w: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(91,565 )</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46,769</w:t>
            </w:r>
          </w:p>
        </w:tc>
        <w:tc>
          <w:tcPr>
            <w:tcW w:w="100" w:type="dxa"/>
            <w:vAlign w:val="bottom"/>
          </w:tcPr>
          <w:p>
            <w:pPr>
              <w:spacing w:after="0"/>
              <w:rPr>
                <w:sz w:val="15"/>
                <w:szCs w:val="15"/>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(depreciation) on investments</w:t>
            </w:r>
          </w:p>
        </w:tc>
        <w:tc>
          <w:tcPr>
            <w:tcW w:w="100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(5,045 )</w:t>
            </w: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(996 )</w:t>
            </w:r>
          </w:p>
        </w:tc>
      </w:tr>
      <w:tr>
        <w:trPr>
          <w:trHeight w:val="169"/>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(71,894</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Borders>
              <w:top w:val="single" w:sz="8" w:color="auto"/>
              <w:bottom w:val="single" w:sz="8" w:color="auto"/>
            </w:tcBorders>
            <w:shd w:val="clear" w:color="auto" w:fill="CCECFF"/>
          </w:tcPr>
          <w:p>
            <w:pPr>
              <w:spacing w:after="0"/>
              <w:rPr>
                <w:sz w:val="14"/>
                <w:szCs w:val="14"/>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100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(10,762 )</w:t>
            </w:r>
          </w:p>
        </w:tc>
        <w:tc>
          <w:tcPr>
            <w:tcW w:w="10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(8,045 )</w:t>
            </w:r>
          </w:p>
        </w:tc>
      </w:tr>
      <w:tr>
        <w:trPr>
          <w:trHeight w:val="169"/>
        </w:trPr>
        <w:tc>
          <w:tcPr>
            <w:tcW w:w="7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(82,656</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Borders>
              <w:top w:val="single" w:sz="8" w:color="auto"/>
              <w:bottom w:val="single" w:sz="8" w:color="auto"/>
            </w:tcBorders>
            <w:shd w:val="clear" w:color="auto" w:fill="CCECFF"/>
          </w:tcPr>
          <w:p>
            <w:pPr>
              <w:spacing w:after="0"/>
              <w:rPr>
                <w:sz w:val="14"/>
                <w:szCs w:val="14"/>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17,465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1000" w:type="dxa"/>
            <w:vAlign w:val="bottom"/>
            <w:tcBorders>
              <w:bottom w:val="single" w:sz="8" w:color="auto"/>
            </w:tcBorders>
            <w:shd w:val="clear" w:color="auto" w:fill="CCECFF"/>
          </w:tcPr>
          <w:p>
            <w:pPr>
              <w:spacing w:after="0"/>
              <w:rPr>
                <w:sz w:val="15"/>
                <w:szCs w:val="15"/>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26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spacing w:after="0"/>
              <w:rPr>
                <w:sz w:val="15"/>
                <w:szCs w:val="15"/>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End of period</w:t>
            </w:r>
          </w:p>
        </w:tc>
        <w:tc>
          <w:tcPr>
            <w:tcW w:w="1000" w:type="dxa"/>
            <w:vAlign w:val="bottom"/>
            <w:tcBorders>
              <w:bottom w:val="single" w:sz="8" w:color="auto"/>
            </w:tcBorders>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502,909</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677,609</w:t>
            </w: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-616585</wp:posOffset>
            </wp:positionV>
            <wp:extent cx="6858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-376555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(71,894 )</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tcPr>
          <w:p>
            <w:pPr>
              <w:spacing w:after="0"/>
              <w:rPr>
                <w:sz w:val="15"/>
                <w:szCs w:val="15"/>
                <w:color w:val="auto"/>
              </w:rPr>
            </w:pPr>
          </w:p>
        </w:tc>
      </w:tr>
      <w:tr>
        <w:trPr>
          <w:trHeight w:val="139"/>
        </w:trPr>
        <w:tc>
          <w:tcPr>
            <w:tcW w:w="7740" w:type="dxa"/>
            <w:vAlign w:val="bottom"/>
            <w:shd w:val="clear" w:color="auto" w:fill="CCECFF"/>
          </w:tcPr>
          <w:p>
            <w:pPr>
              <w:ind w:left="38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w:t>
            </w:r>
          </w:p>
        </w:tc>
        <w:tc>
          <w:tcPr>
            <w:tcW w:w="10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5"/>
        </w:trPr>
        <w:tc>
          <w:tcPr>
            <w:tcW w:w="774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operations to net cash provided by (used in) operating activities:</w:t>
            </w:r>
          </w:p>
        </w:tc>
        <w:tc>
          <w:tcPr>
            <w:tcW w:w="102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change in net unrealized (appreciation) depreciation on investments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91,565</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(46,769 )</w:t>
            </w: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(4,378 )</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CFF"/>
          </w:tcPr>
          <w:p>
            <w:pPr>
              <w:spacing w:after="0"/>
              <w:rPr>
                <w:sz w:val="15"/>
                <w:szCs w:val="15"/>
                <w:color w:val="auto"/>
              </w:rPr>
            </w:pP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2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(4,064 )</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26,073</w:t>
            </w:r>
          </w:p>
        </w:tc>
        <w:tc>
          <w:tcPr>
            <w:tcW w:w="100" w:type="dxa"/>
            <w:vAlign w:val="bottom"/>
          </w:tcPr>
          <w:p>
            <w:pPr>
              <w:spacing w:after="0"/>
              <w:rPr>
                <w:sz w:val="15"/>
                <w:szCs w:val="15"/>
                <w:color w:val="auto"/>
              </w:rPr>
            </w:pP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(822 )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(2,065 )</w:t>
            </w: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2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(86,182 )</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(295,136 )</w:t>
            </w: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Payment-in-kind income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(1,131 )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(4,451 )</w:t>
            </w: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132,246</w:t>
            </w:r>
          </w:p>
        </w:tc>
        <w:tc>
          <w:tcPr>
            <w:tcW w:w="100" w:type="dxa"/>
            <w:vAlign w:val="bottom"/>
          </w:tcPr>
          <w:p>
            <w:pPr>
              <w:spacing w:after="0"/>
              <w:rPr>
                <w:sz w:val="15"/>
                <w:szCs w:val="15"/>
                <w:color w:val="auto"/>
              </w:rPr>
            </w:pPr>
          </w:p>
        </w:tc>
      </w:tr>
      <w:tr>
        <w:trPr>
          <w:trHeight w:val="176"/>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CFF"/>
          </w:tcPr>
          <w:p>
            <w:pPr>
              <w:spacing w:after="0"/>
              <w:rPr>
                <w:sz w:val="15"/>
                <w:szCs w:val="15"/>
                <w:color w:val="auto"/>
              </w:rPr>
            </w:pPr>
          </w:p>
        </w:tc>
      </w:tr>
      <w:tr>
        <w:trPr>
          <w:trHeight w:val="175"/>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or Decrease in: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4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Interest receivable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(531 )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(449 )</w:t>
            </w:r>
          </w:p>
        </w:tc>
      </w:tr>
      <w:tr>
        <w:trPr>
          <w:trHeight w:val="175"/>
        </w:trPr>
        <w:tc>
          <w:tcPr>
            <w:tcW w:w="77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Receivables from investments sold</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29,494</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(12,821 )</w:t>
            </w:r>
          </w:p>
        </w:tc>
      </w:tr>
      <w:tr>
        <w:trPr>
          <w:trHeight w:val="176"/>
        </w:trPr>
        <w:tc>
          <w:tcPr>
            <w:tcW w:w="774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Distribution receivable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(836 )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or (Decrease) in: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4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(7,812 )</w:t>
            </w:r>
          </w:p>
        </w:tc>
      </w:tr>
      <w:tr>
        <w:trPr>
          <w:trHeight w:val="176"/>
        </w:trPr>
        <w:tc>
          <w:tcPr>
            <w:tcW w:w="77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02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(2,973 )</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(931 )</w:t>
            </w:r>
          </w:p>
        </w:tc>
      </w:tr>
      <w:tr>
        <w:trPr>
          <w:trHeight w:val="175"/>
        </w:trPr>
        <w:tc>
          <w:tcPr>
            <w:tcW w:w="774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Base management fee payable, net</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(247 )</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CFF"/>
          </w:tcPr>
          <w:p>
            <w:pPr>
              <w:spacing w:after="0"/>
              <w:rPr>
                <w:sz w:val="15"/>
                <w:szCs w:val="15"/>
                <w:color w:val="auto"/>
              </w:rPr>
            </w:pPr>
          </w:p>
        </w:tc>
      </w:tr>
      <w:tr>
        <w:trPr>
          <w:trHeight w:val="176"/>
        </w:trPr>
        <w:tc>
          <w:tcPr>
            <w:tcW w:w="77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Performance-based incentive fee payable, net</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5"/>
                <w:szCs w:val="15"/>
                <w:color w:val="auto"/>
              </w:rPr>
            </w:pPr>
          </w:p>
        </w:tc>
      </w:tr>
      <w:tr>
        <w:trPr>
          <w:trHeight w:val="175"/>
        </w:trPr>
        <w:tc>
          <w:tcPr>
            <w:tcW w:w="774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Deferred tax liability</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5,287</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shd w:val="clear" w:color="auto" w:fill="CCECFF"/>
          </w:tcPr>
          <w:p>
            <w:pPr>
              <w:spacing w:after="0"/>
              <w:rPr>
                <w:sz w:val="15"/>
                <w:szCs w:val="15"/>
                <w:color w:val="auto"/>
              </w:rPr>
            </w:pPr>
          </w:p>
        </w:tc>
      </w:tr>
      <w:tr>
        <w:trPr>
          <w:trHeight w:val="176"/>
        </w:trPr>
        <w:tc>
          <w:tcPr>
            <w:tcW w:w="77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Accrued other expenses</w:t>
            </w:r>
          </w:p>
        </w:tc>
        <w:tc>
          <w:tcPr>
            <w:tcW w:w="102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(4,485 )</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r>
      <w:tr>
        <w:trPr>
          <w:trHeight w:val="169"/>
        </w:trPr>
        <w:tc>
          <w:tcPr>
            <w:tcW w:w="774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(177,350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(9,784 )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(8,045 )</w:t>
            </w: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repayments of the 2024 Notes issuance</w:t>
            </w:r>
          </w:p>
        </w:tc>
        <w:tc>
          <w:tcPr>
            <w:tcW w:w="102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(84,581 )</w:t>
            </w: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Proceeds from 2026 Notes-2 issuance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160,519</w:t>
            </w:r>
          </w:p>
        </w:tc>
        <w:tc>
          <w:tcPr>
            <w:tcW w:w="100" w:type="dxa"/>
            <w:vAlign w:val="bottom"/>
            <w:shd w:val="clear" w:color="auto" w:fill="CCECFF"/>
          </w:tcPr>
          <w:p>
            <w:pPr>
              <w:spacing w:after="0"/>
              <w:rPr>
                <w:sz w:val="15"/>
                <w:szCs w:val="15"/>
                <w:color w:val="auto"/>
              </w:rPr>
            </w:pPr>
          </w:p>
        </w:tc>
      </w:tr>
      <w:tr>
        <w:trPr>
          <w:trHeight w:val="176"/>
        </w:trPr>
        <w:tc>
          <w:tcPr>
            <w:tcW w:w="7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416,897</w:t>
            </w:r>
          </w:p>
        </w:tc>
        <w:tc>
          <w:tcPr>
            <w:tcW w:w="100" w:type="dxa"/>
            <w:vAlign w:val="bottom"/>
          </w:tcPr>
          <w:p>
            <w:pPr>
              <w:spacing w:after="0"/>
              <w:rPr>
                <w:sz w:val="15"/>
                <w:szCs w:val="15"/>
                <w:color w:val="auto"/>
              </w:rPr>
            </w:pPr>
          </w:p>
        </w:tc>
      </w:tr>
      <w:tr>
        <w:trPr>
          <w:trHeight w:val="175"/>
        </w:trPr>
        <w:tc>
          <w:tcPr>
            <w:tcW w:w="774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(49,000 )</w:t>
            </w:r>
          </w:p>
        </w:tc>
        <w:tc>
          <w:tcPr>
            <w:tcW w:w="100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(288,218 )</w:t>
            </w:r>
          </w:p>
        </w:tc>
      </w:tr>
      <w:tr>
        <w:trPr>
          <w:trHeight w:val="20"/>
        </w:trPr>
        <w:tc>
          <w:tcPr>
            <w:tcW w:w="774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7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2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(14,784 )</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196,572</w:t>
            </w:r>
          </w:p>
        </w:tc>
        <w:tc>
          <w:tcPr>
            <w:tcW w:w="100" w:type="dxa"/>
            <w:vAlign w:val="bottom"/>
          </w:tcPr>
          <w:p>
            <w:pPr>
              <w:spacing w:after="0"/>
              <w:rPr>
                <w:sz w:val="14"/>
                <w:szCs w:val="14"/>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equivalents</w:t>
            </w:r>
          </w:p>
        </w:tc>
        <w:tc>
          <w:tcPr>
            <w:tcW w:w="1020" w:type="dxa"/>
            <w:vAlign w:val="bottom"/>
            <w:tcBorders>
              <w:top w:val="single" w:sz="8" w:color="auto"/>
            </w:tcBorders>
            <w:shd w:val="clear" w:color="auto" w:fill="CCECFF"/>
          </w:tcPr>
          <w:p>
            <w:pPr>
              <w:spacing w:after="0"/>
              <w:rPr>
                <w:sz w:val="14"/>
                <w:szCs w:val="14"/>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(24,390</w:t>
            </w:r>
          </w:p>
        </w:tc>
        <w:tc>
          <w:tcPr>
            <w:tcW w:w="26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tcBorders>
            <w:shd w:val="clear" w:color="auto" w:fill="CCECFF"/>
          </w:tcPr>
          <w:p>
            <w:pPr>
              <w:spacing w:after="0"/>
              <w:rPr>
                <w:sz w:val="14"/>
                <w:szCs w:val="14"/>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100" w:type="dxa"/>
            <w:vAlign w:val="bottom"/>
            <w:shd w:val="clear" w:color="auto" w:fill="CCECFF"/>
          </w:tcPr>
          <w:p>
            <w:pPr>
              <w:spacing w:after="0"/>
              <w:rPr>
                <w:sz w:val="14"/>
                <w:szCs w:val="14"/>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r>
      <w:tr>
        <w:trPr>
          <w:trHeight w:val="175"/>
        </w:trPr>
        <w:tc>
          <w:tcPr>
            <w:tcW w:w="7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20" w:type="dxa"/>
            <w:vAlign w:val="bottom"/>
            <w:tcBorders>
              <w:bottom w:val="single" w:sz="8" w:color="auto"/>
            </w:tcBorders>
            <w:shd w:val="clear" w:color="auto" w:fill="CCECFF"/>
          </w:tcPr>
          <w:p>
            <w:pPr>
              <w:spacing w:after="0"/>
              <w:rPr>
                <w:sz w:val="15"/>
                <w:szCs w:val="15"/>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tcBorders>
              <w:bottom w:val="single" w:sz="8" w:color="CCECFF"/>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spacing w:after="0"/>
              <w:rPr>
                <w:sz w:val="15"/>
                <w:szCs w:val="15"/>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28,556</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39,581</w:t>
            </w: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6"/>
        </w:trPr>
        <w:tc>
          <w:tcPr>
            <w:tcW w:w="77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12,248</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Taxes paid</w:t>
            </w:r>
          </w:p>
        </w:tc>
        <w:tc>
          <w:tcPr>
            <w:tcW w:w="1020" w:type="dxa"/>
            <w:vAlign w:val="bottom"/>
            <w:tcBorders>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299</w:t>
            </w:r>
          </w:p>
        </w:tc>
        <w:tc>
          <w:tcPr>
            <w:tcW w:w="26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695</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77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1020" w:type="dxa"/>
            <w:vAlign w:val="bottom"/>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(31,274 )</w:t>
            </w: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123444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16256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1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8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8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00" w:type="dxa"/>
            <w:vAlign w:val="bottom"/>
            <w:tcBorders>
              <w:top w:val="single" w:sz="8" w:color="auto"/>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w w:val="98"/>
              </w:rPr>
              <w:t>Investments in Non-Controlled, Non-Affiliated Portfolio Companies—</w:t>
            </w:r>
          </w:p>
        </w:tc>
        <w:tc>
          <w:tcPr>
            <w:tcW w:w="100" w:type="dxa"/>
            <w:vAlign w:val="bottom"/>
            <w:shd w:val="clear" w:color="auto" w:fill="CCECFF"/>
          </w:tcPr>
          <w:p>
            <w:pPr>
              <w:spacing w:after="0"/>
              <w:rPr>
                <w:sz w:val="8"/>
                <w:szCs w:val="8"/>
                <w:color w:val="auto"/>
              </w:rPr>
            </w:pPr>
          </w:p>
        </w:tc>
        <w:tc>
          <w:tcPr>
            <w:tcW w:w="74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2500" w:type="dxa"/>
            <w:vAlign w:val="bottom"/>
            <w:tcBorders>
              <w:top w:val="single" w:sz="8" w:color="auto"/>
            </w:tcBorders>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4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8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0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160" w:type="dxa"/>
            <w:vAlign w:val="bottom"/>
            <w:tcBorders>
              <w:top w:val="single" w:sz="8" w:color="auto"/>
            </w:tcBorders>
            <w:shd w:val="clear" w:color="auto" w:fill="CCECFF"/>
          </w:tcPr>
          <w:p>
            <w:pPr>
              <w:spacing w:after="0"/>
              <w:rPr>
                <w:sz w:val="8"/>
                <w:szCs w:val="8"/>
                <w:color w:val="auto"/>
              </w:rPr>
            </w:pPr>
          </w:p>
        </w:tc>
        <w:tc>
          <w:tcPr>
            <w:tcW w:w="580" w:type="dxa"/>
            <w:vAlign w:val="bottom"/>
            <w:tcBorders>
              <w:top w:val="single" w:sz="8" w:color="auto"/>
            </w:tcBorders>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tcBorders>
              <w:top w:val="single" w:sz="8" w:color="auto"/>
            </w:tcBorders>
            <w:shd w:val="clear" w:color="auto" w:fill="CCECFF"/>
          </w:tcPr>
          <w:p>
            <w:pPr>
              <w:spacing w:after="0"/>
              <w:rPr>
                <w:sz w:val="8"/>
                <w:szCs w:val="8"/>
                <w:color w:val="auto"/>
              </w:rPr>
            </w:pPr>
          </w:p>
        </w:tc>
        <w:tc>
          <w:tcPr>
            <w:tcW w:w="68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184.7% of Net Assets </w:t>
            </w:r>
            <w:r>
              <w:rPr>
                <w:rFonts w:ascii="Times New Roman" w:cs="Times New Roman" w:eastAsia="Times New Roman" w:hAnsi="Times New Roman"/>
                <w:sz w:val="14"/>
                <w:szCs w:val="14"/>
                <w:b w:val="1"/>
                <w:bCs w:val="1"/>
                <w:color w:val="auto"/>
                <w:vertAlign w:val="superscript"/>
              </w:rPr>
              <w:t>(1), (2)</w:t>
            </w: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5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Debt—122.1% of Net 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A1 Garage Merger Sub,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12/22/2028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11.12 %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11,215</w:t>
            </w:r>
          </w:p>
        </w:tc>
        <w:tc>
          <w:tcPr>
            <w:tcW w:w="3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10,998</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10,997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A1 Garage Merger Sub, LLC - Unfunded Term Loan</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12/21/2024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A1 Garage Merger Sub,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12/22/2028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2,532</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05/06/2026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10.84 %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05/06/2026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10.73 %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12/21/2023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05/23/2024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10.17 %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L+585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7.60 %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9.08 %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9.67 %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1,519</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04/21/2023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P+475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03/07/2028</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Berwick Industrial Park</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04/28/2023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07/01/2029</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9.37 %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4,895</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9.65 %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(48 )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10.06 %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(125 )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12/04/2025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9.60 %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10.58 %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34,315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33,680</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 -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10.58 %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02/09/2026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9.97 %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9.61 %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01/13/2023</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(71 )</w:t>
            </w: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10.16 %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2,568</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10.48 %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06/30/2023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11.73 %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8,755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12,897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12,720</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12,704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10.46 %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11/03/2025</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05/01/2028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11.88 %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9.50 %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EDS Buyer,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12/22/2028</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10.91 %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EDS Buyer, LLC - Unfunded Term Loan</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12/22/2028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EDS Buyer, LLC -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12/22/2028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03/15/2024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06/17/2028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9.48 %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10.63 %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16,723</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16,477</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16,221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10.57 %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10.23 %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08/10/2023</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10.51 %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9.79 %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11/23/2028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11/23/2027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10.73 %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(99 )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 -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9.69 %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HV Watterson Holdings, LLC - (Revolver)</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7.81 %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05/11/2028</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8.82 %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12/30/2026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11.73 %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12/30/2026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(146 )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IG Investments Holdings,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09/22/2027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10.39 %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09/22/2027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40"/>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12/07/2023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11.95 %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20,454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ind w:left="10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26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9"/>
                <w:szCs w:val="9"/>
                <w:color w:val="auto"/>
              </w:rPr>
            </w:pPr>
          </w:p>
        </w:tc>
        <w:tc>
          <w:tcPr>
            <w:tcW w:w="66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60" w:type="dxa"/>
            <w:vAlign w:val="bottom"/>
          </w:tcPr>
          <w:p>
            <w:pPr>
              <w:spacing w:after="0"/>
              <w:rPr>
                <w:sz w:val="14"/>
                <w:szCs w:val="14"/>
                <w:color w:val="auto"/>
              </w:rPr>
            </w:pP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40" w:type="dxa"/>
            <w:vAlign w:val="bottom"/>
          </w:tcPr>
          <w:p>
            <w:pPr>
              <w:spacing w:after="0"/>
              <w:rPr>
                <w:sz w:val="14"/>
                <w:szCs w:val="14"/>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6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12/28/2028</w:t>
            </w:r>
          </w:p>
        </w:tc>
        <w:tc>
          <w:tcPr>
            <w:tcW w:w="80" w:type="dxa"/>
            <w:vAlign w:val="bottom"/>
            <w:shd w:val="clear" w:color="auto" w:fill="CCECFF"/>
          </w:tcPr>
          <w:p>
            <w:pPr>
              <w:spacing w:after="0"/>
              <w:rPr>
                <w:sz w:val="12"/>
                <w:szCs w:val="12"/>
                <w:color w:val="auto"/>
              </w:rPr>
            </w:pPr>
          </w:p>
        </w:tc>
        <w:tc>
          <w:tcPr>
            <w:tcW w:w="30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6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11.40</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L+685</w:t>
            </w:r>
          </w:p>
        </w:tc>
        <w:tc>
          <w:tcPr>
            <w:tcW w:w="140" w:type="dxa"/>
            <w:vAlign w:val="bottom"/>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6,136</w:t>
            </w:r>
          </w:p>
        </w:tc>
        <w:tc>
          <w:tcPr>
            <w:tcW w:w="12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6,014</w:t>
            </w:r>
          </w:p>
        </w:tc>
        <w:tc>
          <w:tcPr>
            <w:tcW w:w="140" w:type="dxa"/>
            <w:vAlign w:val="bottom"/>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Infinity Home Services Holdco, Inc. - Unfunded Term Loan</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12/28/2023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Infinity Home Services Holdco, Inc.(Revolver)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12/28/2028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11/01/2023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08/27/2025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9,880</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10.08 %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12/20/2023</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10,955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10,917</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12/20/2023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11/10/2027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24,280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23,771</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11/10/2026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10.73 %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02/18/2027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2,777</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08/16/2026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11.58 %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08/16/2026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10/31/2024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10.23 %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(PIK 5.50%)</w:t>
            </w:r>
          </w:p>
        </w:tc>
        <w:tc>
          <w:tcPr>
            <w:tcW w:w="6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10.98 %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9,154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11/09/2026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9.88 %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Limerick Town Cener,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09/27/2023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12.50 %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03/31/2029</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5,706</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05/14/2026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10.23 %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05/14/2026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04/16/2027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10.49 %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20,287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19,949</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10.26 %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9.70 %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8.91 %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 Unfunded Term Loan 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06/16/2023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 Unfunded Term Loan B</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12/16/2024</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9.83 %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08/19/2026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Neptune Flood Incorporated</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10/14/2026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3,871</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05/07/2027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10.63 %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09/03/2027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4,370</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09/03/2027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15,352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15,164</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10.84 %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11/09/2027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(81 )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 Events,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08/07/2025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21,694</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(PIK 10.5%)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08/07/2025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10.33 %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LLC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7,193</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10.33 %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8.11 %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10.84 %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09/09/2024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8.98 %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21,401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09/09/2024</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03/31/2025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9.19 %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03/31/2025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12/18/2025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10.48 %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 - Unfunded Term Loan</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12/18/2025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12/18/2025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02/28/2028</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10.42 %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5,888</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01/29/2026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06/20/2025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03/10/2025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12,873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12,692</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01/03/2025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4,629</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10.42 %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(PIK 0.5%)</w:t>
            </w:r>
          </w:p>
        </w:tc>
        <w:tc>
          <w:tcPr>
            <w:tcW w:w="6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06/13/2029</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4,720</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Seaway Buyer, LLC (Revolver)</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06/13/2029</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tcPr>
          <w:p>
            <w:pPr>
              <w:spacing w:after="0"/>
              <w:rPr>
                <w:sz w:val="12"/>
                <w:szCs w:val="12"/>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Shiftkey,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06/21/2027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10.59 %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17,910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17,747</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tcPr>
          <w:p>
            <w:pPr>
              <w:jc w:val="right"/>
              <w:ind w:right="28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40" w:type="dxa"/>
            <w:vAlign w:val="bottom"/>
          </w:tcPr>
          <w:p>
            <w:pPr>
              <w:spacing w:after="0"/>
              <w:rPr>
                <w:sz w:val="9"/>
                <w:szCs w:val="9"/>
                <w:color w:val="auto"/>
              </w:rPr>
            </w:pPr>
          </w:p>
        </w:tc>
        <w:tc>
          <w:tcPr>
            <w:tcW w:w="72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92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40" w:type="dxa"/>
            <w:vAlign w:val="bottom"/>
          </w:tcPr>
          <w:p>
            <w:pPr>
              <w:spacing w:after="0"/>
              <w:rPr>
                <w:sz w:val="14"/>
                <w:szCs w:val="14"/>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60" w:type="dxa"/>
            <w:vAlign w:val="bottom"/>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rPr>
              <w:t>12/18/2025</w:t>
            </w:r>
          </w:p>
        </w:tc>
        <w:tc>
          <w:tcPr>
            <w:tcW w:w="200" w:type="dxa"/>
            <w:vAlign w:val="bottom"/>
            <w:shd w:val="clear" w:color="auto" w:fill="CCECFF"/>
          </w:tcPr>
          <w:p>
            <w:pPr>
              <w:spacing w:after="0"/>
              <w:rPr>
                <w:sz w:val="12"/>
                <w:szCs w:val="12"/>
                <w:color w:val="auto"/>
              </w:rPr>
            </w:pPr>
          </w:p>
        </w:tc>
        <w:tc>
          <w:tcPr>
            <w:tcW w:w="25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14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31,476</w:t>
            </w:r>
          </w:p>
        </w:tc>
        <w:tc>
          <w:tcPr>
            <w:tcW w:w="1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30,850</w:t>
            </w:r>
          </w:p>
        </w:tc>
        <w:tc>
          <w:tcPr>
            <w:tcW w:w="160" w:type="dxa"/>
            <w:vAlign w:val="bottom"/>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30,847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 (Revolver)</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12/18/2025</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13.23 %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12/18/2025</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05/03/2024</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01/17/2024</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03/01/2028</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10.17 %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9,680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03/01/2023</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(71 )</w:t>
            </w: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 - Funded Revolver</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03/01/2028</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10.17 %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03/01/2028</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21"/>
        </w:trPr>
        <w:tc>
          <w:tcPr>
            <w:tcW w:w="34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System Planning and Analysis, Inc. - (Revolver) </w:t>
            </w:r>
            <w:r>
              <w:rPr>
                <w:rFonts w:ascii="Times New Roman" w:cs="Times New Roman" w:eastAsia="Times New Roman" w:hAnsi="Times New Roman"/>
                <w:sz w:val="14"/>
                <w:szCs w:val="14"/>
                <w:color w:val="auto"/>
                <w:vertAlign w:val="superscript"/>
              </w:rPr>
              <w:t>(7)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08/16/2027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07/27/2026</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10.92 %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4,777</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07/27/2026</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08/30/2027</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9.39 %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1,734</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08/30/2027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9"/>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 (Revolver)</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08/30/2027</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08/30/2027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03/26/2026</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12,628</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03/26/2026</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06/16/2025</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06/16/2025</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04/01/2026</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05/24/2027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9.98 %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36,741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Unique Indoor Comfort, LLC </w:t>
            </w:r>
            <w:r>
              <w:rPr>
                <w:rFonts w:ascii="Times New Roman" w:cs="Times New Roman" w:eastAsia="Times New Roman" w:hAnsi="Times New Roman"/>
                <w:sz w:val="14"/>
                <w:szCs w:val="14"/>
                <w:color w:val="auto"/>
                <w:vertAlign w:val="superscript"/>
              </w:rPr>
              <w:t>(7)</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05/24/2027</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(105 )</w:t>
            </w: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05/24/2027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(78 )</w:t>
            </w: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Walker Edison Furniture Company LLC</w:t>
            </w:r>
            <w:r>
              <w:rPr>
                <w:rFonts w:ascii="Times New Roman" w:cs="Times New Roman" w:eastAsia="Times New Roman" w:hAnsi="Times New Roman"/>
                <w:sz w:val="14"/>
                <w:szCs w:val="14"/>
                <w:color w:val="auto"/>
                <w:vertAlign w:val="superscript"/>
              </w:rPr>
              <w:t>(6)</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03/31/2027</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25,369</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24,881</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02/27/2026</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10.21 %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 (Revolver)</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02/27/2026</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10.12 %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L+585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02/27/2026</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640" w:type="dxa"/>
            <w:vAlign w:val="bottom"/>
            <w:tcBorders>
              <w:bottom w:val="single" w:sz="8" w:color="CCECFF"/>
            </w:tcBorders>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03/01/2024</w:t>
            </w:r>
          </w:p>
        </w:tc>
        <w:tc>
          <w:tcPr>
            <w:tcW w:w="20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96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11.53 %</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8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2,624</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632,198</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614,127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Debt—26.0% of Net Assets</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Ascensus Holdings, Inc.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08/02/2028</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10.25 %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05/07/2029</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14.20 %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16,563</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13,192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06/29/2027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13.73 %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07/28/2030</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13.16 %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7,858</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04/03/2024</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12.92 %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08/19/2029</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12.23 %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7,434</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07/06/2026</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12.63 %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09/29/2024</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16,411</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02/04/2027</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14.29 %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640" w:type="dxa"/>
            <w:vAlign w:val="bottom"/>
            <w:tcBorders>
              <w:bottom w:val="single" w:sz="8" w:color="CCECFF"/>
            </w:tcBorders>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08/17/2026</w:t>
            </w:r>
          </w:p>
        </w:tc>
        <w:tc>
          <w:tcPr>
            <w:tcW w:w="200" w:type="dxa"/>
            <w:vAlign w:val="bottom"/>
            <w:tcBorders>
              <w:bottom w:val="single" w:sz="8" w:color="CCECFF"/>
            </w:tcBorders>
            <w:shd w:val="clear" w:color="auto" w:fill="CCECFF"/>
          </w:tcPr>
          <w:p>
            <w:pPr>
              <w:spacing w:after="0"/>
              <w:rPr>
                <w:sz w:val="13"/>
                <w:szCs w:val="13"/>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11.13 %</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8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14,935</w:t>
            </w:r>
          </w:p>
        </w:tc>
        <w:tc>
          <w:tcPr>
            <w:tcW w:w="16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136,043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130,757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Notes—10.6% of Net Assets</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Express Wash Acquisition Company, LLC</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01/15/2029</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16.34 %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L+1,150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640" w:type="dxa"/>
            <w:vAlign w:val="bottom"/>
            <w:tcBorders>
              <w:bottom w:val="single" w:sz="8" w:color="CCECFF"/>
            </w:tcBorders>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05/26/2027</w:t>
            </w:r>
          </w:p>
        </w:tc>
        <w:tc>
          <w:tcPr>
            <w:tcW w:w="200" w:type="dxa"/>
            <w:vAlign w:val="bottom"/>
            <w:tcBorders>
              <w:bottom w:val="single" w:sz="8" w:color="CCECFF"/>
            </w:tcBorders>
            <w:shd w:val="clear" w:color="auto" w:fill="CCECFF"/>
          </w:tcPr>
          <w:p>
            <w:pPr>
              <w:spacing w:after="0"/>
              <w:rPr>
                <w:sz w:val="13"/>
                <w:szCs w:val="13"/>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6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12.50 %</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34,000</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33,223</w:t>
            </w:r>
          </w:p>
        </w:tc>
        <w:tc>
          <w:tcPr>
            <w:tcW w:w="16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32,980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53,519</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53,245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Interests—1.5%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Intermediate Holdings II, Inc.</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6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6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5,027</w:t>
            </w:r>
          </w:p>
        </w:tc>
        <w:tc>
          <w:tcPr>
            <w:tcW w:w="16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7,701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w w:val="98"/>
              </w:rPr>
              <w:t xml:space="preserve">Common Equity/Partnership Interests/Warrants—24.5% of Net Assets </w:t>
            </w:r>
            <w:r>
              <w:rPr>
                <w:rFonts w:ascii="Times New Roman" w:cs="Times New Roman" w:eastAsia="Times New Roman" w:hAnsi="Times New Roman"/>
                <w:sz w:val="14"/>
                <w:szCs w:val="14"/>
                <w:b w:val="1"/>
                <w:bCs w:val="1"/>
                <w:color w:val="auto"/>
                <w:w w:val="98"/>
                <w:vertAlign w:val="superscript"/>
              </w:rPr>
              <w:t>(6)</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A1 Garage Equity, LLC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2,193,038</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04/10/2024</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AMCSI Crash Co-Invest, LP</w:t>
            </w:r>
          </w:p>
        </w:tc>
        <w:tc>
          <w:tcPr>
            <w:tcW w:w="6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2,489,777</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AMCSI Crash Co-Invest, LP </w:t>
            </w:r>
            <w:r>
              <w:rPr>
                <w:rFonts w:ascii="Times New Roman" w:cs="Times New Roman" w:eastAsia="Times New Roman" w:hAnsi="Times New Roman"/>
                <w:sz w:val="14"/>
                <w:szCs w:val="14"/>
                <w:color w:val="auto"/>
                <w:vertAlign w:val="superscript"/>
              </w:rPr>
              <w:t>(7)</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510,223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Athletico Holdings, LLC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Atlas Investment Aggregator, LLC</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3,562,500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CI (Allied) Investment Holdings, LLC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6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Cowboy Parent LLC</w:t>
            </w:r>
          </w:p>
        </w:tc>
        <w:tc>
          <w:tcPr>
            <w:tcW w:w="6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26,360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-4683125</wp:posOffset>
            </wp:positionV>
            <wp:extent cx="68580"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-4683125</wp:posOffset>
            </wp:positionV>
            <wp:extent cx="6858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-3534410</wp:posOffset>
            </wp:positionV>
            <wp:extent cx="6858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-3534410</wp:posOffset>
            </wp:positionV>
            <wp:extent cx="68580"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-3140075</wp:posOffset>
            </wp:positionV>
            <wp:extent cx="6858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-3140075</wp:posOffset>
            </wp:positionV>
            <wp:extent cx="68580"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-1794510</wp:posOffset>
            </wp:positionV>
            <wp:extent cx="6858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-1794510</wp:posOffset>
            </wp:positionV>
            <wp:extent cx="6858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5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5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9"/>
                <w:szCs w:val="9"/>
                <w:color w:val="auto"/>
              </w:rPr>
            </w:pPr>
          </w:p>
        </w:tc>
        <w:tc>
          <w:tcPr>
            <w:tcW w:w="72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4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40" w:type="dxa"/>
            <w:vAlign w:val="bottom"/>
          </w:tcPr>
          <w:p>
            <w:pPr>
              <w:spacing w:after="0"/>
              <w:rPr>
                <w:sz w:val="14"/>
                <w:szCs w:val="14"/>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40" w:type="dxa"/>
            <w:vAlign w:val="bottom"/>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6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60" w:type="dxa"/>
            <w:vAlign w:val="bottom"/>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Delta InvestCo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698,889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442,155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EDS Topco,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937,500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Express Wash Topco,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658,000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2,199</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TVC Coinvest,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Go Dawgs Capital III, LP</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V C, L.P.</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1,111,111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(43 )</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IHS Parent Holdngs, L.P.</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1,218,045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Axle, Inc.)</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Ironclad Holdco,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ITC Infusion Co-invest,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162,445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ITC Rumba,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JWC-WE Holdings,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1,308,814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1,309</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KL Stockton Co-Invest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Lorient Peregrine Investments,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335,590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30,993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NEPRT Parent Holdings,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North Haven Saints Equity Holdings,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NXOF Holdings, Inc.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446,250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PennantPark-TSO Senior Loan Fund II, LP</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15,038,871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1,918,047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ProFrac Holdings Corp.</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Quad (U.S.) Co-Invest, L.P.</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2,771,739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2,772</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w:t>
            </w:r>
          </w:p>
        </w:tc>
        <w:tc>
          <w:tcPr>
            <w:tcW w:w="40" w:type="dxa"/>
            <w:vAlign w:val="bottom"/>
            <w:shd w:val="clear" w:color="auto" w:fill="CCECFF"/>
          </w:tcPr>
          <w:p>
            <w:pPr>
              <w:spacing w:after="0"/>
              <w:rPr>
                <w:sz w:val="12"/>
                <w:szCs w:val="12"/>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Seaway Topco,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StellPen Holdings, LLC</w:t>
            </w:r>
          </w:p>
        </w:tc>
        <w:tc>
          <w:tcPr>
            <w:tcW w:w="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6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153,846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(CF512, Inc.)</w:t>
            </w:r>
          </w:p>
        </w:tc>
        <w:tc>
          <w:tcPr>
            <w:tcW w:w="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4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6"/>
                <w:szCs w:val="16"/>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40" w:type="dxa"/>
            <w:vAlign w:val="bottom"/>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533,903</w:t>
            </w:r>
          </w:p>
        </w:tc>
        <w:tc>
          <w:tcPr>
            <w:tcW w:w="1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4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361,541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WCP Ivyrehab QP CF Feeder, LP</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3,762,257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3,696</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Parent, LP</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103,150</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123,058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929,937</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928,888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3"/>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Companies—7.1% of Net Assets </w:t>
            </w:r>
            <w:r>
              <w:rPr>
                <w:rFonts w:ascii="Times New Roman" w:cs="Times New Roman" w:eastAsia="Times New Roman" w:hAnsi="Times New Roman"/>
                <w:sz w:val="14"/>
                <w:szCs w:val="14"/>
                <w:b w:val="1"/>
                <w:bCs w:val="1"/>
                <w:color w:val="auto"/>
                <w:vertAlign w:val="superscript"/>
              </w:rPr>
              <w:t>(1), (2)</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Preferred Equity/Partnership Interests—6.7% of Net Assets</w:t>
            </w:r>
            <w:r>
              <w:rPr>
                <w:rFonts w:ascii="Times New Roman" w:cs="Times New Roman" w:eastAsia="Times New Roman" w:hAnsi="Times New Roman"/>
                <w:sz w:val="14"/>
                <w:szCs w:val="14"/>
                <w:b w:val="1"/>
                <w:bCs w:val="1"/>
                <w:color w:val="auto"/>
                <w:vertAlign w:val="superscript"/>
              </w:rPr>
              <w:t>(6)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5,887,236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 - Series B</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33,610</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33,610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Interests/Warrants—0.4%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JF Intermediate,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4,821</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38,431</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20" w:type="dxa"/>
            <w:vAlign w:val="bottom"/>
            <w:shd w:val="clear" w:color="auto" w:fill="CCECFF"/>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Investments in Controlled, Affiliated Portfolio Companies—46.0% of Net</w:t>
            </w:r>
          </w:p>
        </w:tc>
        <w:tc>
          <w:tcPr>
            <w:tcW w:w="6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220" w:type="dxa"/>
            <w:vAlign w:val="bottom"/>
            <w:shd w:val="clear" w:color="auto" w:fill="CCECFF"/>
          </w:tcPr>
          <w:p>
            <w:pPr>
              <w:spacing w:after="0"/>
              <w:rPr>
                <w:sz w:val="9"/>
                <w:szCs w:val="9"/>
                <w:color w:val="auto"/>
              </w:rPr>
            </w:pPr>
          </w:p>
        </w:tc>
        <w:tc>
          <w:tcPr>
            <w:tcW w:w="4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C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Assets</w:t>
            </w:r>
            <w:r>
              <w:rPr>
                <w:rFonts w:ascii="Times New Roman" w:cs="Times New Roman" w:eastAsia="Times New Roman" w:hAnsi="Times New Roman"/>
                <w:sz w:val="7"/>
                <w:szCs w:val="7"/>
                <w:b w:val="1"/>
                <w:bCs w:val="1"/>
                <w:color w:val="auto"/>
              </w:rPr>
              <w:t xml:space="preserve"> (1), (2)</w:t>
            </w:r>
          </w:p>
        </w:tc>
        <w:tc>
          <w:tcPr>
            <w:tcW w:w="6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Debt—9.4%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Borders>
              <w:bottom w:val="single" w:sz="8" w:color="CCECFF"/>
            </w:tcBorders>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Borders>
              <w:bottom w:val="single" w:sz="8" w:color="CCECFF"/>
            </w:tcBorders>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03/13/2024</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tcBorders>
              <w:bottom w:val="single" w:sz="8" w:color="CCECFF"/>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9.85 %</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0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39,190</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53,923</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47,141</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53,923</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 of Net Assets</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04/23/2025</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top w:val="single" w:sz="8" w:color="auto"/>
              <w:bottom w:val="single" w:sz="8" w:color="auto"/>
            </w:tcBorders>
            <w:shd w:val="clear" w:color="auto" w:fill="CCECFF"/>
          </w:tcPr>
          <w:p>
            <w:pPr>
              <w:spacing w:after="0"/>
              <w:rPr>
                <w:sz w:val="12"/>
                <w:szCs w:val="12"/>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Debt—19.0%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Borders>
              <w:bottom w:val="single" w:sz="8" w:color="CCECFF"/>
            </w:tcBorders>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tcBorders>
              <w:bottom w:val="single" w:sz="8" w:color="CCECFF"/>
            </w:tcBorders>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07/31/2027</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80" w:type="dxa"/>
            <w:vAlign w:val="bottom"/>
            <w:tcBorders>
              <w:bottom w:val="single" w:sz="8" w:color="CCECFF"/>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12.44 %</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95,351</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95,351</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95,351</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95,351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Common Equity—17.7%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PennantPark Senior Loan Fund,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54,058,415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20" w:type="dxa"/>
            <w:vAlign w:val="bottom"/>
            <w:tcBorders>
              <w:bottom w:val="single" w:sz="8" w:color="CCECFF"/>
            </w:tcBorders>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6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4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31,941</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233,477</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89,076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395,134</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231,568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Investments—237.8%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1,363,502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1,196,035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Equivalents—5.7% of Net Assets</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28,558</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Equivalents—243.5% of Net Assets</w:t>
            </w:r>
          </w:p>
        </w:tc>
        <w:tc>
          <w:tcPr>
            <w:tcW w:w="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22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1,392,060</w:t>
            </w:r>
          </w:p>
        </w:tc>
        <w:tc>
          <w:tcPr>
            <w:tcW w:w="14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1,224,591</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Assets—(143.5%) of Net Assets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(721,682 )</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0" w:type="dxa"/>
            <w:vAlign w:val="bottom"/>
            <w:tcBorders>
              <w:bottom w:val="single" w:sz="8" w:color="CCECFF"/>
            </w:tcBorders>
            <w:shd w:val="clear" w:color="auto" w:fill="CCECFF"/>
          </w:tcPr>
          <w:p>
            <w:pPr>
              <w:spacing w:after="0"/>
              <w:rPr>
                <w:sz w:val="16"/>
                <w:szCs w:val="16"/>
                <w:color w:val="auto"/>
              </w:rPr>
            </w:pPr>
          </w:p>
        </w:tc>
        <w:tc>
          <w:tcPr>
            <w:tcW w:w="60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40" w:type="dxa"/>
            <w:vAlign w:val="bottom"/>
            <w:tcBorders>
              <w:bottom w:val="single" w:sz="8" w:color="CCECFF"/>
            </w:tcBorders>
            <w:shd w:val="clear" w:color="auto" w:fill="CCECFF"/>
          </w:tcPr>
          <w:p>
            <w:pPr>
              <w:spacing w:after="0"/>
              <w:rPr>
                <w:sz w:val="16"/>
                <w:szCs w:val="16"/>
                <w:color w:val="auto"/>
              </w:rPr>
            </w:pPr>
          </w:p>
        </w:tc>
        <w:tc>
          <w:tcPr>
            <w:tcW w:w="82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502,909</w:t>
            </w:r>
          </w:p>
        </w:tc>
        <w:tc>
          <w:tcPr>
            <w:tcW w:w="1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-3685540</wp:posOffset>
            </wp:positionV>
            <wp:extent cx="6858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-3093720</wp:posOffset>
            </wp:positionV>
            <wp:extent cx="6858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-2700020</wp:posOffset>
            </wp:positionV>
            <wp:extent cx="6858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-2228215</wp:posOffset>
            </wp:positionV>
            <wp:extent cx="6858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-1824990</wp:posOffset>
            </wp:positionV>
            <wp:extent cx="6858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-1628140</wp:posOffset>
            </wp:positionV>
            <wp:extent cx="6858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-1045210</wp:posOffset>
            </wp:positionV>
            <wp:extent cx="68580"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-839470</wp:posOffset>
            </wp:positionV>
            <wp:extent cx="6858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-445135</wp:posOffset>
            </wp:positionV>
            <wp:extent cx="6858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-239395</wp:posOffset>
            </wp:positionV>
            <wp:extent cx="65976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976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380" w:right="22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20" w:hanging="372"/>
        <w:spacing w:after="0" w:line="241"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7"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80% of the Company’s total assets and non-qualifying assets represent 20% of the Company’s total assets.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1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8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8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00" w:type="dxa"/>
            <w:vAlign w:val="bottom"/>
            <w:tcBorders>
              <w:top w:val="single" w:sz="8" w:color="auto"/>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w w:val="98"/>
              </w:rPr>
              <w:t>Investments in Non-Controlled, Non-Affiliated Portfolio Companies—</w:t>
            </w:r>
          </w:p>
        </w:tc>
        <w:tc>
          <w:tcPr>
            <w:tcW w:w="100" w:type="dxa"/>
            <w:vAlign w:val="bottom"/>
            <w:shd w:val="clear" w:color="auto" w:fill="CCECFF"/>
          </w:tcPr>
          <w:p>
            <w:pPr>
              <w:spacing w:after="0"/>
              <w:rPr>
                <w:sz w:val="8"/>
                <w:szCs w:val="8"/>
                <w:color w:val="auto"/>
              </w:rPr>
            </w:pPr>
          </w:p>
        </w:tc>
        <w:tc>
          <w:tcPr>
            <w:tcW w:w="74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2500" w:type="dxa"/>
            <w:vAlign w:val="bottom"/>
            <w:tcBorders>
              <w:top w:val="single" w:sz="8" w:color="auto"/>
            </w:tcBorders>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4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8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0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160" w:type="dxa"/>
            <w:vAlign w:val="bottom"/>
            <w:tcBorders>
              <w:top w:val="single" w:sz="8" w:color="auto"/>
            </w:tcBorders>
            <w:shd w:val="clear" w:color="auto" w:fill="CCECFF"/>
          </w:tcPr>
          <w:p>
            <w:pPr>
              <w:spacing w:after="0"/>
              <w:rPr>
                <w:sz w:val="8"/>
                <w:szCs w:val="8"/>
                <w:color w:val="auto"/>
              </w:rPr>
            </w:pPr>
          </w:p>
        </w:tc>
        <w:tc>
          <w:tcPr>
            <w:tcW w:w="580" w:type="dxa"/>
            <w:vAlign w:val="bottom"/>
            <w:tcBorders>
              <w:top w:val="single" w:sz="8" w:color="auto"/>
            </w:tcBorders>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tcBorders>
              <w:top w:val="single" w:sz="8" w:color="auto"/>
            </w:tcBorders>
            <w:shd w:val="clear" w:color="auto" w:fill="CCECFF"/>
          </w:tcPr>
          <w:p>
            <w:pPr>
              <w:spacing w:after="0"/>
              <w:rPr>
                <w:sz w:val="8"/>
                <w:szCs w:val="8"/>
                <w:color w:val="auto"/>
              </w:rPr>
            </w:pPr>
          </w:p>
        </w:tc>
        <w:tc>
          <w:tcPr>
            <w:tcW w:w="68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159.2% of Net Assets </w:t>
            </w:r>
            <w:r>
              <w:rPr>
                <w:rFonts w:ascii="Times New Roman" w:cs="Times New Roman" w:eastAsia="Times New Roman" w:hAnsi="Times New Roman"/>
                <w:sz w:val="14"/>
                <w:szCs w:val="14"/>
                <w:b w:val="1"/>
                <w:bCs w:val="1"/>
                <w:color w:val="auto"/>
                <w:vertAlign w:val="superscript"/>
              </w:rPr>
              <w:t>(1), (2)</w:t>
            </w: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5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Debt—100.5% of Net 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05/06/2026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3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11.67 %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07/24/2025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12/21/2023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7.79 %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05/23/2024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8.15 %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07/21/2027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7.60 %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9.08 %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6.72 %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07/31/2025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7.59 %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04/21/2023</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P+475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12/29/2026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03/07/2028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Berwick Industrial Park</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04/28/2023</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3,953</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07/01/2029</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7.56 %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09/17/2024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(77 )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12/02/2022</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7.39 %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9.55 %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39,401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 -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9.55 %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Cartessa Aesthetics, LLC -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05/13/2028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9.30 %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6,630</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08/20/2026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02/09/2026</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7.48 %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8.92 %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02/07/2025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01/13/2023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07/13/2027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8.40 %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8.87 %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08/16/2027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06/30/2023</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10.67 %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08/27/2026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8.95 %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08/31/2027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11/03/2025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05/01/2028</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10.62 %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19,019</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7.93 %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12/23/2025</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8.87 %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03/15/2024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(111 )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8.87 %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03/15/2027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06/17/2028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9.37 %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16,809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16,548</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9.37 %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05/14/2026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08/10/2023</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 (Revolver)</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9.16 %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08/10/2027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12/31/2022</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7.82 %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11/23/2028</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11/23/2027</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9.67 %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 - (Revolver)</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9.63 %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HV Watterson Holdings, LLC - (Revolver)</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12/17/2026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6.00 %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10,188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12/10/2024</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05/11/2028</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7.55 %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12/30/2026</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10.70 %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12/30/2026</w:t>
            </w:r>
          </w:p>
        </w:tc>
        <w:tc>
          <w:tcPr>
            <w:tcW w:w="100" w:type="dxa"/>
            <w:vAlign w:val="bottom"/>
            <w:shd w:val="clear" w:color="auto" w:fill="CCECFF"/>
          </w:tcPr>
          <w:p>
            <w:pPr>
              <w:spacing w:after="0"/>
              <w:rPr>
                <w:sz w:val="13"/>
                <w:szCs w:val="13"/>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1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(187 )</w:t>
            </w:r>
          </w:p>
        </w:tc>
        <w:tc>
          <w:tcPr>
            <w:tcW w:w="0" w:type="dxa"/>
            <w:vAlign w:val="bottom"/>
          </w:tcPr>
          <w:p>
            <w:pPr>
              <w:spacing w:after="0"/>
              <w:rPr>
                <w:sz w:val="1"/>
                <w:szCs w:val="1"/>
                <w:color w:val="auto"/>
              </w:rPr>
            </w:pPr>
          </w:p>
        </w:tc>
      </w:tr>
      <w:tr>
        <w:trPr>
          <w:trHeight w:val="149"/>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09/22/2027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48"/>
        </w:trPr>
        <w:tc>
          <w:tcPr>
            <w:tcW w:w="33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11/15/2027</w:t>
            </w:r>
          </w:p>
        </w:tc>
        <w:tc>
          <w:tcPr>
            <w:tcW w:w="1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49"/>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8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12/07/2023</w:t>
            </w:r>
          </w:p>
        </w:tc>
        <w:tc>
          <w:tcPr>
            <w:tcW w:w="10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10.18 %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20,506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20,239</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ind w:left="10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9"/>
                <w:szCs w:val="9"/>
                <w:color w:val="auto"/>
              </w:rPr>
            </w:pPr>
          </w:p>
        </w:tc>
        <w:tc>
          <w:tcPr>
            <w:tcW w:w="66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8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40" w:type="dxa"/>
            <w:vAlign w:val="bottom"/>
          </w:tcPr>
          <w:p>
            <w:pPr>
              <w:spacing w:after="0"/>
              <w:rPr>
                <w:sz w:val="14"/>
                <w:szCs w:val="14"/>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6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11/01/2023</w:t>
            </w:r>
          </w:p>
        </w:tc>
        <w:tc>
          <w:tcPr>
            <w:tcW w:w="80" w:type="dxa"/>
            <w:vAlign w:val="bottom"/>
            <w:shd w:val="clear" w:color="auto" w:fill="CCECFF"/>
          </w:tcPr>
          <w:p>
            <w:pPr>
              <w:spacing w:after="0"/>
              <w:rPr>
                <w:sz w:val="12"/>
                <w:szCs w:val="12"/>
                <w:color w:val="auto"/>
              </w:rPr>
            </w:pPr>
          </w:p>
        </w:tc>
        <w:tc>
          <w:tcPr>
            <w:tcW w:w="30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12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08/27/2025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7.83 %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8.67 %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8,784</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8.25 %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03/03/2028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12/20/2023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11.12 %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12/20/2023</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11/10/2027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9.67 %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23,807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11/10/2026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9.67 %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02/18/2027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11.78 %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08/16/2026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9.38 %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08/16/2026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10/31/2024</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9.95 %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2,061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(PIK 5.50%)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11/09/2026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9.92 %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9,177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9,021</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8.87 %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8.87 %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02/03/2026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Limerick Town Cener,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09/27/2023</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12.50 %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03/31/2029</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9.37 %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5,772</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05/14/2026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04/16/2027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8.98 %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07/25/2028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9.17 %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12/10/2027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8.67 %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7.25 %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09/28/2027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08/19/2026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Neptune Flood Incorporated</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10/14/2026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7.10 %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07/09/2026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05/07/2027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8.77 %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09/03/2027</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8.92 %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4,378</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09/03/2027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9.81 %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15,189</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9.81 %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05/18/2026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11/09/2027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(81 )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 Events, Inc.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08/07/2025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14.17 %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21,694</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(PIK 10.5%)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08/07/2025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9.30 %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35,340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LLC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7,193</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9.30 %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07/06/2028</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8.00 %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9.51 %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09/09/2024</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7.45 %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21,600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21,436</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09/09/2024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(72 )</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03/31/2025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8.28 %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03/31/2025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12/18/2025</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12/18/2025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02/28/2028</w:t>
            </w:r>
          </w:p>
        </w:tc>
        <w:tc>
          <w:tcPr>
            <w:tcW w:w="80" w:type="dxa"/>
            <w:vAlign w:val="bottom"/>
            <w:shd w:val="clear" w:color="auto" w:fill="CCECFF"/>
          </w:tcPr>
          <w:p>
            <w:pPr>
              <w:spacing w:after="0"/>
              <w:rPr>
                <w:sz w:val="12"/>
                <w:szCs w:val="12"/>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9.13 %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01/29/2026</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9.92 %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01/29/2026</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8.84 %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06/20/2025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03/10/2025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8.97 %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01/03/2025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8.28 %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12/20/2024</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11.11 %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9.09 %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(PIK 0.5%)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07/14/2025</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06/13/2029</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9.70 %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Seaway Buyer, LLC (Revolver)</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1"/>
                <w:szCs w:val="11"/>
                <w:color w:val="auto"/>
              </w:rPr>
              <w:t>06/13/2029</w:t>
            </w:r>
          </w:p>
        </w:tc>
        <w:tc>
          <w:tcPr>
            <w:tcW w:w="80" w:type="dxa"/>
            <w:vAlign w:val="bottom"/>
            <w:shd w:val="clear" w:color="auto" w:fill="CCECFF"/>
          </w:tcPr>
          <w:p>
            <w:pPr>
              <w:spacing w:after="0"/>
              <w:rPr>
                <w:sz w:val="13"/>
                <w:szCs w:val="13"/>
                <w:color w:val="auto"/>
              </w:rPr>
            </w:pPr>
          </w:p>
        </w:tc>
        <w:tc>
          <w:tcPr>
            <w:tcW w:w="3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Shiftkey, LLC</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06/21/2027</w:t>
            </w:r>
          </w:p>
        </w:tc>
        <w:tc>
          <w:tcPr>
            <w:tcW w:w="80" w:type="dxa"/>
            <w:vAlign w:val="bottom"/>
          </w:tcPr>
          <w:p>
            <w:pPr>
              <w:spacing w:after="0"/>
              <w:rPr>
                <w:sz w:val="12"/>
                <w:szCs w:val="1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9.56 %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32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60" w:type="dxa"/>
            <w:vAlign w:val="bottom"/>
          </w:tcPr>
          <w:p>
            <w:pPr>
              <w:spacing w:after="0"/>
              <w:rPr>
                <w:sz w:val="9"/>
                <w:szCs w:val="9"/>
                <w:color w:val="auto"/>
              </w:rPr>
            </w:pPr>
          </w:p>
        </w:tc>
        <w:tc>
          <w:tcPr>
            <w:tcW w:w="76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960" w:type="dxa"/>
            <w:vAlign w:val="bottom"/>
            <w:gridSpan w:val="2"/>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16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6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12/18/2025</w:t>
            </w:r>
          </w:p>
        </w:tc>
        <w:tc>
          <w:tcPr>
            <w:tcW w:w="220" w:type="dxa"/>
            <w:vAlign w:val="bottom"/>
            <w:shd w:val="clear" w:color="auto" w:fill="CCECFF"/>
          </w:tcPr>
          <w:p>
            <w:pPr>
              <w:spacing w:after="0"/>
              <w:rPr>
                <w:sz w:val="12"/>
                <w:szCs w:val="12"/>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16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160" w:type="dxa"/>
            <w:vAlign w:val="bottom"/>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31,680</w:t>
            </w:r>
          </w:p>
        </w:tc>
        <w:tc>
          <w:tcPr>
            <w:tcW w:w="160" w:type="dxa"/>
            <w:vAlign w:val="bottom"/>
            <w:shd w:val="clear" w:color="auto" w:fill="CCECFF"/>
          </w:tcPr>
          <w:p>
            <w:pPr>
              <w:spacing w:after="0"/>
              <w:rPr>
                <w:sz w:val="12"/>
                <w:szCs w:val="12"/>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31,004</w:t>
            </w:r>
          </w:p>
        </w:tc>
        <w:tc>
          <w:tcPr>
            <w:tcW w:w="16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 (Revolver)</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12/18/2025</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12/18/2025</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05/03/2024</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01/17/2024</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02/26/2025</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9.42 %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03/01/2028</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8.63 %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9,705</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9,581</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03/01/2023</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 Funded Revolver</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03/01/2028</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8.63 %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03/01/2028</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21"/>
        </w:trPr>
        <w:tc>
          <w:tcPr>
            <w:tcW w:w="350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System Planning and Analysis, Inc. - (Revolver) </w:t>
            </w:r>
            <w:r>
              <w:rPr>
                <w:rFonts w:ascii="Times New Roman" w:cs="Times New Roman" w:eastAsia="Times New Roman" w:hAnsi="Times New Roman"/>
                <w:sz w:val="14"/>
                <w:szCs w:val="14"/>
                <w:color w:val="auto"/>
                <w:vertAlign w:val="superscript"/>
              </w:rPr>
              <w:t>(7)</w:t>
            </w: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08/16/2027</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07/27/2026</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10.67 %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07/27/2026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08/30/2027</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8.18 %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08/30/2027</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 (Revolver)</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08/30/2027</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8.26 %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08/30/2027</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03/26/2026</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03/26/2026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06/16/2025</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8.76 %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06/16/2025</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04/01/2026</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05/24/2027</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8.95 %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27,233</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26,904</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05/24/2027</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16,140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(194 )</w:t>
            </w: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05/24/2027</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(66 )</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03/31/2027</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12.42 %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02/27/2026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9.09 %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3,831</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3,771</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02/27/2026</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49"/>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680" w:type="dxa"/>
            <w:vAlign w:val="bottom"/>
            <w:tcBorders>
              <w:bottom w:val="single" w:sz="8" w:color="CCECFF"/>
            </w:tcBorders>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03/01/2024</w:t>
            </w:r>
          </w:p>
        </w:tc>
        <w:tc>
          <w:tcPr>
            <w:tcW w:w="220" w:type="dxa"/>
            <w:vAlign w:val="bottom"/>
            <w:tcBorders>
              <w:bottom w:val="single" w:sz="8" w:color="CCECFF"/>
            </w:tcBorders>
            <w:shd w:val="clear" w:color="auto" w:fill="CCECFF"/>
          </w:tcPr>
          <w:p>
            <w:pPr>
              <w:spacing w:after="0"/>
              <w:rPr>
                <w:sz w:val="12"/>
                <w:szCs w:val="12"/>
                <w:color w:val="auto"/>
              </w:rPr>
            </w:pPr>
          </w:p>
        </w:tc>
        <w:tc>
          <w:tcPr>
            <w:tcW w:w="21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00" w:type="dxa"/>
            <w:vAlign w:val="bottom"/>
            <w:tcBorders>
              <w:bottom w:val="single" w:sz="8" w:color="CCECFF"/>
            </w:tcBorders>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10.13 %</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2,608</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599,263</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Debt—22.2% of Net Assets</w:t>
            </w: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05/07/2029</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11.19 %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06/29/2027</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17,506</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07/28/2030</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12.16 %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04/03/2024</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12.92 %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20,288</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08/19/2029</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11.17 %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07/06/2026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11.37 %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32,164</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31,769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09/29/2024</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02/04/2027</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12.68 %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08/17/2026</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9.87 %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16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133,160</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129,936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Notes—9.1% of Net Assets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Acquisition Company, LLC</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01/15/2029</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00" w:type="dxa"/>
            <w:vAlign w:val="bottom"/>
            <w:gridSpan w:val="3"/>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15.31 %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L+1,150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20,278</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05/26/2027</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34,000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33,190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6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16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53,468</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53,254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Interests—1.3%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12.00 %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16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w w:val="99"/>
              </w:rPr>
              <w:t xml:space="preserve">Common Equity/Partnership Interests/Warrants—26.2% of Net Assets </w:t>
            </w:r>
            <w:r>
              <w:rPr>
                <w:rFonts w:ascii="Times New Roman" w:cs="Times New Roman" w:eastAsia="Times New Roman" w:hAnsi="Times New Roman"/>
                <w:sz w:val="14"/>
                <w:szCs w:val="14"/>
                <w:b w:val="1"/>
                <w:bCs w:val="1"/>
                <w:color w:val="auto"/>
                <w:w w:val="99"/>
                <w:vertAlign w:val="superscript"/>
              </w:rPr>
              <w:t>(6)</w:t>
            </w: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04/10/2024</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AMCSI Crash Co-Invest, LP</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2,419,200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2,419</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AMCSI Crash Co-Invest, LP </w:t>
            </w:r>
            <w:r>
              <w:rPr>
                <w:rFonts w:ascii="Times New Roman" w:cs="Times New Roman" w:eastAsia="Times New Roman" w:hAnsi="Times New Roman"/>
                <w:sz w:val="14"/>
                <w:szCs w:val="14"/>
                <w:color w:val="auto"/>
                <w:vertAlign w:val="superscript"/>
              </w:rPr>
              <w:t>(7)</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580,800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3,562,500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6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9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Cowboy Parent LLC</w:t>
            </w:r>
          </w:p>
        </w:tc>
        <w:tc>
          <w:tcPr>
            <w:tcW w:w="60" w:type="dxa"/>
            <w:vAlign w:val="bottom"/>
            <w:shd w:val="clear" w:color="auto" w:fill="CCECFF"/>
          </w:tcPr>
          <w:p>
            <w:pPr>
              <w:spacing w:after="0"/>
              <w:rPr>
                <w:sz w:val="13"/>
                <w:szCs w:val="13"/>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26,360</w:t>
            </w: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-4494530</wp:posOffset>
            </wp:positionV>
            <wp:extent cx="68580"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-4494530</wp:posOffset>
            </wp:positionV>
            <wp:extent cx="68580"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-3337560</wp:posOffset>
            </wp:positionV>
            <wp:extent cx="6858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-3337560</wp:posOffset>
            </wp:positionV>
            <wp:extent cx="6858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-2943225</wp:posOffset>
            </wp:positionV>
            <wp:extent cx="6858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-2943225</wp:posOffset>
            </wp:positionV>
            <wp:extent cx="6858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-1802765</wp:posOffset>
            </wp:positionV>
            <wp:extent cx="68580"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-1802765</wp:posOffset>
            </wp:positionV>
            <wp:extent cx="6858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8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60" w:type="dxa"/>
            <w:vAlign w:val="bottom"/>
          </w:tcPr>
          <w:p>
            <w:pPr>
              <w:spacing w:after="0"/>
              <w:rPr>
                <w:sz w:val="9"/>
                <w:szCs w:val="9"/>
                <w:color w:val="auto"/>
              </w:rPr>
            </w:pPr>
          </w:p>
        </w:tc>
        <w:tc>
          <w:tcPr>
            <w:tcW w:w="72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6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8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60" w:type="dxa"/>
            <w:vAlign w:val="bottom"/>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Delta InvestCo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698,889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(7)</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442,155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Topco, LLC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TVC Coinvest, LLC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 Dawgs Capital III,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V C,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1,111,111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Axle, Inc.)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Ironclad Holdco, LLC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ITC Infusion Co-invest, LP</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113,839</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ITC Rumba,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JWC-WE Holdings,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1,308,814</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KL Stockton Co-Invest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1,925,990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NEPRT Parent Holdings,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446,250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PennantPark-TSO Senior Loan Fund II, LP</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15,038,871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15,039</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1,918,047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w:t>
            </w: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StellPen Holdings, LLC</w:t>
            </w:r>
          </w:p>
        </w:tc>
        <w:tc>
          <w:tcPr>
            <w:tcW w:w="8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153,846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(CF512, Inc.)</w:t>
            </w: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8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40" w:type="dxa"/>
            <w:vAlign w:val="bottom"/>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531,293</w:t>
            </w:r>
          </w:p>
        </w:tc>
        <w:tc>
          <w:tcPr>
            <w:tcW w:w="1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4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364,151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Oil and Gas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60,057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WCP Ivyrehab QP CF Feeder, LP</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3,762,257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w:t>
            </w:r>
          </w:p>
        </w:tc>
        <w:tc>
          <w:tcPr>
            <w:tcW w:w="60" w:type="dxa"/>
            <w:vAlign w:val="bottom"/>
            <w:shd w:val="clear" w:color="auto" w:fill="CCECFF"/>
          </w:tcPr>
          <w:p>
            <w:pPr>
              <w:spacing w:after="0"/>
              <w:rPr>
                <w:sz w:val="13"/>
                <w:szCs w:val="13"/>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Parent, LP</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91,596</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882,513</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932,155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Companies—5.9% of Net Assets </w:t>
            </w:r>
            <w:r>
              <w:rPr>
                <w:rFonts w:ascii="Times New Roman" w:cs="Times New Roman" w:eastAsia="Times New Roman" w:hAnsi="Times New Roman"/>
                <w:sz w:val="14"/>
                <w:szCs w:val="14"/>
                <w:b w:val="1"/>
                <w:bCs w:val="1"/>
                <w:color w:val="auto"/>
                <w:vertAlign w:val="superscript"/>
              </w:rPr>
              <w:t>(1), (2)</w:t>
            </w: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Preferred Equity/Partnership Interests—5.6% of Net Assets</w:t>
            </w:r>
            <w:r>
              <w:rPr>
                <w:rFonts w:ascii="Times New Roman" w:cs="Times New Roman" w:eastAsia="Times New Roman" w:hAnsi="Times New Roman"/>
                <w:sz w:val="14"/>
                <w:szCs w:val="14"/>
                <w:b w:val="1"/>
                <w:bCs w:val="1"/>
                <w:color w:val="auto"/>
                <w:vertAlign w:val="superscript"/>
              </w:rPr>
              <w:t>(6)</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5,887,236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Interests/Warrants—0.3%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JF Intermediate,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4,821</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37,612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20" w:type="dxa"/>
            <w:vAlign w:val="bottom"/>
            <w:shd w:val="clear" w:color="auto" w:fill="CCECFF"/>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Investments in Controlled, Affiliated Portfolio Companies—44.3% of Net</w:t>
            </w:r>
          </w:p>
        </w:tc>
        <w:tc>
          <w:tcPr>
            <w:tcW w:w="6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220" w:type="dxa"/>
            <w:vAlign w:val="bottom"/>
            <w:shd w:val="clear" w:color="auto" w:fill="CCECFF"/>
          </w:tcPr>
          <w:p>
            <w:pPr>
              <w:spacing w:after="0"/>
              <w:rPr>
                <w:sz w:val="9"/>
                <w:szCs w:val="9"/>
                <w:color w:val="auto"/>
              </w:rPr>
            </w:pPr>
          </w:p>
        </w:tc>
        <w:tc>
          <w:tcPr>
            <w:tcW w:w="4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C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Assets</w:t>
            </w:r>
            <w:r>
              <w:rPr>
                <w:rFonts w:ascii="Times New Roman" w:cs="Times New Roman" w:eastAsia="Times New Roman" w:hAnsi="Times New Roman"/>
                <w:sz w:val="7"/>
                <w:szCs w:val="7"/>
                <w:b w:val="1"/>
                <w:bCs w:val="1"/>
                <w:color w:val="auto"/>
              </w:rPr>
              <w:t xml:space="preserve"> (1), (2)</w:t>
            </w:r>
          </w:p>
        </w:tc>
        <w:tc>
          <w:tcPr>
            <w:tcW w:w="6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Debt—7.3%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Borders>
              <w:bottom w:val="single" w:sz="8" w:color="CCECFF"/>
            </w:tcBorders>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Borders>
              <w:bottom w:val="single" w:sz="8" w:color="CCECFF"/>
            </w:tcBorders>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03/13/2024</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tcBorders>
              <w:bottom w:val="single" w:sz="8" w:color="CCECFF"/>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8.67 %</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0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38,250</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 of Net Assets</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04/23/2025</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top w:val="single" w:sz="8" w:color="auto"/>
              <w:bottom w:val="single" w:sz="8" w:color="auto"/>
            </w:tcBorders>
            <w:shd w:val="clear" w:color="auto" w:fill="CCECFF"/>
          </w:tcPr>
          <w:p>
            <w:pPr>
              <w:spacing w:after="0"/>
              <w:rPr>
                <w:sz w:val="12"/>
                <w:szCs w:val="12"/>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Debt—15.0%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Borders>
              <w:bottom w:val="single" w:sz="8" w:color="CCECFF"/>
            </w:tcBorders>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tcBorders>
              <w:bottom w:val="single" w:sz="8" w:color="CCECFF"/>
            </w:tcBorders>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07/31/2027</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80" w:type="dxa"/>
            <w:vAlign w:val="bottom"/>
            <w:tcBorders>
              <w:bottom w:val="single" w:sz="8" w:color="CCECFF"/>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10.79 %</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Common Equity—22.0% of Net Assets </w:t>
            </w:r>
            <w:r>
              <w:rPr>
                <w:rFonts w:ascii="Times New Roman" w:cs="Times New Roman" w:eastAsia="Times New Roman" w:hAnsi="Times New Roman"/>
                <w:sz w:val="14"/>
                <w:szCs w:val="14"/>
                <w:b w:val="1"/>
                <w:bCs w:val="1"/>
                <w:color w:val="auto"/>
                <w:vertAlign w:val="superscript"/>
              </w:rPr>
              <w:t>(6)</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PennantPark Senior Loan Fund, LLC</w:t>
            </w:r>
          </w:p>
        </w:tc>
        <w:tc>
          <w:tcPr>
            <w:tcW w:w="6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49,298,789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20" w:type="dxa"/>
            <w:vAlign w:val="bottom"/>
            <w:tcBorders>
              <w:bottom w:val="single" w:sz="8" w:color="CCECFF"/>
            </w:tcBorders>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6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4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1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74,282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228,718</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381,904</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259,386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Investments—209.4% of Net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1,302,029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1,226,301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Equivalents—9.0% of Net Assets</w:t>
            </w:r>
          </w:p>
        </w:tc>
        <w:tc>
          <w:tcPr>
            <w:tcW w:w="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22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13,722</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13,544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52,844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Equivalents—218.4% of Net Assets</w:t>
            </w:r>
          </w:p>
        </w:tc>
        <w:tc>
          <w:tcPr>
            <w:tcW w:w="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22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1,354,873</w:t>
            </w:r>
          </w:p>
        </w:tc>
        <w:tc>
          <w:tcPr>
            <w:tcW w:w="14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1,278,967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Assets—(118.4%) of Net Assets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(693,402 )</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0" w:type="dxa"/>
            <w:vAlign w:val="bottom"/>
            <w:tcBorders>
              <w:bottom w:val="single" w:sz="8" w:color="CCECFF"/>
            </w:tcBorders>
            <w:shd w:val="clear" w:color="auto" w:fill="CCECFF"/>
          </w:tcPr>
          <w:p>
            <w:pPr>
              <w:spacing w:after="0"/>
              <w:rPr>
                <w:sz w:val="16"/>
                <w:szCs w:val="16"/>
                <w:color w:val="auto"/>
              </w:rPr>
            </w:pPr>
          </w:p>
        </w:tc>
        <w:tc>
          <w:tcPr>
            <w:tcW w:w="60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40" w:type="dxa"/>
            <w:vAlign w:val="bottom"/>
            <w:tcBorders>
              <w:bottom w:val="single" w:sz="8" w:color="CCECFF"/>
            </w:tcBorders>
            <w:shd w:val="clear" w:color="auto" w:fill="CCECFF"/>
          </w:tcPr>
          <w:p>
            <w:pPr>
              <w:spacing w:after="0"/>
              <w:rPr>
                <w:sz w:val="16"/>
                <w:szCs w:val="16"/>
                <w:color w:val="auto"/>
              </w:rPr>
            </w:pPr>
          </w:p>
        </w:tc>
        <w:tc>
          <w:tcPr>
            <w:tcW w:w="82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585,565</w:t>
            </w:r>
          </w:p>
        </w:tc>
        <w:tc>
          <w:tcPr>
            <w:tcW w:w="1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-3693795</wp:posOffset>
            </wp:positionV>
            <wp:extent cx="68580" cy="111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-3488055</wp:posOffset>
            </wp:positionV>
            <wp:extent cx="6858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-3093720</wp:posOffset>
            </wp:positionV>
            <wp:extent cx="6858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-2699385</wp:posOffset>
            </wp:positionV>
            <wp:extent cx="68580" cy="111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-2228215</wp:posOffset>
            </wp:positionV>
            <wp:extent cx="68580" cy="111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-1824990</wp:posOffset>
            </wp:positionV>
            <wp:extent cx="6858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-1628140</wp:posOffset>
            </wp:positionV>
            <wp:extent cx="68580"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11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-1045210</wp:posOffset>
            </wp:positionV>
            <wp:extent cx="68580"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-839470</wp:posOffset>
            </wp:positionV>
            <wp:extent cx="68580" cy="1117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-445135</wp:posOffset>
            </wp:positionV>
            <wp:extent cx="68580"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-239395</wp:posOffset>
            </wp:positionV>
            <wp:extent cx="65976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976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380" w:right="22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20" w:hanging="372"/>
        <w:spacing w:after="0" w:line="241"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2"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24" w:lineRule="exact"/>
        <w:rPr>
          <w:rFonts w:ascii="Times New Roman" w:cs="Times New Roman" w:eastAsia="Times New Roman" w:hAnsi="Times New Roman"/>
          <w:sz w:val="12"/>
          <w:szCs w:val="12"/>
          <w:color w:val="auto"/>
        </w:rPr>
      </w:pPr>
    </w:p>
    <w:p>
      <w:pPr>
        <w:ind w:left="380" w:right="20" w:hanging="372"/>
        <w:spacing w:after="0" w:line="236"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 w:name="page19"/>
    <w:bookmarkEnd w:id="18"/>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23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January 2022, we funded PennantPark-TSO Senior Loan Fund II LP, ("PTSF II"), an unconsolidated Delaware limited partnership. We sold $82.3 million in investments to a wholly-owned subsidiary of PTSF II in exchange for cash in the amount of $75.7 million and an $6.6 million equity interest in PTSF II representing 23.1% of the total outstanding Class A Units of PTSF</w:t>
      </w:r>
    </w:p>
    <w:p>
      <w:pPr>
        <w:ind w:right="20" w:firstLine="8"/>
        <w:spacing w:after="0" w:line="239" w:lineRule="auto"/>
        <w:tabs>
          <w:tab w:leader="none" w:pos="16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recognized $0.2 million of realized gain upon the formation of PTSF II. As of December 31, 2022, our capital commitment of $15.0 million is 100% funded and we hold 23.1% of the total outstanding Class A Units of PTSF II and a 4.99% voting interest in the general partner which manages PTSF II.</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38"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32" w:lineRule="exact"/>
        <w:rPr>
          <w:sz w:val="20"/>
          <w:szCs w:val="20"/>
          <w:color w:val="auto"/>
        </w:rPr>
      </w:pPr>
    </w:p>
    <w:p>
      <w:pPr>
        <w:ind w:left="640" w:hanging="377"/>
        <w:spacing w:after="0"/>
        <w:tabs>
          <w:tab w:leader="none" w:pos="64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3"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40" w:right="20" w:hanging="383"/>
        <w:spacing w:after="0" w:line="261" w:lineRule="auto"/>
        <w:tabs>
          <w:tab w:leader="none" w:pos="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69" w:lineRule="exact"/>
        <w:rPr>
          <w:sz w:val="20"/>
          <w:szCs w:val="20"/>
          <w:color w:val="auto"/>
        </w:rPr>
      </w:pPr>
    </w:p>
    <w:p>
      <w:pPr>
        <w:ind w:left="840" w:hanging="383"/>
        <w:spacing w:after="0"/>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22"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840" w:right="20" w:hanging="383"/>
        <w:spacing w:after="0" w:line="241" w:lineRule="auto"/>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40" w:hanging="383"/>
        <w:spacing w:after="0" w:line="261" w:lineRule="auto"/>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ind w:left="640" w:hanging="377"/>
        <w:spacing w:after="0"/>
        <w:tabs>
          <w:tab w:leader="none" w:pos="64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09"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3"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2022, we had two portfolio companies on non-accrual, representing 2.7% and 1.1% of our overall portfolio on a cost and fair value basis, respectively. As of September 30, 2022, we had one portfolio company on non-accrual, representing 1.0% and zero percent of our overall portfolio on a cost and fair value basis, respectively.</w:t>
      </w:r>
    </w:p>
    <w:p>
      <w:pPr>
        <w:spacing w:after="0" w:line="106" w:lineRule="exact"/>
        <w:rPr>
          <w:sz w:val="20"/>
          <w:szCs w:val="20"/>
          <w:color w:val="auto"/>
        </w:rPr>
      </w:pPr>
    </w:p>
    <w:p>
      <w:pPr>
        <w:ind w:left="640" w:hanging="377"/>
        <w:spacing w:after="0"/>
        <w:tabs>
          <w:tab w:leader="none" w:pos="64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months ended December 31, 2022 and 2021, we recorded a provision for taxes on net investment income of $2.0 million and $0.2 million respectively, which pertains to U.S. federal excise tax.</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Taxable Subsidiary (PNNT Investment Holdings, LLC, a second-tier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95"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For the three months ended December 31, 2022 and 2021, the Company recognized a provision for taxes of zero, respectively, on net realized gain on investments by the Taxable Subsidiary. For the three months ended December 31, 2022 and 2021, the Company recognized a provision for taxes of $(0.9) million and $5.0,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 tax benefit resulting from the use of loss carryforwards to offset such gains. As of December 31, 2022 and September 30, 2022, the Company recognized a provision for taxes of $2.2 million and $7.1 million on net realized and unrealized gains on investments by the Taxable Subsidiary.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During the three months ended December 31, 2022 and 2021, the Company paid zero, respectively, in federal taxes on realized gains on the sale of investments held by the Taxable Subsidiary. Due to offsetting losses in the year ended September 30, 2022, the $4.0 million is shown on the consolidated statement of assets and liabilities under prepaid expenses and other assets. The state and local tax liability of $6.2 million as of December 31, 2022 is included under accrued other expenses in the consolidated statement of assets and liabilities.</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5" w:lineRule="exact"/>
        <w:rPr>
          <w:sz w:val="20"/>
          <w:szCs w:val="20"/>
          <w:color w:val="auto"/>
        </w:rPr>
      </w:pPr>
    </w:p>
    <w:p>
      <w:pPr>
        <w:ind w:left="640" w:hanging="377"/>
        <w:spacing w:after="0"/>
        <w:tabs>
          <w:tab w:leader="none" w:pos="640"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1" w:lineRule="exact"/>
        <w:rPr>
          <w:sz w:val="20"/>
          <w:szCs w:val="20"/>
          <w:color w:val="auto"/>
        </w:rPr>
      </w:pPr>
    </w:p>
    <w:p>
      <w:pPr>
        <w:ind w:left="640" w:hanging="377"/>
        <w:spacing w:after="0"/>
        <w:tabs>
          <w:tab w:leader="none" w:pos="64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40" w:hanging="383"/>
        <w:spacing w:after="0"/>
        <w:tabs>
          <w:tab w:leader="none" w:pos="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22"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5" w:lineRule="exact"/>
        <w:rPr>
          <w:sz w:val="20"/>
          <w:szCs w:val="20"/>
          <w:color w:val="auto"/>
        </w:rPr>
      </w:pPr>
    </w:p>
    <w:p>
      <w:pPr>
        <w:ind w:left="640" w:hanging="377"/>
        <w:spacing w:after="0"/>
        <w:tabs>
          <w:tab w:leader="none" w:pos="64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4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256" w:lineRule="exact"/>
        <w:rPr>
          <w:sz w:val="20"/>
          <w:szCs w:val="20"/>
          <w:color w:val="auto"/>
        </w:rPr>
      </w:pPr>
    </w:p>
    <w:p>
      <w:pPr>
        <w:ind w:left="640" w:hanging="377"/>
        <w:spacing w:after="0"/>
        <w:tabs>
          <w:tab w:leader="none" w:pos="64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14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91" w:lineRule="exact"/>
        <w:rPr>
          <w:sz w:val="20"/>
          <w:szCs w:val="20"/>
          <w:color w:val="auto"/>
        </w:rPr>
      </w:pPr>
    </w:p>
    <w:p>
      <w:pPr>
        <w:ind w:left="620" w:hanging="388"/>
        <w:spacing w:after="0"/>
        <w:tabs>
          <w:tab w:leader="none" w:pos="62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2022, the effect of which was not material to the consolidated financial statements and the notes thereto. The Company continues to evaluate the potential impact that the amendments in this update will have on its consolidated financial statements and disclosures.</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of the adoption of ASU 2022-02 on its consolidated financial statement and disclosures, but the impact of the adoption is not expected to be material.</w:t>
      </w:r>
    </w:p>
    <w:p>
      <w:pPr>
        <w:spacing w:after="0" w:line="235" w:lineRule="exact"/>
        <w:rPr>
          <w:sz w:val="20"/>
          <w:szCs w:val="20"/>
          <w:color w:val="auto"/>
        </w:rPr>
      </w:pPr>
    </w:p>
    <w:p>
      <w:pPr>
        <w:ind w:firstLine="449"/>
        <w:spacing w:after="0" w:line="236"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4"/>
          <w:szCs w:val="14"/>
          <w:color w:val="auto"/>
        </w:rPr>
        <w:t>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  Investment Management Agreement</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140"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2022 and 2021, the Investment Adviser earned base management fees of $4.6 million and $5.1 million, respectively, from us.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2022 and 2021, the Investment Adviser earned $2.2 million and $2.7 million, respectively, in incentive fees on net investment income from us.</w:t>
      </w:r>
    </w:p>
    <w:p>
      <w:pPr>
        <w:spacing w:after="0" w:line="136"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2022 and 2021, the Investment Adviser did not accrue an incentive fee on capital gains as calculated under the Investment Management Agreement (as described above).</w:t>
      </w:r>
    </w:p>
    <w:p>
      <w:pPr>
        <w:spacing w:after="0" w:line="11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months ended December 31, 2022, and 2021, the Investment Adviser did not accrue an incentive fee on capital gains as calculated under GAAP.</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2023.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2022 and 2021, we reimbursed the Investment Administrator approximately $0.3 million and $0.2 million, respectively, for the services described above.</w:t>
      </w:r>
    </w:p>
    <w:p>
      <w:pPr>
        <w:spacing w:after="0" w:line="113"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months ended December 31, 2022 and 2021.</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we sold zero and $48.1 million in investments to PSLF at fair value, respectively, and recognized zero and $0.1 million of net realized gains, respectively.</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2022 and 2021, we sold zero in investments to PTSF II at fair value, respectively, and recognized zero of net realized gains,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3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months ended December 31, 2022 and 2021 totaled $86.2 million and $295.1 million, respectively. Sales and repayments of investments for the three months ended December 31, 2022 and 2021 totaled $30.6 million and $132.2 million, respectively.</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Classification </w:t>
            </w:r>
            <w:r>
              <w:rPr>
                <w:rFonts w:ascii="Times New Roman" w:cs="Times New Roman" w:eastAsia="Times New Roman" w:hAnsi="Times New Roman"/>
                <w:sz w:val="14"/>
                <w:szCs w:val="14"/>
                <w:color w:val="auto"/>
              </w:rPr>
              <w:t>($ in thousands)</w:t>
            </w: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686,122</w:t>
            </w:r>
          </w:p>
        </w:tc>
        <w:tc>
          <w:tcPr>
            <w:tcW w:w="3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661,269</w:t>
            </w:r>
          </w:p>
        </w:tc>
        <w:tc>
          <w:tcPr>
            <w:tcW w:w="2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652,055</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630,965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148,426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145,542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53,519</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53,245</w:t>
            </w: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53,468</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53,255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325,963</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201,607</w:t>
            </w: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313,591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273,036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PSLF</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54,121</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53,806</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1,363,502</w:t>
            </w:r>
          </w:p>
        </w:tc>
        <w:tc>
          <w:tcPr>
            <w:tcW w:w="3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1,196,035</w:t>
            </w:r>
          </w:p>
        </w:tc>
        <w:tc>
          <w:tcPr>
            <w:tcW w:w="28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1,302,029</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28,558</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52,844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2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1,392,060</w:t>
            </w:r>
          </w:p>
        </w:tc>
        <w:tc>
          <w:tcPr>
            <w:tcW w:w="3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1,224,591</w:t>
            </w:r>
          </w:p>
        </w:tc>
        <w:tc>
          <w:tcPr>
            <w:tcW w:w="2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1,354,873</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1,278,967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-264795</wp:posOffset>
            </wp:positionV>
            <wp:extent cx="7683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-264795</wp:posOffset>
            </wp:positionV>
            <wp:extent cx="7683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-264795</wp:posOffset>
            </wp:positionV>
            <wp:extent cx="6858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40" w:type="dxa"/>
            <w:vAlign w:val="bottom"/>
          </w:tcPr>
          <w:p>
            <w:pPr>
              <w:spacing w:after="0"/>
              <w:rPr>
                <w:sz w:val="16"/>
                <w:szCs w:val="16"/>
                <w:color w:val="auto"/>
              </w:rPr>
            </w:pPr>
          </w:p>
        </w:tc>
        <w:tc>
          <w:tcPr>
            <w:tcW w:w="22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60" w:type="dxa"/>
            <w:vAlign w:val="bottom"/>
          </w:tcPr>
          <w:p>
            <w:pPr>
              <w:spacing w:after="0"/>
              <w:rPr>
                <w:sz w:val="16"/>
                <w:szCs w:val="16"/>
                <w:color w:val="auto"/>
              </w:rPr>
            </w:pPr>
          </w:p>
        </w:tc>
        <w:tc>
          <w:tcPr>
            <w:tcW w:w="27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r>
      <w:tr>
        <w:trPr>
          <w:trHeight w:val="169"/>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40" w:type="dxa"/>
            <w:vAlign w:val="bottom"/>
            <w:shd w:val="clear" w:color="auto" w:fill="CCECFF"/>
          </w:tcPr>
          <w:p>
            <w:pPr>
              <w:spacing w:after="0"/>
              <w:rPr>
                <w:sz w:val="14"/>
                <w:szCs w:val="14"/>
                <w:color w:val="auto"/>
              </w:rPr>
            </w:pPr>
          </w:p>
        </w:tc>
        <w:tc>
          <w:tcPr>
            <w:tcW w:w="2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shd w:val="clear" w:color="auto" w:fill="CCECFF"/>
          </w:tcPr>
          <w:p>
            <w:pPr>
              <w:spacing w:after="0"/>
              <w:rPr>
                <w:sz w:val="15"/>
                <w:szCs w:val="15"/>
                <w:color w:val="auto"/>
              </w:rPr>
            </w:pPr>
          </w:p>
        </w:tc>
      </w:tr>
      <w:tr>
        <w:trPr>
          <w:trHeight w:val="17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CFF"/>
          </w:tcPr>
          <w:p>
            <w:pPr>
              <w:spacing w:after="0"/>
              <w:rPr>
                <w:sz w:val="15"/>
                <w:szCs w:val="15"/>
                <w:color w:val="auto"/>
              </w:rPr>
            </w:pPr>
          </w:p>
        </w:tc>
      </w:tr>
      <w:tr>
        <w:trPr>
          <w:trHeight w:val="17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Auto Sector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5"/>
                <w:szCs w:val="15"/>
                <w:color w:val="auto"/>
              </w:rPr>
            </w:pPr>
          </w:p>
        </w:tc>
      </w:tr>
      <w:tr>
        <w:trPr>
          <w:trHeight w:val="175"/>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Environmental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5"/>
                <w:szCs w:val="15"/>
                <w:color w:val="auto"/>
              </w:rPr>
            </w:pPr>
          </w:p>
        </w:tc>
      </w:tr>
      <w:tr>
        <w:trPr>
          <w:trHeight w:val="175"/>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5"/>
                <w:szCs w:val="15"/>
                <w:color w:val="auto"/>
              </w:rPr>
            </w:pPr>
          </w:p>
        </w:tc>
      </w:tr>
      <w:tr>
        <w:trPr>
          <w:trHeight w:val="175"/>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Electronics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5"/>
                <w:szCs w:val="15"/>
                <w:color w:val="auto"/>
              </w:rPr>
            </w:pPr>
          </w:p>
        </w:tc>
      </w:tr>
      <w:tr>
        <w:trPr>
          <w:trHeight w:val="17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Building Materials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5"/>
                <w:szCs w:val="15"/>
                <w:color w:val="auto"/>
              </w:rPr>
            </w:pPr>
          </w:p>
        </w:tc>
      </w:tr>
      <w:tr>
        <w:trPr>
          <w:trHeight w:val="17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Media</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5"/>
                <w:szCs w:val="15"/>
                <w:color w:val="auto"/>
              </w:rPr>
            </w:pPr>
          </w:p>
        </w:tc>
      </w:tr>
      <w:tr>
        <w:trPr>
          <w:trHeight w:val="176"/>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Cargo Transport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r>
      <w:tr>
        <w:trPr>
          <w:trHeight w:val="175"/>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r>
      <w:tr>
        <w:trPr>
          <w:trHeight w:val="175"/>
        </w:trPr>
        <w:tc>
          <w:tcPr>
            <w:tcW w:w="5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Manufacturing / Basic Industries</w:t>
            </w:r>
          </w:p>
        </w:tc>
        <w:tc>
          <w:tcPr>
            <w:tcW w:w="2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CFF"/>
          </w:tcPr>
          <w:p>
            <w:pPr>
              <w:spacing w:after="0"/>
              <w:rPr>
                <w:sz w:val="15"/>
                <w:szCs w:val="15"/>
                <w:color w:val="auto"/>
              </w:rPr>
            </w:pPr>
          </w:p>
        </w:tc>
        <w:tc>
          <w:tcPr>
            <w:tcW w:w="2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5"/>
                <w:szCs w:val="15"/>
                <w:color w:val="auto"/>
              </w:rPr>
            </w:pPr>
          </w:p>
        </w:tc>
      </w:tr>
      <w:tr>
        <w:trPr>
          <w:trHeight w:val="17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Personal and Non-Durable Consumer Products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5"/>
                <w:szCs w:val="15"/>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r>
      <w:tr>
        <w:trPr>
          <w:trHeight w:val="175"/>
        </w:trPr>
        <w:tc>
          <w:tcPr>
            <w:tcW w:w="52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CFF"/>
            </w:tcBorders>
            <w:shd w:val="clear" w:color="auto" w:fill="CCECFF"/>
          </w:tcPr>
          <w:p>
            <w:pPr>
              <w:spacing w:after="0"/>
              <w:rPr>
                <w:sz w:val="15"/>
                <w:szCs w:val="15"/>
                <w:color w:val="auto"/>
              </w:rPr>
            </w:pPr>
          </w:p>
        </w:tc>
        <w:tc>
          <w:tcPr>
            <w:tcW w:w="2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Borders>
              <w:bottom w:val="single" w:sz="8" w:color="CCECFF"/>
            </w:tcBorders>
            <w:shd w:val="clear" w:color="auto" w:fill="CCECFF"/>
          </w:tcPr>
          <w:p>
            <w:pPr>
              <w:spacing w:after="0"/>
              <w:rPr>
                <w:sz w:val="15"/>
                <w:szCs w:val="15"/>
                <w:color w:val="auto"/>
              </w:rPr>
            </w:pPr>
          </w:p>
        </w:tc>
        <w:tc>
          <w:tcPr>
            <w:tcW w:w="2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bottom w:val="single" w:sz="8" w:color="CCECFF"/>
            </w:tcBorders>
            <w:shd w:val="clear" w:color="auto" w:fill="CCECFF"/>
          </w:tcPr>
          <w:p>
            <w:pPr>
              <w:spacing w:after="0"/>
              <w:rPr>
                <w:sz w:val="15"/>
                <w:szCs w:val="15"/>
                <w:color w:val="auto"/>
              </w:rPr>
            </w:pPr>
          </w:p>
        </w:tc>
      </w:tr>
      <w:tr>
        <w:trPr>
          <w:trHeight w:val="169"/>
        </w:trPr>
        <w:tc>
          <w:tcPr>
            <w:tcW w:w="52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
        </w:trPr>
        <w:tc>
          <w:tcPr>
            <w:tcW w:w="1880" w:type="dxa"/>
            <w:vAlign w:val="bottom"/>
            <w:tcBorders>
              <w:bottom w:val="single" w:sz="8" w:color="auto"/>
            </w:tcBorders>
          </w:tcPr>
          <w:p>
            <w:pPr>
              <w:spacing w:after="0"/>
              <w:rPr>
                <w:sz w:val="3"/>
                <w:szCs w:val="3"/>
                <w:color w:val="auto"/>
              </w:rPr>
            </w:pPr>
          </w:p>
        </w:tc>
        <w:tc>
          <w:tcPr>
            <w:tcW w:w="3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-187960</wp:posOffset>
            </wp:positionV>
            <wp:extent cx="7747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-187960</wp:posOffset>
            </wp:positionV>
            <wp:extent cx="6858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investments in PSLF.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December 31, 2022 and September 30, 2022, PSLF had total assets of $776.9 million and $781.3 million, respectively and its investment portfolio consisted of debt investments in 83 and 80 portfolio companies, respectively. As of December 31, 2022, at fair value, the largest investment in a single portfolio company in PSLF was $19.8 million and the five largest investments totaled $98.0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110" w:lineRule="exact"/>
        <w:rPr>
          <w:sz w:val="20"/>
          <w:szCs w:val="20"/>
          <w:color w:val="auto"/>
        </w:rPr>
      </w:pPr>
    </w:p>
    <w:p>
      <w:pPr>
        <w:jc w:val="both"/>
        <w:ind w:right="20" w:firstLine="449"/>
        <w:spacing w:after="0" w:line="236" w:lineRule="auto"/>
        <w:rPr>
          <w:sz w:val="20"/>
          <w:szCs w:val="20"/>
          <w:color w:val="auto"/>
        </w:rPr>
      </w:pPr>
      <w:r>
        <w:rPr>
          <w:rFonts w:ascii="Times New Roman" w:cs="Times New Roman" w:eastAsia="Times New Roman" w:hAnsi="Times New Roman"/>
          <w:sz w:val="14"/>
          <w:szCs w:val="14"/>
          <w:color w:val="auto"/>
        </w:rPr>
        <w:t>We and Pantheon provide capital to PSLF in the form of subordinated notes and equity interests. As of December 31, 2022 and September 30, 2022, we and Pantheon owned 60.5% and 39.5%, respectively, of each of the outstanding subordinated notes and equity interests of PSLF. As of December 31, 2022 and September 30, 2022 our investment in PSLF consisted of subordinated notes of $95.4 million (additional $20.5 million unfunded) and $88.0 million (additional $27.9 million unfunded), respectively, and equity interests of $59.0 million (additional $13.3 million unfunded) and $54.8 million (additional $18.3 million unfunded), respectively.</w:t>
      </w:r>
    </w:p>
    <w:p>
      <w:pPr>
        <w:spacing w:after="0" w:line="109" w:lineRule="exact"/>
        <w:rPr>
          <w:sz w:val="20"/>
          <w:szCs w:val="20"/>
          <w:color w:val="auto"/>
        </w:rPr>
      </w:pPr>
    </w:p>
    <w:p>
      <w:pPr>
        <w:jc w:val="both"/>
        <w:ind w:right="20" w:firstLine="449"/>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10"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or the PSLF Credit Facility, with BNP Paribas, which bears interest at SOFR (or an alternative risk-free interest rate index) plus 255 basis points during the investment period and is subject to leverage and borrowing base restrictions.</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69"/>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734,690</w:t>
            </w:r>
          </w:p>
        </w:tc>
        <w:tc>
          <w:tcPr>
            <w:tcW w:w="2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16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20" w:type="dxa"/>
            <w:vAlign w:val="bottom"/>
          </w:tcPr>
          <w:p>
            <w:pPr>
              <w:spacing w:after="0"/>
              <w:rPr>
                <w:sz w:val="15"/>
                <w:szCs w:val="15"/>
                <w:color w:val="auto"/>
              </w:rPr>
            </w:pPr>
          </w:p>
        </w:tc>
      </w:tr>
      <w:tr>
        <w:trPr>
          <w:trHeight w:val="176"/>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97,994</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98,502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2022 ($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4"/>
              </w:rPr>
              <w:t>Fair Value</w:t>
            </w:r>
            <w:r>
              <w:rPr>
                <w:rFonts w:ascii="Times New Roman" w:cs="Times New Roman" w:eastAsia="Times New Roman" w:hAnsi="Times New Roman"/>
                <w:sz w:val="14"/>
                <w:szCs w:val="14"/>
                <w:b w:val="1"/>
                <w:bCs w:val="1"/>
                <w:color w:val="auto"/>
                <w:w w:val="94"/>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8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4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- 826.1%</w:t>
            </w: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10.84 %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40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11/30/2026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8.69 %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10.24 %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6/10/2025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10.98 %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13,946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9,894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10.02 %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7/1/2029</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12/4/2025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9/26/2029</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5/13/2028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10.58 %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17,413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17,097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8,999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12/21/2028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11/3/2025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9.89 %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8,118</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11.88 %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2,808</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Electro Rent Corporation</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1/17/2024</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9.82 %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10.19 %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11/23/2028</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12/17/2026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5/11/2028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8.82 %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9/22/2028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10.38 %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11/15/2027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10.14 %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11.95 %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19,900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19,557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11/1/2026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12.07 %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13,543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11.17 %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12,101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4/1/2027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10.13 %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8.96 %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8.41 %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10.84 %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11/9/2027</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10.88 %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8,613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8,397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10.94 %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3,348</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0.00 %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3/31/2025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12,744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9"/>
              </w:rPr>
              <w:t>12/18/2025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10.42 %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10.98 %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14,452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6/20/2025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3/10/2025</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1/3/2025</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9.89 %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6/13/2029</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0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5/3/2024</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11,764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1/17/2024</w:t>
            </w:r>
          </w:p>
        </w:tc>
        <w:tc>
          <w:tcPr>
            <w:tcW w:w="12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10.13 %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880" w:type="dxa"/>
            <w:vAlign w:val="bottom"/>
            <w:tcBorders>
              <w:top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8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gridSpan w:val="2"/>
            <w:shd w:val="clear" w:color="auto" w:fill="CCECFF"/>
          </w:tcPr>
          <w:p>
            <w:pPr>
              <w:spacing w:after="0"/>
              <w:rPr>
                <w:sz w:val="12"/>
                <w:szCs w:val="12"/>
                <w:color w:val="auto"/>
              </w:rPr>
            </w:pPr>
          </w:p>
        </w:tc>
        <w:tc>
          <w:tcPr>
            <w:tcW w:w="1020" w:type="dxa"/>
            <w:vAlign w:val="bottom"/>
            <w:gridSpan w:val="2"/>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120" w:type="dxa"/>
            <w:vAlign w:val="bottom"/>
            <w:gridSpan w:val="3"/>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540" w:type="dxa"/>
            <w:vAlign w:val="bottom"/>
            <w:gridSpan w:val="2"/>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Summit Behavioral Healthcare,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9.45 %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20" w:type="dxa"/>
            <w:vAlign w:val="bottom"/>
            <w:gridSpan w:val="2"/>
            <w:shd w:val="clear" w:color="auto" w:fill="CCECFF"/>
          </w:tcPr>
          <w:p>
            <w:pPr>
              <w:ind w:left="20"/>
              <w:spacing w:after="0" w:line="125"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2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8/16/2027</w:t>
            </w: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10.94 %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16,087</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Team Services Group,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7/18/2025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4,041</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10.70 %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7/27/2026</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11.98 %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5,517</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8/30/2027</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9.88 %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2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9.24 %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5,388</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3/26/2026</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10.13 %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6/16/2025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11.46 %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7"/>
              </w:rPr>
              <w:t>4/3/2028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9.25 %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2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7"/>
              </w:rPr>
              <w:t>4/3/2024</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9.23 %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4,659</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5/24/2027</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9.98 %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2/27/2026</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9.81 %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11,396</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11,082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7"/>
              </w:rPr>
              <w:t>3/1/2024</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11.55 %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19,898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tcBorders>
              <w:bottom w:val="single" w:sz="8" w:color="CCECFF"/>
            </w:tcBorders>
            <w:gridSpan w:val="2"/>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24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5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746,720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- 826.1%</w:t>
            </w: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- 40.2%</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24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- 866.2%</w:t>
            </w:r>
          </w:p>
        </w:tc>
        <w:tc>
          <w:tcPr>
            <w:tcW w:w="28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gridSpan w:val="3"/>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782,428</w:t>
            </w: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770,398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(766.2)%</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(681,462 )</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8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80" w:type="dxa"/>
            <w:vAlign w:val="bottom"/>
            <w:tcBorders>
              <w:top w:val="single" w:sz="8" w:color="auto"/>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880" w:type="dxa"/>
            <w:vAlign w:val="bottom"/>
            <w:tcBorders>
              <w:bottom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-908050</wp:posOffset>
            </wp:positionV>
            <wp:extent cx="68580" cy="111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11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-513715</wp:posOffset>
            </wp:positionV>
            <wp:extent cx="68580" cy="111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117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-307975</wp:posOffset>
            </wp:positionV>
            <wp:extent cx="62611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611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ind w:left="380" w:right="120" w:hanging="372"/>
        <w:spacing w:after="0" w:line="222"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2022 ($ in thousands):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ind w:right="4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8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- 864.4%</w:t>
            </w:r>
          </w:p>
        </w:tc>
        <w:tc>
          <w:tcPr>
            <w:tcW w:w="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05/06/26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4,938</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40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11/30/26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8.69 %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07/24/25</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10.81 %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12/21/23</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7.79 %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06/10/25</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15,16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05/23/24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07/21/27</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7.98 %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9,942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6.55 %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12/29/26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9.42 %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03/07/28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8.99 %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07/01/29</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7.56 %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17,99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09/17/24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8.57 %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12/02/22</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7.39 %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17,45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05/13/28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9.55 %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08/20/26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9.08 %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07/13/27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8.42 %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08/31/27</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9.42 %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6,435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12/21/28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8.37 %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15,14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11/03/25</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15,063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06/30/24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05/01/28</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10.62 %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12/23/25</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6.32 %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03/15/27</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06/17/28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7.63 %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03/16/26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8.74 %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08/10/27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12/31/26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11/23/28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12/17/26</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12/10/24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05/11/28</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6.87 %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12/30/26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10.20 %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09/22/28</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9.45 %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11/15/27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6.91 %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5,636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20,00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12/07/23</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9.96 %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11/01/26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9.42 %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19,95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08/27/25</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19,866</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12/20/23</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11.12 %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10/31/24</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02/18/27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02/03/26</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04/01/27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07/31/28</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05/14/26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04/16/27</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8.56 %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12/10/27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09/28/27</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08/19/26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7.80 %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07/09/26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9.45 %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02/04/28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8.41 %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05/18/26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8.32 %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11/09/27</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9.62 %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05/08/26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11/19/26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11/19/26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0.00 %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03/31/25</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9.46 %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12/18/25</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7.75 %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02/28/28</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01/29/26</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9.92 %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8.84 %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06/20/25</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7.74 %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03/10/25</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01/03/25</w:t>
            </w:r>
          </w:p>
        </w:tc>
        <w:tc>
          <w:tcPr>
            <w:tcW w:w="120" w:type="dxa"/>
            <w:vAlign w:val="bottom"/>
            <w:shd w:val="clear" w:color="auto" w:fill="CCECFF"/>
          </w:tcPr>
          <w:p>
            <w:pPr>
              <w:spacing w:after="0"/>
              <w:rPr>
                <w:sz w:val="13"/>
                <w:szCs w:val="13"/>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7.15 %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15,00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06/13/29</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7.90 %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14,794</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05/03/24</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9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01/17/24</w:t>
            </w:r>
          </w:p>
        </w:tc>
        <w:tc>
          <w:tcPr>
            <w:tcW w:w="120" w:type="dxa"/>
            <w:vAlign w:val="bottom"/>
            <w:shd w:val="clear" w:color="auto" w:fill="CCECFF"/>
          </w:tcPr>
          <w:p>
            <w:pPr>
              <w:spacing w:after="0"/>
              <w:rPr>
                <w:sz w:val="12"/>
                <w:szCs w:val="12"/>
                <w:color w:val="auto"/>
              </w:rPr>
            </w:pPr>
          </w:p>
        </w:tc>
        <w:tc>
          <w:tcPr>
            <w:tcW w:w="2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0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12,09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9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12/11/26</w:t>
            </w:r>
          </w:p>
        </w:tc>
        <w:tc>
          <w:tcPr>
            <w:tcW w:w="12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8.37 %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1912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114" w:right="339" w:bottom="1001"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001" w:gutter="0" w:footer="0" w:header="0"/>
          <w:type w:val="continuous"/>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8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960" w:type="dxa"/>
            <w:vAlign w:val="bottom"/>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Par</w:t>
            </w: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auto"/>
            </w:tcBorders>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80" w:type="dxa"/>
            <w:vAlign w:val="bottom"/>
            <w:tcBorders>
              <w:top w:val="single" w:sz="8" w:color="auto"/>
            </w:tcBorders>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48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7/18/2025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10/31/2025</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7/27/2026</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8/30/2027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5,392</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3/26/2026</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6/16/2025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0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4/3/2028</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0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4/3/2024</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5/24/2027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0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3/1/2024</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3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4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738,219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- 864.4%</w:t>
            </w: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- 50.9%</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3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- 915.3%</w:t>
            </w:r>
          </w:p>
        </w:tc>
        <w:tc>
          <w:tcPr>
            <w:tcW w:w="2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3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900" w:type="dxa"/>
            <w:vAlign w:val="bottom"/>
            <w:tcBorders>
              <w:bottom w:val="single" w:sz="8" w:color="CCECFF"/>
            </w:tcBorders>
            <w:gridSpan w:val="3"/>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781,185</w:t>
            </w: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773,073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(815.3)%</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(688,611 )</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3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4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6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84,462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-848360</wp:posOffset>
            </wp:positionV>
            <wp:extent cx="68580" cy="111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-454025</wp:posOffset>
            </wp:positionV>
            <wp:extent cx="68580" cy="111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11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-248285</wp:posOffset>
            </wp:positionV>
            <wp:extent cx="5918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182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2" w:lineRule="exact"/>
        <w:rPr>
          <w:sz w:val="20"/>
          <w:szCs w:val="20"/>
          <w:color w:val="auto"/>
        </w:rPr>
      </w:pPr>
    </w:p>
    <w:p>
      <w:pPr>
        <w:ind w:left="380" w:right="120" w:hanging="372"/>
        <w:spacing w:after="0" w:line="222" w:lineRule="auto"/>
        <w:tabs>
          <w:tab w:leader="none" w:pos="3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1" w:lineRule="auto"/>
        <w:tabs>
          <w:tab w:leader="none" w:pos="3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PSLF ($ in thousands):</w:t>
            </w: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96"/>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CFF"/>
          </w:tcPr>
          <w:p>
            <w:pPr>
              <w:spacing w:after="0"/>
              <w:rPr>
                <w:sz w:val="14"/>
                <w:szCs w:val="14"/>
                <w:color w:val="auto"/>
              </w:rPr>
            </w:pPr>
          </w:p>
        </w:tc>
        <w:tc>
          <w:tcPr>
            <w:tcW w:w="1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(cost—$746,720 and $738,219, respectively)</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100" w:type="dxa"/>
            <w:vAlign w:val="bottom"/>
          </w:tcPr>
          <w:p>
            <w:pPr>
              <w:spacing w:after="0"/>
              <w:rPr>
                <w:sz w:val="15"/>
                <w:szCs w:val="15"/>
                <w:color w:val="auto"/>
              </w:rPr>
            </w:pPr>
          </w:p>
        </w:tc>
      </w:tr>
      <w:tr>
        <w:trPr>
          <w:trHeight w:val="176"/>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(cost—$35,708 and $42,966, respectively)</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42,966</w:t>
            </w:r>
          </w:p>
        </w:tc>
        <w:tc>
          <w:tcPr>
            <w:tcW w:w="100" w:type="dxa"/>
            <w:vAlign w:val="bottom"/>
            <w:shd w:val="clear" w:color="auto" w:fill="CCECFF"/>
          </w:tcPr>
          <w:p>
            <w:pPr>
              <w:spacing w:after="0"/>
              <w:rPr>
                <w:sz w:val="15"/>
                <w:szCs w:val="15"/>
                <w:color w:val="auto"/>
              </w:rPr>
            </w:pPr>
          </w:p>
        </w:tc>
      </w:tr>
      <w:tr>
        <w:trPr>
          <w:trHeight w:val="1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5"/>
                <w:szCs w:val="15"/>
                <w:color w:val="auto"/>
              </w:rPr>
            </w:pPr>
          </w:p>
        </w:tc>
      </w:tr>
      <w:tr>
        <w:trPr>
          <w:trHeight w:val="175"/>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CFF"/>
          </w:tcPr>
          <w:p>
            <w:pPr>
              <w:spacing w:after="0"/>
              <w:rPr>
                <w:sz w:val="15"/>
                <w:szCs w:val="15"/>
                <w:color w:val="auto"/>
              </w:rPr>
            </w:pPr>
          </w:p>
        </w:tc>
      </w:tr>
      <w:tr>
        <w:trPr>
          <w:trHeight w:val="1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5"/>
                <w:szCs w:val="15"/>
                <w:color w:val="auto"/>
              </w:rPr>
            </w:pPr>
          </w:p>
        </w:tc>
      </w:tr>
      <w:tr>
        <w:trPr>
          <w:trHeight w:val="169"/>
        </w:trPr>
        <w:tc>
          <w:tcPr>
            <w:tcW w:w="686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776,939</w:t>
            </w:r>
          </w:p>
        </w:tc>
        <w:tc>
          <w:tcPr>
            <w:tcW w:w="100" w:type="dxa"/>
            <w:vAlign w:val="bottom"/>
            <w:tcBorders>
              <w:bottom w:val="single" w:sz="8" w:color="CCECFF"/>
            </w:tcBorders>
            <w:shd w:val="clear" w:color="auto" w:fill="CCECFF"/>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264,600</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257,600</w:t>
            </w:r>
          </w:p>
        </w:tc>
        <w:tc>
          <w:tcPr>
            <w:tcW w:w="100" w:type="dxa"/>
            <w:vAlign w:val="bottom"/>
            <w:shd w:val="clear" w:color="auto" w:fill="CCECFF"/>
          </w:tcPr>
          <w:p>
            <w:pPr>
              <w:spacing w:after="0"/>
              <w:rPr>
                <w:sz w:val="15"/>
                <w:szCs w:val="15"/>
                <w:color w:val="auto"/>
              </w:rPr>
            </w:pPr>
          </w:p>
        </w:tc>
      </w:tr>
      <w:tr>
        <w:trPr>
          <w:trHeight w:val="17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243,896</w:t>
            </w:r>
          </w:p>
        </w:tc>
        <w:tc>
          <w:tcPr>
            <w:tcW w:w="100" w:type="dxa"/>
            <w:vAlign w:val="bottom"/>
          </w:tcPr>
          <w:p>
            <w:pPr>
              <w:spacing w:after="0"/>
              <w:rPr>
                <w:sz w:val="15"/>
                <w:szCs w:val="15"/>
                <w:color w:val="auto"/>
              </w:rPr>
            </w:pPr>
          </w:p>
        </w:tc>
      </w:tr>
      <w:tr>
        <w:trPr>
          <w:trHeight w:val="175"/>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157,605</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100" w:type="dxa"/>
            <w:vAlign w:val="bottom"/>
            <w:shd w:val="clear" w:color="auto" w:fill="CCECFF"/>
          </w:tcPr>
          <w:p>
            <w:pPr>
              <w:spacing w:after="0"/>
              <w:rPr>
                <w:sz w:val="15"/>
                <w:szCs w:val="15"/>
                <w:color w:val="auto"/>
              </w:rPr>
            </w:pPr>
          </w:p>
        </w:tc>
      </w:tr>
      <w:tr>
        <w:trPr>
          <w:trHeight w:val="1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100" w:type="dxa"/>
            <w:vAlign w:val="bottom"/>
          </w:tcPr>
          <w:p>
            <w:pPr>
              <w:spacing w:after="0"/>
              <w:rPr>
                <w:sz w:val="15"/>
                <w:szCs w:val="15"/>
                <w:color w:val="auto"/>
              </w:rPr>
            </w:pPr>
          </w:p>
        </w:tc>
      </w:tr>
      <w:tr>
        <w:trPr>
          <w:trHeight w:val="175"/>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100" w:type="dxa"/>
            <w:vAlign w:val="bottom"/>
            <w:shd w:val="clear" w:color="auto" w:fill="CCECFF"/>
          </w:tcPr>
          <w:p>
            <w:pPr>
              <w:spacing w:after="0"/>
              <w:rPr>
                <w:sz w:val="15"/>
                <w:szCs w:val="15"/>
                <w:color w:val="auto"/>
              </w:rPr>
            </w:pPr>
          </w:p>
        </w:tc>
      </w:tr>
      <w:tr>
        <w:trPr>
          <w:trHeight w:val="1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5"/>
                <w:szCs w:val="15"/>
                <w:color w:val="auto"/>
              </w:rPr>
            </w:pPr>
          </w:p>
        </w:tc>
      </w:tr>
      <w:tr>
        <w:trPr>
          <w:trHeight w:val="175"/>
        </w:trPr>
        <w:tc>
          <w:tcPr>
            <w:tcW w:w="6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24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CFF"/>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CFF"/>
          </w:tcPr>
          <w:p>
            <w:pPr>
              <w:spacing w:after="0"/>
              <w:rPr>
                <w:sz w:val="15"/>
                <w:szCs w:val="15"/>
                <w:color w:val="auto"/>
              </w:rPr>
            </w:pPr>
          </w:p>
        </w:tc>
      </w:tr>
      <w:tr>
        <w:trPr>
          <w:trHeight w:val="17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r>
      <w:tr>
        <w:trPr>
          <w:trHeight w:val="169"/>
        </w:trPr>
        <w:tc>
          <w:tcPr>
            <w:tcW w:w="686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688,003</w:t>
            </w:r>
          </w:p>
        </w:tc>
        <w:tc>
          <w:tcPr>
            <w:tcW w:w="100" w:type="dxa"/>
            <w:vAlign w:val="bottom"/>
            <w:tcBorders>
              <w:bottom w:val="single" w:sz="8" w:color="CCECFF"/>
            </w:tcBorders>
            <w:shd w:val="clear" w:color="auto" w:fill="CCECFF"/>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696,825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86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9"/>
                <w:szCs w:val="19"/>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86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88,936</w:t>
            </w:r>
          </w:p>
        </w:tc>
        <w:tc>
          <w:tcPr>
            <w:tcW w:w="100" w:type="dxa"/>
            <w:vAlign w:val="bottom"/>
            <w:tcBorders>
              <w:bottom w:val="single" w:sz="8" w:color="CCECFF"/>
            </w:tcBorders>
            <w:shd w:val="clear" w:color="auto" w:fill="CCECFF"/>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84,462</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776,939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100" w:type="dxa"/>
            <w:vAlign w:val="bottom"/>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-1516380</wp:posOffset>
            </wp:positionV>
            <wp:extent cx="6858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-385445</wp:posOffset>
            </wp:positionV>
            <wp:extent cx="6858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-145415</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December 31, 2022 and September 30, 2022, PSLF had unfunded commitments to fund of $0.5 million and $0.1 million, respectively</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860" w:type="dxa"/>
            <w:vAlign w:val="bottom"/>
            <w:gridSpan w:val="2"/>
          </w:tcPr>
          <w:p>
            <w:pPr>
              <w:jc w:val="right"/>
              <w:ind w:right="22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26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3860" w:type="dxa"/>
            <w:vAlign w:val="bottom"/>
            <w:gridSpan w:val="2"/>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18,845</w:t>
            </w:r>
          </w:p>
        </w:tc>
        <w:tc>
          <w:tcPr>
            <w:tcW w:w="120" w:type="dxa"/>
            <w:vAlign w:val="bottom"/>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70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18,942</w:t>
            </w:r>
          </w:p>
        </w:tc>
        <w:tc>
          <w:tcPr>
            <w:tcW w:w="120" w:type="dxa"/>
            <w:vAlign w:val="bottom"/>
            <w:tcBorders>
              <w:bottom w:val="single" w:sz="8" w:color="CCECFF"/>
            </w:tcBorders>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270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120" w:type="dxa"/>
            <w:vAlign w:val="bottom"/>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2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70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270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13,379</w:t>
            </w:r>
          </w:p>
        </w:tc>
        <w:tc>
          <w:tcPr>
            <w:tcW w:w="120" w:type="dxa"/>
            <w:vAlign w:val="bottom"/>
            <w:tcBorders>
              <w:bottom w:val="single" w:sz="8" w:color="CCECFF"/>
            </w:tcBorders>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7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270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(33 )</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70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(3,922 )</w:t>
            </w:r>
          </w:p>
        </w:tc>
        <w:tc>
          <w:tcPr>
            <w:tcW w:w="180" w:type="dxa"/>
            <w:vAlign w:val="bottom"/>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CCECFF"/>
          </w:tcPr>
          <w:p>
            <w:pPr>
              <w:spacing w:after="0" w:line="20" w:lineRule="exact"/>
              <w:rPr>
                <w:sz w:val="1"/>
                <w:szCs w:val="1"/>
                <w:color w:val="auto"/>
              </w:rPr>
            </w:pPr>
          </w:p>
        </w:tc>
        <w:tc>
          <w:tcPr>
            <w:tcW w:w="270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w:t>
            </w:r>
          </w:p>
        </w:tc>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(3,955 )</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2700" w:type="dxa"/>
            <w:vAlign w:val="bottom"/>
          </w:tcPr>
          <w:p>
            <w:pPr>
              <w:spacing w:after="0"/>
              <w:rPr>
                <w:sz w:val="15"/>
                <w:szCs w:val="15"/>
                <w:color w:val="auto"/>
              </w:rPr>
            </w:pPr>
          </w:p>
        </w:tc>
        <w:tc>
          <w:tcPr>
            <w:tcW w:w="1160" w:type="dxa"/>
            <w:vAlign w:val="bottom"/>
            <w:tcBorders>
              <w:top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-1396365</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-710565</wp:posOffset>
            </wp:positionV>
            <wp:extent cx="6858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65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w:t>
      </w:r>
    </w:p>
    <w:p>
      <w:pPr>
        <w:spacing w:after="0" w:line="15"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720" w:right="700" w:hanging="1133"/>
        <w:spacing w:after="0" w:line="241" w:lineRule="auto"/>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jc w:val="both"/>
        <w:ind w:left="1720" w:right="700" w:hanging="1133"/>
        <w:spacing w:after="0" w:line="261"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57"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82"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not readily available. In accordance with ASC 820, we do not categorize any investments for which fair value is measured using the net asset value per share within the fair value hierarchy.</w:t>
      </w:r>
    </w:p>
    <w:p>
      <w:pPr>
        <w:spacing w:after="0" w:line="136"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 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0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66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520" w:type="dxa"/>
            <w:vAlign w:val="bottom"/>
            <w:vMerge w:val="restart"/>
          </w:tcPr>
          <w:p>
            <w:pPr>
              <w:jc w:val="right"/>
              <w:ind w:right="378"/>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0" w:type="dxa"/>
            <w:vAlign w:val="bottom"/>
          </w:tcPr>
          <w:p>
            <w:pPr>
              <w:spacing w:after="0"/>
              <w:rPr>
                <w:sz w:val="1"/>
                <w:szCs w:val="1"/>
                <w:color w:val="auto"/>
              </w:rPr>
            </w:pPr>
          </w:p>
        </w:tc>
      </w:tr>
      <w:tr>
        <w:trPr>
          <w:trHeight w:val="187"/>
        </w:trPr>
        <w:tc>
          <w:tcPr>
            <w:tcW w:w="25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46,082</w:t>
            </w:r>
          </w:p>
        </w:tc>
        <w:tc>
          <w:tcPr>
            <w:tcW w:w="30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602,366</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7.0% - 21.0% (10.8%)</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12,821</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8.0x</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5"/>
                <w:szCs w:val="15"/>
                <w:color w:val="auto"/>
              </w:rPr>
            </w:pPr>
          </w:p>
        </w:tc>
        <w:tc>
          <w:tcPr>
            <w:tcW w:w="166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121,252</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820" w:type="dxa"/>
            <w:vAlign w:val="bottom"/>
            <w:gridSpan w:val="2"/>
            <w:shd w:val="clear" w:color="auto" w:fill="CCECFF"/>
          </w:tcPr>
          <w:p>
            <w:pPr>
              <w:jc w:val="center"/>
              <w:ind w:left="628"/>
              <w:spacing w:after="0"/>
              <w:rPr>
                <w:sz w:val="20"/>
                <w:szCs w:val="20"/>
                <w:color w:val="auto"/>
              </w:rPr>
            </w:pPr>
            <w:r>
              <w:rPr>
                <w:rFonts w:ascii="Times New Roman" w:cs="Times New Roman" w:eastAsia="Times New Roman" w:hAnsi="Times New Roman"/>
                <w:sz w:val="14"/>
                <w:szCs w:val="14"/>
                <w:color w:val="auto"/>
              </w:rPr>
              <w:t>13.0 - 20.7 (14.8%)</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66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6.3x</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148,596</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12.4% - 17.4 (13.3%)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179,383</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6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3.1x - 21.3x (9.4x)</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30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820" w:type="dxa"/>
            <w:vAlign w:val="bottom"/>
            <w:tcBorders>
              <w:bottom w:val="single" w:sz="8" w:color="CCECFF"/>
            </w:tcBorders>
            <w:gridSpan w:val="2"/>
            <w:shd w:val="clear" w:color="auto" w:fill="CCECFF"/>
          </w:tcPr>
          <w:p>
            <w:pPr>
              <w:jc w:val="center"/>
              <w:ind w:left="608"/>
              <w:spacing w:after="0"/>
              <w:rPr>
                <w:sz w:val="20"/>
                <w:szCs w:val="20"/>
                <w:color w:val="auto"/>
              </w:rPr>
            </w:pPr>
            <w:r>
              <w:rPr>
                <w:rFonts w:ascii="Times New Roman" w:cs="Times New Roman" w:eastAsia="Times New Roman" w:hAnsi="Times New Roman"/>
                <w:sz w:val="14"/>
                <w:szCs w:val="14"/>
                <w:color w:val="auto"/>
              </w:rPr>
              <w:t>17.2%</w:t>
            </w:r>
          </w:p>
        </w:tc>
        <w:tc>
          <w:tcPr>
            <w:tcW w:w="5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1,126,730</w:t>
            </w: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1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48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660" w:type="dxa"/>
            <w:vAlign w:val="bottom"/>
            <w:tcBorders>
              <w:bottom w:val="single" w:sz="8" w:color="CCECFF"/>
            </w:tcBorders>
            <w:shd w:val="clear" w:color="auto" w:fill="CCECFF"/>
          </w:tcPr>
          <w:p>
            <w:pPr>
              <w:spacing w:after="0"/>
              <w:rPr>
                <w:sz w:val="15"/>
                <w:szCs w:val="15"/>
                <w:color w:val="auto"/>
              </w:rPr>
            </w:pPr>
          </w:p>
        </w:tc>
        <w:tc>
          <w:tcPr>
            <w:tcW w:w="5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3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367,308</w:t>
            </w:r>
          </w:p>
        </w:tc>
        <w:tc>
          <w:tcPr>
            <w:tcW w:w="300" w:type="dxa"/>
            <w:vAlign w:val="bottom"/>
          </w:tcPr>
          <w:p>
            <w:pPr>
              <w:spacing w:after="0"/>
              <w:rPr>
                <w:sz w:val="14"/>
                <w:szCs w:val="14"/>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4"/>
                <w:szCs w:val="14"/>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820" w:type="dxa"/>
            <w:vAlign w:val="bottom"/>
            <w:gridSpan w:val="2"/>
          </w:tcPr>
          <w:p>
            <w:pPr>
              <w:jc w:val="center"/>
              <w:ind w:left="608"/>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-376555</wp:posOffset>
            </wp:positionV>
            <wp:extent cx="76835"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-145415</wp:posOffset>
            </wp:positionV>
            <wp:extent cx="10287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5" w:lineRule="exact"/>
        <w:rPr>
          <w:rFonts w:ascii="Times New Roman" w:cs="Times New Roman" w:eastAsia="Times New Roman" w:hAnsi="Times New Roman"/>
          <w:sz w:val="11"/>
          <w:szCs w:val="11"/>
          <w:color w:val="auto"/>
        </w:rPr>
      </w:pPr>
    </w:p>
    <w:p>
      <w:pPr>
        <w:ind w:left="760" w:hanging="378"/>
        <w:spacing w:after="0"/>
        <w:tabs>
          <w:tab w:leader="none" w:pos="7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DLOM is defined as discount for lack of marketability.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 Category </w:t>
            </w:r>
            <w:r>
              <w:rPr>
                <w:rFonts w:ascii="Times New Roman" w:cs="Times New Roman" w:eastAsia="Times New Roman" w:hAnsi="Times New Roman"/>
                <w:sz w:val="14"/>
                <w:szCs w:val="14"/>
                <w:color w:val="auto"/>
              </w:rPr>
              <w:t>($ 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8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5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480" w:type="dxa"/>
            <w:vAlign w:val="bottom"/>
            <w:vMerge w:val="restart"/>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87"/>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44,530</w:t>
            </w:r>
          </w:p>
        </w:tc>
        <w:tc>
          <w:tcPr>
            <w:tcW w:w="280" w:type="dxa"/>
            <w:vAlign w:val="bottom"/>
            <w:shd w:val="clear" w:color="auto" w:fill="CCECFF"/>
          </w:tcPr>
          <w:p>
            <w:pPr>
              <w:spacing w:after="0"/>
              <w:rPr>
                <w:sz w:val="14"/>
                <w:szCs w:val="14"/>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580" w:type="dxa"/>
            <w:vAlign w:val="bottom"/>
            <w:shd w:val="clear" w:color="auto" w:fill="CCECFF"/>
          </w:tcPr>
          <w:p>
            <w:pPr>
              <w:jc w:val="center"/>
              <w:ind w:left="408"/>
              <w:spacing w:after="0"/>
              <w:rPr>
                <w:sz w:val="20"/>
                <w:szCs w:val="20"/>
                <w:color w:val="auto"/>
              </w:rPr>
            </w:pPr>
            <w:r>
              <w:rPr>
                <w:rFonts w:ascii="Times New Roman" w:cs="Times New Roman" w:eastAsia="Times New Roman" w:hAnsi="Times New Roman"/>
                <w:sz w:val="14"/>
                <w:szCs w:val="14"/>
                <w:color w:val="auto"/>
              </w:rPr>
              <w:t>N/A</w:t>
            </w:r>
          </w:p>
        </w:tc>
        <w:tc>
          <w:tcPr>
            <w:tcW w:w="4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569,488</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7.0% – 20.2% (10.8%)</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580" w:type="dxa"/>
            <w:vAlign w:val="bottom"/>
            <w:shd w:val="clear" w:color="auto" w:fill="CCECFF"/>
          </w:tcPr>
          <w:p>
            <w:pPr>
              <w:jc w:val="center"/>
              <w:ind w:left="388"/>
              <w:spacing w:after="0"/>
              <w:rPr>
                <w:sz w:val="20"/>
                <w:szCs w:val="20"/>
                <w:color w:val="auto"/>
              </w:rPr>
            </w:pPr>
            <w:r>
              <w:rPr>
                <w:rFonts w:ascii="Times New Roman" w:cs="Times New Roman" w:eastAsia="Times New Roman" w:hAnsi="Times New Roman"/>
                <w:sz w:val="14"/>
                <w:szCs w:val="14"/>
                <w:color w:val="auto"/>
              </w:rPr>
              <w:t>14.0x</w:t>
            </w:r>
          </w:p>
        </w:tc>
        <w:tc>
          <w:tcPr>
            <w:tcW w:w="4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5"/>
                <w:szCs w:val="15"/>
                <w:color w:val="auto"/>
              </w:rPr>
            </w:pPr>
          </w:p>
        </w:tc>
        <w:tc>
          <w:tcPr>
            <w:tcW w:w="15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N/A</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108,336</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shd w:val="clear" w:color="auto" w:fill="CCECFF"/>
          </w:tcPr>
          <w:p>
            <w:pPr>
              <w:spacing w:after="0"/>
              <w:rPr>
                <w:sz w:val="15"/>
                <w:szCs w:val="15"/>
                <w:color w:val="auto"/>
              </w:rPr>
            </w:pPr>
          </w:p>
        </w:tc>
        <w:tc>
          <w:tcPr>
            <w:tcW w:w="20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13.3% – 17.0% (14.4%)</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5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6.0x</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141,265</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shd w:val="clear" w:color="auto" w:fill="CCECFF"/>
          </w:tcPr>
          <w:p>
            <w:pPr>
              <w:spacing w:after="0"/>
              <w:rPr>
                <w:sz w:val="15"/>
                <w:szCs w:val="15"/>
                <w:color w:val="auto"/>
              </w:rPr>
            </w:pPr>
          </w:p>
        </w:tc>
        <w:tc>
          <w:tcPr>
            <w:tcW w:w="20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10.8x – 17.2x (12.3x)</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215,131</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5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3.3x – 21.4x (9.1x)</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280" w:type="dxa"/>
            <w:vAlign w:val="bottom"/>
            <w:tcBorders>
              <w:bottom w:val="single" w:sz="8" w:color="CCECFF"/>
            </w:tcBorders>
            <w:shd w:val="clear" w:color="auto" w:fill="CCECFF"/>
          </w:tcPr>
          <w:p>
            <w:pPr>
              <w:spacing w:after="0"/>
              <w:rPr>
                <w:sz w:val="15"/>
                <w:szCs w:val="15"/>
                <w:color w:val="auto"/>
              </w:rPr>
            </w:pPr>
          </w:p>
        </w:tc>
        <w:tc>
          <w:tcPr>
            <w:tcW w:w="20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2080" w:type="dxa"/>
            <w:vAlign w:val="bottom"/>
            <w:tcBorders>
              <w:bottom w:val="single" w:sz="8" w:color="CCECFF"/>
            </w:tcBorders>
            <w:shd w:val="clear" w:color="auto" w:fill="CCECFF"/>
          </w:tcPr>
          <w:p>
            <w:pPr>
              <w:jc w:val="center"/>
              <w:spacing w:after="0" w:line="175" w:lineRule="exact"/>
              <w:rPr>
                <w:sz w:val="20"/>
                <w:szCs w:val="20"/>
                <w:color w:val="auto"/>
              </w:rPr>
            </w:pPr>
            <w:r>
              <w:rPr>
                <w:rFonts w:ascii="Times New Roman" w:cs="Times New Roman" w:eastAsia="Times New Roman" w:hAnsi="Times New Roman"/>
                <w:sz w:val="14"/>
                <w:szCs w:val="14"/>
                <w:color w:val="auto"/>
                <w:w w:val="92"/>
              </w:rPr>
              <w:t>DLOM</w:t>
            </w:r>
            <w:r>
              <w:rPr>
                <w:rFonts w:ascii="Times New Roman" w:cs="Times New Roman" w:eastAsia="Times New Roman" w:hAnsi="Times New Roman"/>
                <w:sz w:val="19"/>
                <w:szCs w:val="19"/>
                <w:color w:val="auto"/>
                <w:w w:val="92"/>
                <w:vertAlign w:val="superscript"/>
              </w:rPr>
              <w:t>(2)</w:t>
            </w:r>
          </w:p>
        </w:tc>
        <w:tc>
          <w:tcPr>
            <w:tcW w:w="1740" w:type="dxa"/>
            <w:vAlign w:val="bottom"/>
            <w:tcBorders>
              <w:bottom w:val="single" w:sz="8" w:color="CCECFF"/>
            </w:tcBorders>
            <w:gridSpan w:val="2"/>
            <w:shd w:val="clear" w:color="auto" w:fill="CCECFF"/>
          </w:tcPr>
          <w:p>
            <w:pPr>
              <w:jc w:val="center"/>
              <w:ind w:left="568"/>
              <w:spacing w:after="0"/>
              <w:rPr>
                <w:sz w:val="20"/>
                <w:szCs w:val="20"/>
                <w:color w:val="auto"/>
              </w:rPr>
            </w:pPr>
            <w:r>
              <w:rPr>
                <w:rFonts w:ascii="Times New Roman" w:cs="Times New Roman" w:eastAsia="Times New Roman" w:hAnsi="Times New Roman"/>
                <w:sz w:val="14"/>
                <w:szCs w:val="14"/>
                <w:color w:val="auto"/>
              </w:rPr>
              <w:t>11.8</w:t>
            </w:r>
          </w:p>
        </w:tc>
        <w:tc>
          <w:tcPr>
            <w:tcW w:w="4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3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auto"/>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12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5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580" w:type="dxa"/>
            <w:vAlign w:val="bottom"/>
            <w:tcBorders>
              <w:bottom w:val="single" w:sz="8" w:color="CCECFF"/>
            </w:tcBorders>
            <w:shd w:val="clear" w:color="auto" w:fill="CCECFF"/>
          </w:tcPr>
          <w:p>
            <w:pPr>
              <w:spacing w:after="0"/>
              <w:rPr>
                <w:sz w:val="13"/>
                <w:szCs w:val="13"/>
                <w:color w:val="auto"/>
              </w:rPr>
            </w:pPr>
          </w:p>
        </w:tc>
        <w:tc>
          <w:tcPr>
            <w:tcW w:w="4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340" w:type="dxa"/>
            <w:vAlign w:val="bottom"/>
            <w:gridSpan w:val="3"/>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376,687</w:t>
            </w:r>
          </w:p>
        </w:tc>
        <w:tc>
          <w:tcPr>
            <w:tcW w:w="280" w:type="dxa"/>
            <w:vAlign w:val="bottom"/>
          </w:tcPr>
          <w:p>
            <w:pPr>
              <w:spacing w:after="0"/>
              <w:rPr>
                <w:sz w:val="14"/>
                <w:szCs w:val="14"/>
                <w:color w:val="auto"/>
              </w:rPr>
            </w:pPr>
          </w:p>
        </w:tc>
        <w:tc>
          <w:tcPr>
            <w:tcW w:w="20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4"/>
                <w:szCs w:val="14"/>
                <w:color w:val="auto"/>
              </w:rPr>
            </w:pPr>
          </w:p>
        </w:tc>
        <w:tc>
          <w:tcPr>
            <w:tcW w:w="20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740" w:type="dxa"/>
            <w:vAlign w:val="bottom"/>
            <w:gridSpan w:val="2"/>
          </w:tcPr>
          <w:p>
            <w:pPr>
              <w:jc w:val="center"/>
              <w:ind w:left="568"/>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-496570</wp:posOffset>
            </wp:positionV>
            <wp:extent cx="7683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-239395</wp:posOffset>
            </wp:positionV>
            <wp:extent cx="10287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88" w:lineRule="exact"/>
        <w:rPr>
          <w:sz w:val="20"/>
          <w:szCs w:val="20"/>
          <w:color w:val="auto"/>
        </w:rPr>
      </w:pPr>
    </w:p>
    <w:p>
      <w:pPr>
        <w:ind w:left="560" w:hanging="552"/>
        <w:spacing w:after="0"/>
        <w:tabs>
          <w:tab w:leader="none" w:pos="5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7" w:lineRule="exact"/>
        <w:rPr>
          <w:rFonts w:ascii="Times New Roman" w:cs="Times New Roman" w:eastAsia="Times New Roman" w:hAnsi="Times New Roman"/>
          <w:sz w:val="11"/>
          <w:szCs w:val="11"/>
          <w:color w:val="auto"/>
        </w:rPr>
      </w:pPr>
    </w:p>
    <w:p>
      <w:pPr>
        <w:ind w:left="560" w:hanging="552"/>
        <w:spacing w:after="0"/>
        <w:tabs>
          <w:tab w:leader="none" w:pos="5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DLOM is defined as discount for lack of marketability.</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investments, cash and cash equivalents, Truist Credit Facility, SBA debentures, 2024 Notes, 2026 Notes and 2026 Notes-2 were categorized as follows in the fair value hierarchy: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December 31, 2022</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940,621</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940,621</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255,414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186,109</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1,196,035</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1,126,730</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68,796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1,224,591</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29,065</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1,126,730</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68,796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367,308</w:t>
            </w:r>
          </w:p>
        </w:tc>
        <w:tc>
          <w:tcPr>
            <w:tcW w:w="52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367,308</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19,701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19,701</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146,993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146,993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Notes-2</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161,586</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161,586</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695,588</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308,579</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-616585</wp:posOffset>
            </wp:positionV>
            <wp:extent cx="385762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57625" cy="13716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-144780</wp:posOffset>
            </wp:positionV>
            <wp:extent cx="7747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-144780</wp:posOffset>
            </wp:positionV>
            <wp:extent cx="6858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-144780</wp:posOffset>
            </wp:positionV>
            <wp:extent cx="6858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-144780</wp:posOffset>
            </wp:positionV>
            <wp:extent cx="685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1912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3" w:lineRule="exact"/>
        <w:rPr>
          <w:sz w:val="20"/>
          <w:szCs w:val="20"/>
          <w:color w:val="auto"/>
        </w:rPr>
      </w:pPr>
    </w:p>
    <w:p>
      <w:pPr>
        <w:ind w:left="480" w:right="160" w:hanging="459"/>
        <w:spacing w:after="0" w:line="247"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spacing w:after="0" w:line="1" w:lineRule="exact"/>
        <w:rPr>
          <w:rFonts w:ascii="Times New Roman" w:cs="Times New Roman" w:eastAsia="Times New Roman" w:hAnsi="Times New Roman"/>
          <w:sz w:val="12"/>
          <w:szCs w:val="12"/>
          <w:color w:val="auto"/>
        </w:rPr>
      </w:pPr>
    </w:p>
    <w:p>
      <w:pPr>
        <w:ind w:left="480" w:right="440" w:hanging="459"/>
        <w:spacing w:after="0" w:line="253"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the 2026 Notes and the 2026 Notes-2, and thus the balance reported in the Consolidated Statement of Assets and Liabilities represents the carrying value. As of December 31, 2022, the carrying value of the SBA debentures approximates the fair value.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September 30, 2022</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324,136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257,162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1,278,967</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52,970</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4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376,687</w:t>
            </w:r>
          </w:p>
        </w:tc>
        <w:tc>
          <w:tcPr>
            <w:tcW w:w="50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376,687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2026-2 Notes </w:t>
            </w:r>
            <w:r>
              <w:rPr>
                <w:rFonts w:ascii="Times New Roman" w:cs="Times New Roman" w:eastAsia="Times New Roman" w:hAnsi="Times New Roman"/>
                <w:sz w:val="19"/>
                <w:szCs w:val="19"/>
                <w:color w:val="auto"/>
                <w:vertAlign w:val="superscript"/>
              </w:rPr>
              <w:t>(2)</w:t>
            </w:r>
          </w:p>
        </w:tc>
        <w:tc>
          <w:tcPr>
            <w:tcW w:w="1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6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704,513</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308,140</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-616585</wp:posOffset>
            </wp:positionV>
            <wp:extent cx="384873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48735" cy="1371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-144780</wp:posOffset>
            </wp:positionV>
            <wp:extent cx="7747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-144780</wp:posOffset>
            </wp:positionV>
            <wp:extent cx="685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-144780</wp:posOffset>
            </wp:positionV>
            <wp:extent cx="6858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-144780</wp:posOffset>
            </wp:positionV>
            <wp:extent cx="6858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191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4" w:lineRule="exact"/>
        <w:rPr>
          <w:sz w:val="20"/>
          <w:szCs w:val="20"/>
          <w:color w:val="auto"/>
        </w:rPr>
      </w:pPr>
    </w:p>
    <w:p>
      <w:pPr>
        <w:ind w:left="480" w:right="160" w:hanging="459"/>
        <w:spacing w:after="0" w:line="247" w:lineRule="auto"/>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1" w:lineRule="exact"/>
        <w:rPr>
          <w:rFonts w:ascii="Times New Roman" w:cs="Times New Roman" w:eastAsia="Times New Roman" w:hAnsi="Times New Roman"/>
          <w:sz w:val="12"/>
          <w:szCs w:val="12"/>
          <w:color w:val="auto"/>
        </w:rPr>
      </w:pPr>
    </w:p>
    <w:p>
      <w:pPr>
        <w:ind w:left="480" w:right="160" w:hanging="459"/>
        <w:spacing w:after="0" w:line="253" w:lineRule="auto"/>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and the 2026 Notes and thus the balance reported in the Consolidated Statement of Assets and Liabilities represents the carrying value. As of September 30, 2022, the carrying value of the SBA debentures approximates the fair value.</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right"/>
              <w:ind w:right="82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1420" w:type="dxa"/>
            <w:vAlign w:val="bottom"/>
            <w:gridSpan w:val="2"/>
          </w:tcPr>
          <w:p>
            <w:pPr>
              <w:jc w:val="right"/>
              <w:ind w:right="7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0" w:type="dxa"/>
            <w:vAlign w:val="bottom"/>
          </w:tcPr>
          <w:p>
            <w:pPr>
              <w:spacing w:after="0"/>
              <w:rPr>
                <w:sz w:val="11"/>
                <w:szCs w:val="11"/>
                <w:color w:val="auto"/>
              </w:rPr>
            </w:pPr>
          </w:p>
        </w:tc>
        <w:tc>
          <w:tcPr>
            <w:tcW w:w="11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220" w:type="dxa"/>
            <w:vAlign w:val="bottom"/>
          </w:tcPr>
          <w:p>
            <w:pPr>
              <w:spacing w:after="0"/>
              <w:rPr>
                <w:sz w:val="9"/>
                <w:szCs w:val="9"/>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9"/>
                <w:szCs w:val="9"/>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2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257,162</w:t>
            </w:r>
          </w:p>
        </w:tc>
        <w:tc>
          <w:tcPr>
            <w:tcW w:w="24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realized (loss) gain</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22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(5,885 )</w:t>
            </w: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(83,427 )</w:t>
            </w:r>
          </w:p>
        </w:tc>
        <w:tc>
          <w:tcPr>
            <w:tcW w:w="4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(89,312 )</w:t>
            </w:r>
          </w:p>
        </w:tc>
        <w:tc>
          <w:tcPr>
            <w:tcW w:w="0" w:type="dxa"/>
            <w:vAlign w:val="bottom"/>
          </w:tcPr>
          <w:p>
            <w:pPr>
              <w:spacing w:after="0"/>
              <w:rPr>
                <w:sz w:val="1"/>
                <w:szCs w:val="1"/>
                <w:color w:val="auto"/>
              </w:rPr>
            </w:pPr>
          </w:p>
        </w:tc>
      </w:tr>
      <w:tr>
        <w:trPr>
          <w:trHeight w:val="176"/>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(24,590 )</w:t>
            </w: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(6,030 )</w:t>
            </w:r>
          </w:p>
        </w:tc>
        <w:tc>
          <w:tcPr>
            <w:tcW w:w="4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(30,620 )</w:t>
            </w:r>
          </w:p>
        </w:tc>
        <w:tc>
          <w:tcPr>
            <w:tcW w:w="0" w:type="dxa"/>
            <w:vAlign w:val="bottom"/>
          </w:tcPr>
          <w:p>
            <w:pPr>
              <w:spacing w:after="0"/>
              <w:rPr>
                <w:sz w:val="1"/>
                <w:szCs w:val="1"/>
                <w:color w:val="auto"/>
              </w:rPr>
            </w:pPr>
          </w:p>
        </w:tc>
      </w:tr>
      <w:tr>
        <w:trPr>
          <w:trHeight w:val="175"/>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22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940,622</w:t>
            </w:r>
          </w:p>
        </w:tc>
        <w:tc>
          <w:tcPr>
            <w:tcW w:w="2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186,108</w:t>
            </w:r>
          </w:p>
        </w:tc>
        <w:tc>
          <w:tcPr>
            <w:tcW w:w="24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1,126,730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4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(5,667 )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(83,580 )</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(89,247 )</w:t>
            </w:r>
          </w:p>
        </w:tc>
        <w:tc>
          <w:tcPr>
            <w:tcW w:w="0" w:type="dxa"/>
            <w:vAlign w:val="bottom"/>
          </w:tcPr>
          <w:p>
            <w:pPr>
              <w:spacing w:after="0"/>
              <w:rPr>
                <w:sz w:val="1"/>
                <w:szCs w:val="1"/>
                <w:color w:val="auto"/>
              </w:rPr>
            </w:pPr>
          </w:p>
        </w:tc>
      </w:tr>
      <w:tr>
        <w:trPr>
          <w:trHeight w:val="144"/>
        </w:trPr>
        <w:tc>
          <w:tcPr>
            <w:tcW w:w="64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right"/>
              <w:ind w:right="82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1420" w:type="dxa"/>
            <w:vAlign w:val="bottom"/>
            <w:gridSpan w:val="2"/>
          </w:tcPr>
          <w:p>
            <w:pPr>
              <w:jc w:val="right"/>
              <w:ind w:right="7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0" w:type="dxa"/>
            <w:vAlign w:val="bottom"/>
          </w:tcPr>
          <w:p>
            <w:pPr>
              <w:spacing w:after="0"/>
              <w:rPr>
                <w:sz w:val="11"/>
                <w:szCs w:val="11"/>
                <w:color w:val="auto"/>
              </w:rPr>
            </w:pPr>
          </w:p>
        </w:tc>
        <w:tc>
          <w:tcPr>
            <w:tcW w:w="11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220" w:type="dxa"/>
            <w:vAlign w:val="bottom"/>
          </w:tcPr>
          <w:p>
            <w:pPr>
              <w:spacing w:after="0"/>
              <w:rPr>
                <w:sz w:val="9"/>
                <w:szCs w:val="9"/>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9"/>
                <w:szCs w:val="9"/>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2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24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realized (loss) gain</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(26,196 )</w:t>
            </w:r>
          </w:p>
        </w:tc>
        <w:tc>
          <w:tcPr>
            <w:tcW w:w="4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(26,166 )</w:t>
            </w:r>
          </w:p>
        </w:tc>
        <w:tc>
          <w:tcPr>
            <w:tcW w:w="0" w:type="dxa"/>
            <w:vAlign w:val="bottom"/>
          </w:tcPr>
          <w:p>
            <w:pPr>
              <w:spacing w:after="0"/>
              <w:rPr>
                <w:sz w:val="1"/>
                <w:szCs w:val="1"/>
                <w:color w:val="auto"/>
              </w:rPr>
            </w:pPr>
          </w:p>
        </w:tc>
      </w:tr>
      <w:tr>
        <w:trPr>
          <w:trHeight w:val="175"/>
        </w:trPr>
        <w:tc>
          <w:tcPr>
            <w:tcW w:w="64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22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(7,014 )</w:t>
            </w:r>
          </w:p>
        </w:tc>
        <w:tc>
          <w:tcPr>
            <w:tcW w:w="2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53,736</w:t>
            </w:r>
          </w:p>
        </w:tc>
        <w:tc>
          <w:tcPr>
            <w:tcW w:w="24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46,722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(123,718 )</w:t>
            </w: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(6,134 )</w:t>
            </w:r>
          </w:p>
        </w:tc>
        <w:tc>
          <w:tcPr>
            <w:tcW w:w="4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(129,852 )</w:t>
            </w:r>
          </w:p>
        </w:tc>
        <w:tc>
          <w:tcPr>
            <w:tcW w:w="0" w:type="dxa"/>
            <w:vAlign w:val="bottom"/>
          </w:tcPr>
          <w:p>
            <w:pPr>
              <w:spacing w:after="0"/>
              <w:rPr>
                <w:sz w:val="1"/>
                <w:szCs w:val="1"/>
                <w:color w:val="auto"/>
              </w:rPr>
            </w:pPr>
          </w:p>
        </w:tc>
      </w:tr>
      <w:tr>
        <w:trPr>
          <w:trHeight w:val="175"/>
        </w:trPr>
        <w:tc>
          <w:tcPr>
            <w:tcW w:w="64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22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1,005,312</w:t>
            </w:r>
          </w:p>
        </w:tc>
        <w:tc>
          <w:tcPr>
            <w:tcW w:w="2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398,065</w:t>
            </w:r>
          </w:p>
        </w:tc>
        <w:tc>
          <w:tcPr>
            <w:tcW w:w="24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1,403,377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4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(6,126 )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53,800</w:t>
            </w:r>
          </w:p>
        </w:tc>
        <w:tc>
          <w:tcPr>
            <w:tcW w:w="24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-1868170</wp:posOffset>
            </wp:positionV>
            <wp:extent cx="2177415" cy="3257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77415" cy="3257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-325120</wp:posOffset>
            </wp:positionV>
            <wp:extent cx="2177415" cy="3257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77415" cy="3257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040" w:type="dxa"/>
            <w:vAlign w:val="bottom"/>
            <w:gridSpan w:val="3"/>
          </w:tcPr>
          <w:p>
            <w:pPr>
              <w:jc w:val="right"/>
              <w:ind w:right="15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60" w:type="dxa"/>
            <w:vAlign w:val="bottom"/>
          </w:tcPr>
          <w:p>
            <w:pPr>
              <w:spacing w:after="0"/>
              <w:rPr>
                <w:sz w:val="24"/>
                <w:szCs w:val="24"/>
                <w:color w:val="auto"/>
              </w:rPr>
            </w:pPr>
          </w:p>
        </w:tc>
        <w:tc>
          <w:tcPr>
            <w:tcW w:w="970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69"/>
        </w:trPr>
        <w:tc>
          <w:tcPr>
            <w:tcW w:w="4820" w:type="dxa"/>
            <w:vAlign w:val="bottom"/>
            <w:tcBorders>
              <w:bottom w:val="single" w:sz="8" w:color="auto"/>
            </w:tcBorders>
            <w:gridSpan w:val="2"/>
            <w:vMerge w:val="continue"/>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$385,920 and $316,545, respectively)</w:t>
            </w:r>
          </w:p>
        </w:tc>
        <w:tc>
          <w:tcPr>
            <w:tcW w:w="24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280" w:type="dxa"/>
            <w:vAlign w:val="bottom"/>
            <w:shd w:val="clear" w:color="auto" w:fill="CCECFF"/>
          </w:tcPr>
          <w:p>
            <w:pPr>
              <w:spacing w:after="0"/>
              <w:rPr>
                <w:sz w:val="14"/>
                <w:szCs w:val="14"/>
                <w:color w:val="auto"/>
              </w:rPr>
            </w:pPr>
          </w:p>
        </w:tc>
        <w:tc>
          <w:tcPr>
            <w:tcW w:w="500" w:type="dxa"/>
            <w:vAlign w:val="bottom"/>
            <w:shd w:val="clear" w:color="auto" w:fill="CCEC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unrealized appreciation (depreciation) included in earnings</w:t>
            </w: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(4,379 )</w:t>
            </w: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shd w:val="clear" w:color="auto" w:fill="CCECFF"/>
          </w:tcPr>
          <w:p>
            <w:pPr>
              <w:spacing w:after="0"/>
              <w:rPr>
                <w:sz w:val="15"/>
                <w:szCs w:val="15"/>
                <w:color w:val="auto"/>
              </w:rPr>
            </w:pPr>
          </w:p>
        </w:tc>
        <w:tc>
          <w:tcPr>
            <w:tcW w:w="4560" w:type="dxa"/>
            <w:vAlign w:val="bottom"/>
            <w:shd w:val="clear" w:color="auto" w:fill="CCECFF"/>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(1)</w:t>
            </w:r>
          </w:p>
        </w:tc>
        <w:tc>
          <w:tcPr>
            <w:tcW w:w="24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8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416,897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56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9"/>
                <w:szCs w:val="19"/>
                <w:color w:val="auto"/>
                <w:vertAlign w:val="superscript"/>
              </w:rPr>
              <w:t>(1)</w:t>
            </w: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(49,000 )</w:t>
            </w:r>
          </w:p>
        </w:tc>
        <w:tc>
          <w:tcPr>
            <w:tcW w:w="5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(288,218 )</w:t>
            </w:r>
          </w:p>
        </w:tc>
        <w:tc>
          <w:tcPr>
            <w:tcW w:w="0" w:type="dxa"/>
            <w:vAlign w:val="bottom"/>
          </w:tcPr>
          <w:p>
            <w:pPr>
              <w:spacing w:after="0"/>
              <w:rPr>
                <w:sz w:val="1"/>
                <w:szCs w:val="1"/>
                <w:color w:val="auto"/>
              </w:rPr>
            </w:pPr>
          </w:p>
        </w:tc>
      </w:tr>
      <w:tr>
        <w:trPr>
          <w:trHeight w:val="176"/>
        </w:trPr>
        <w:tc>
          <w:tcPr>
            <w:tcW w:w="260" w:type="dxa"/>
            <w:vAlign w:val="bottom"/>
            <w:tcBorders>
              <w:bottom w:val="single" w:sz="8" w:color="CCECFF"/>
            </w:tcBorders>
            <w:shd w:val="clear" w:color="auto" w:fill="CCECFF"/>
          </w:tcPr>
          <w:p>
            <w:pPr>
              <w:spacing w:after="0"/>
              <w:rPr>
                <w:sz w:val="15"/>
                <w:szCs w:val="15"/>
                <w:color w:val="auto"/>
              </w:rPr>
            </w:pPr>
          </w:p>
        </w:tc>
        <w:tc>
          <w:tcPr>
            <w:tcW w:w="45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246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380" w:type="dxa"/>
            <w:vAlign w:val="bottom"/>
            <w:tcBorders>
              <w:bottom w:val="single" w:sz="8" w:color="auto"/>
            </w:tcBorders>
            <w:shd w:val="clear" w:color="auto" w:fill="CCECFF"/>
          </w:tcPr>
          <w:p>
            <w:pPr>
              <w:spacing w:after="0"/>
              <w:rPr>
                <w:sz w:val="15"/>
                <w:szCs w:val="15"/>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Balance (cost – $380,920 and $445,224, respectively)</w:t>
            </w:r>
          </w:p>
        </w:tc>
        <w:tc>
          <w:tcPr>
            <w:tcW w:w="2660" w:type="dxa"/>
            <w:vAlign w:val="bottom"/>
            <w:gridSpan w:val="2"/>
          </w:tcPr>
          <w:p>
            <w:pPr>
              <w:spacing w:after="0"/>
              <w:rPr>
                <w:sz w:val="14"/>
                <w:szCs w:val="14"/>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367,308</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tcBorders>
              <w:bottom w:val="single" w:sz="8" w:color="CCECFF"/>
            </w:tcBorders>
            <w:shd w:val="clear" w:color="auto" w:fill="CCECFF"/>
          </w:tcPr>
          <w:p>
            <w:pPr>
              <w:spacing w:after="0"/>
              <w:rPr>
                <w:sz w:val="13"/>
                <w:szCs w:val="13"/>
                <w:color w:val="auto"/>
              </w:rPr>
            </w:pPr>
          </w:p>
        </w:tc>
        <w:tc>
          <w:tcPr>
            <w:tcW w:w="4560" w:type="dxa"/>
            <w:vAlign w:val="bottom"/>
            <w:tcBorders>
              <w:bottom w:val="single" w:sz="8" w:color="CCECFF"/>
            </w:tcBorders>
            <w:shd w:val="clear" w:color="auto" w:fill="CCECFF"/>
          </w:tcPr>
          <w:p>
            <w:pPr>
              <w:ind w:left="120"/>
              <w:spacing w:after="0" w:line="156" w:lineRule="exact"/>
              <w:rPr>
                <w:sz w:val="20"/>
                <w:szCs w:val="20"/>
                <w:color w:val="auto"/>
              </w:rPr>
            </w:pPr>
            <w:r>
              <w:rPr>
                <w:rFonts w:ascii="Times New Roman" w:cs="Times New Roman" w:eastAsia="Times New Roman" w:hAnsi="Times New Roman"/>
                <w:sz w:val="14"/>
                <w:szCs w:val="14"/>
                <w:color w:val="auto"/>
              </w:rPr>
              <w:t>Temporary draws outstanding, at cost</w:t>
            </w:r>
          </w:p>
        </w:tc>
        <w:tc>
          <w:tcPr>
            <w:tcW w:w="24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top w:val="single" w:sz="8" w:color="auto"/>
              <w:bottom w:val="single" w:sz="8" w:color="auto"/>
            </w:tcBorders>
            <w:shd w:val="clear" w:color="auto" w:fill="CCECFF"/>
          </w:tcPr>
          <w:p>
            <w:pPr>
              <w:spacing w:after="0"/>
              <w:rPr>
                <w:sz w:val="13"/>
                <w:szCs w:val="13"/>
                <w:color w:val="auto"/>
              </w:rPr>
            </w:pPr>
          </w:p>
        </w:tc>
        <w:tc>
          <w:tcPr>
            <w:tcW w:w="132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Balance (cost – $380,920 and $445,224, respectively)</w:t>
            </w:r>
          </w:p>
        </w:tc>
        <w:tc>
          <w:tcPr>
            <w:tcW w:w="3040" w:type="dxa"/>
            <w:vAlign w:val="bottom"/>
            <w:gridSpan w:val="3"/>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367,308</w:t>
            </w:r>
          </w:p>
        </w:tc>
        <w:tc>
          <w:tcPr>
            <w:tcW w:w="280" w:type="dxa"/>
            <w:vAlign w:val="bottom"/>
          </w:tcPr>
          <w:p>
            <w:pPr>
              <w:spacing w:after="0"/>
              <w:rPr>
                <w:sz w:val="14"/>
                <w:szCs w:val="14"/>
                <w:color w:val="auto"/>
              </w:rPr>
            </w:pPr>
          </w:p>
        </w:tc>
        <w:tc>
          <w:tcPr>
            <w:tcW w:w="500" w:type="dxa"/>
            <w:vAlign w:val="bottom"/>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444,488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w:t>
            </w:r>
          </w:p>
        </w:tc>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Excludes temporary draws.</w:t>
            </w: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60" w:type="dxa"/>
            <w:vAlign w:val="bottom"/>
            <w:vMerge w:val="continue"/>
          </w:tcPr>
          <w:p>
            <w:pPr>
              <w:spacing w:after="0"/>
              <w:rPr>
                <w:sz w:val="23"/>
                <w:szCs w:val="23"/>
                <w:color w:val="auto"/>
              </w:rPr>
            </w:pPr>
          </w:p>
        </w:tc>
        <w:tc>
          <w:tcPr>
            <w:tcW w:w="4560" w:type="dxa"/>
            <w:vAlign w:val="bottom"/>
            <w:vMerge w:val="continue"/>
          </w:tcPr>
          <w:p>
            <w:pPr>
              <w:spacing w:after="0"/>
              <w:rPr>
                <w:sz w:val="23"/>
                <w:szCs w:val="23"/>
                <w:color w:val="auto"/>
              </w:rPr>
            </w:pPr>
          </w:p>
        </w:tc>
        <w:tc>
          <w:tcPr>
            <w:tcW w:w="2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-584835</wp:posOffset>
            </wp:positionV>
            <wp:extent cx="6858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-584835</wp:posOffset>
            </wp:positionV>
            <wp:extent cx="6858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-327660</wp:posOffset>
            </wp:positionV>
            <wp:extent cx="6858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-327660</wp:posOffset>
            </wp:positionV>
            <wp:extent cx="6858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89"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2022, we had outstanding non-U.S. dollar borrowings on our Credit Facility. Net change in fair value on foreign currency translation on outstanding borrowings is listed below ($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30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49,420</w:t>
            </w:r>
          </w:p>
        </w:tc>
        <w:tc>
          <w:tcPr>
            <w:tcW w:w="2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43,304</w:t>
            </w:r>
          </w:p>
        </w:tc>
        <w:tc>
          <w:tcPr>
            <w:tcW w:w="28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March 31, 2023</w:t>
            </w:r>
          </w:p>
        </w:tc>
        <w:tc>
          <w:tcPr>
            <w:tcW w:w="16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(6,116</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301" w:lineRule="exact"/>
        <w:rPr>
          <w:sz w:val="20"/>
          <w:szCs w:val="20"/>
          <w:color w:val="auto"/>
        </w:rPr>
      </w:pPr>
    </w:p>
    <w:p>
      <w:pPr>
        <w:ind w:right="660" w:firstLine="449"/>
        <w:spacing w:after="0" w:line="261" w:lineRule="auto"/>
        <w:rPr>
          <w:sz w:val="20"/>
          <w:szCs w:val="20"/>
          <w:color w:val="auto"/>
        </w:rPr>
      </w:pPr>
      <w:r>
        <w:rPr>
          <w:rFonts w:ascii="Times New Roman" w:cs="Times New Roman" w:eastAsia="Times New Roman" w:hAnsi="Times New Roman"/>
          <w:sz w:val="14"/>
          <w:szCs w:val="14"/>
          <w:color w:val="auto"/>
        </w:rPr>
        <w:t>As of September 30, 2022, we had outstanding non-U.S. dollar borrowings on our Truist Credit Facility. Net change in fair value on foreign currency translation on outstanding borrowings is listed below ($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30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49,420</w:t>
            </w:r>
          </w:p>
        </w:tc>
        <w:tc>
          <w:tcPr>
            <w:tcW w:w="2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40,187</w:t>
            </w:r>
          </w:p>
        </w:tc>
        <w:tc>
          <w:tcPr>
            <w:tcW w:w="280" w:type="dxa"/>
            <w:vAlign w:val="bottom"/>
            <w:shd w:val="clear" w:color="auto" w:fill="CCECFF"/>
          </w:tcPr>
          <w:p>
            <w:pPr>
              <w:spacing w:after="0"/>
              <w:rPr>
                <w:sz w:val="14"/>
                <w:szCs w:val="14"/>
                <w:color w:val="auto"/>
              </w:rPr>
            </w:pPr>
          </w:p>
        </w:tc>
        <w:tc>
          <w:tcPr>
            <w:tcW w:w="16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126"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months ended December 31,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2024 Notes, the 2026 Notes, 2026 Notes-2, and the SBA debentures.</w:t>
      </w:r>
    </w:p>
    <w:p>
      <w:pPr>
        <w:spacing w:after="0" w:line="197"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2022 and 2021, the Truist Credit Facility had a net change in unrealized (appreciation) depreciation of $4.4 million and $(1.0) million, respectively. As of December 31, 2022 and September 30, 2022, the net unrealized depreciation on the Truist Credit Facility totaled $13.6 million and $9.2 million, respectively. We use an independent valuation service to measure the fair value of our Truist Credit Facility in a manner consistent with the valuation process that our board of directors uses to value our investments.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2022 were as follows ($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Change in</w:t>
            </w: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257"/>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Appreciation /</w:t>
            </w:r>
          </w:p>
        </w:tc>
        <w:tc>
          <w:tcPr>
            <w:tcW w:w="80" w:type="dxa"/>
            <w:vAlign w:val="bottom"/>
          </w:tcPr>
          <w:p>
            <w:pPr>
              <w:spacing w:after="0"/>
              <w:rPr>
                <w:sz w:val="11"/>
                <w:szCs w:val="11"/>
                <w:color w:val="auto"/>
              </w:rPr>
            </w:pPr>
          </w:p>
        </w:tc>
        <w:tc>
          <w:tcPr>
            <w:tcW w:w="8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0"/>
              </w:rPr>
              <w:t>Dividend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97"/>
              <w:spacing w:after="0" w:line="175" w:lineRule="exact"/>
              <w:rPr>
                <w:sz w:val="20"/>
                <w:szCs w:val="20"/>
                <w:color w:val="auto"/>
              </w:rPr>
            </w:pPr>
            <w:r>
              <w:rPr>
                <w:rFonts w:ascii="Times New Roman" w:cs="Times New Roman" w:eastAsia="Times New Roman" w:hAnsi="Times New Roman"/>
                <w:sz w:val="13"/>
                <w:szCs w:val="13"/>
                <w:b w:val="1"/>
                <w:bCs w:val="1"/>
                <w:color w:val="auto"/>
                <w:w w:val="98"/>
              </w:rPr>
              <w:t>Additions</w:t>
            </w:r>
            <w:r>
              <w:rPr>
                <w:rFonts w:ascii="Times New Roman" w:cs="Times New Roman" w:eastAsia="Times New Roman" w:hAnsi="Times New Roman"/>
                <w:sz w:val="16"/>
                <w:szCs w:val="16"/>
                <w:b w:val="1"/>
                <w:bCs w:val="1"/>
                <w:color w:val="auto"/>
                <w:w w:val="98"/>
                <w:vertAlign w:val="superscript"/>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4"/>
              </w:rPr>
              <w:t>(Depreciation)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PennantPark Senior Loan Fund,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LLC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(2,052 )</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74,282</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(42,341 )</w:t>
            </w:r>
          </w:p>
        </w:tc>
        <w:tc>
          <w:tcPr>
            <w:tcW w:w="8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31,941</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259,386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(41,048 )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Cascade Environmental Holdings,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CFF"/>
          </w:tcPr>
          <w:p>
            <w:pPr>
              <w:ind w:left="20"/>
              <w:spacing w:after="0" w:line="131" w:lineRule="exact"/>
              <w:rPr>
                <w:sz w:val="20"/>
                <w:szCs w:val="20"/>
                <w:color w:val="auto"/>
              </w:rPr>
            </w:pPr>
            <w:r>
              <w:rPr>
                <w:rFonts w:ascii="Times New Roman" w:cs="Times New Roman" w:eastAsia="Times New Roman" w:hAnsi="Times New Roman"/>
                <w:sz w:val="13"/>
                <w:szCs w:val="13"/>
                <w:color w:val="auto"/>
              </w:rPr>
              <w:t>MidOcean JF Holdings</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vMerge w:val="restart"/>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vMerge w:val="restart"/>
            <w:shd w:val="clear" w:color="auto" w:fill="CCECFF"/>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Corp.</w:t>
            </w: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vMerge w:val="continue"/>
            <w:shd w:val="clear" w:color="auto" w:fill="CCECFF"/>
          </w:tcPr>
          <w:p>
            <w:pPr>
              <w:spacing w:after="0"/>
              <w:rPr>
                <w:sz w:val="13"/>
                <w:szCs w:val="13"/>
                <w:color w:val="auto"/>
              </w:rPr>
            </w:pPr>
          </w:p>
        </w:tc>
        <w:tc>
          <w:tcPr>
            <w:tcW w:w="180" w:type="dxa"/>
            <w:vAlign w:val="bottom"/>
            <w:tcBorders>
              <w:bottom w:val="single" w:sz="8" w:color="CCECFF"/>
            </w:tcBorders>
            <w:vMerge w:val="continue"/>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600" w:type="dxa"/>
            <w:vAlign w:val="bottom"/>
            <w:tcBorders>
              <w:bottom w:val="single" w:sz="8" w:color="auto"/>
            </w:tcBorders>
            <w:vMerge w:val="continue"/>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620" w:type="dxa"/>
            <w:vAlign w:val="bottom"/>
            <w:tcBorders>
              <w:bottom w:val="single" w:sz="8" w:color="auto"/>
            </w:tcBorders>
            <w:vMerge w:val="continue"/>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80" w:type="dxa"/>
            <w:vAlign w:val="bottom"/>
          </w:tcPr>
          <w:p>
            <w:pPr>
              <w:ind w:left="120"/>
              <w:spacing w:after="0" w:line="124" w:lineRule="exact"/>
              <w:rPr>
                <w:sz w:val="20"/>
                <w:szCs w:val="20"/>
                <w:color w:val="auto"/>
              </w:rPr>
            </w:pPr>
            <w:r>
              <w:rPr>
                <w:rFonts w:ascii="Times New Roman" w:cs="Times New Roman" w:eastAsia="Times New Roman" w:hAnsi="Times New Roman"/>
                <w:sz w:val="13"/>
                <w:szCs w:val="13"/>
                <w:color w:val="auto"/>
              </w:rPr>
              <w:t>Total Non-Controlled</w:t>
            </w:r>
          </w:p>
        </w:tc>
        <w:tc>
          <w:tcPr>
            <w:tcW w:w="10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34,760</w:t>
            </w:r>
          </w:p>
        </w:tc>
        <w:tc>
          <w:tcPr>
            <w:tcW w:w="20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2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35,579</w:t>
            </w:r>
          </w:p>
        </w:tc>
        <w:tc>
          <w:tcPr>
            <w:tcW w:w="20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Affiliates</w:t>
            </w:r>
          </w:p>
        </w:tc>
        <w:tc>
          <w:tcPr>
            <w:tcW w:w="10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100" w:type="dxa"/>
            <w:vAlign w:val="bottom"/>
            <w:vMerge w:val="restart"/>
            <w:shd w:val="clear" w:color="auto" w:fill="CCECFF"/>
          </w:tcPr>
          <w:p>
            <w:pPr>
              <w:spacing w:after="0"/>
              <w:rPr>
                <w:sz w:val="10"/>
                <w:szCs w:val="10"/>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294,146</w:t>
            </w:r>
          </w:p>
        </w:tc>
        <w:tc>
          <w:tcPr>
            <w:tcW w:w="200" w:type="dxa"/>
            <w:vAlign w:val="bottom"/>
            <w:vMerge w:val="restart"/>
            <w:shd w:val="clear" w:color="auto" w:fill="CCECFF"/>
          </w:tcPr>
          <w:p>
            <w:pPr>
              <w:spacing w:after="0"/>
              <w:rPr>
                <w:sz w:val="10"/>
                <w:szCs w:val="10"/>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14,050</w:t>
            </w:r>
          </w:p>
        </w:tc>
        <w:tc>
          <w:tcPr>
            <w:tcW w:w="220" w:type="dxa"/>
            <w:vAlign w:val="bottom"/>
            <w:vMerge w:val="restart"/>
            <w:shd w:val="clear" w:color="auto" w:fill="CCECFF"/>
          </w:tcPr>
          <w:p>
            <w:pPr>
              <w:spacing w:after="0"/>
              <w:rPr>
                <w:sz w:val="10"/>
                <w:szCs w:val="10"/>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shd w:val="clear" w:color="auto" w:fill="CCECFF"/>
          </w:tcPr>
          <w:p>
            <w:pPr>
              <w:spacing w:after="0"/>
              <w:rPr>
                <w:sz w:val="10"/>
                <w:szCs w:val="10"/>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(41,048 )</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267,148</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2,858</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CFF"/>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CFF"/>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Non-Controlled Affiliates</w:t>
            </w:r>
          </w:p>
        </w:tc>
        <w:tc>
          <w:tcPr>
            <w:tcW w:w="100" w:type="dxa"/>
            <w:vAlign w:val="bottom"/>
            <w:vMerge w:val="continue"/>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900" w:type="dxa"/>
            <w:vAlign w:val="bottom"/>
            <w:vMerge w:val="continue"/>
            <w:shd w:val="clear" w:color="auto" w:fill="CCECFF"/>
          </w:tcPr>
          <w:p>
            <w:pPr>
              <w:spacing w:after="0"/>
              <w:rPr>
                <w:sz w:val="12"/>
                <w:szCs w:val="12"/>
                <w:color w:val="auto"/>
              </w:rPr>
            </w:pPr>
          </w:p>
        </w:tc>
        <w:tc>
          <w:tcPr>
            <w:tcW w:w="200" w:type="dxa"/>
            <w:vAlign w:val="bottom"/>
            <w:vMerge w:val="continue"/>
            <w:shd w:val="clear" w:color="auto" w:fill="CCECFF"/>
          </w:tcPr>
          <w:p>
            <w:pPr>
              <w:spacing w:after="0"/>
              <w:rPr>
                <w:sz w:val="12"/>
                <w:szCs w:val="12"/>
                <w:color w:val="auto"/>
              </w:rPr>
            </w:pPr>
          </w:p>
        </w:tc>
        <w:tc>
          <w:tcPr>
            <w:tcW w:w="120" w:type="dxa"/>
            <w:vAlign w:val="bottom"/>
            <w:vMerge w:val="continue"/>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220" w:type="dxa"/>
            <w:vAlign w:val="bottom"/>
            <w:vMerge w:val="continue"/>
            <w:shd w:val="clear" w:color="auto" w:fill="CCECFF"/>
          </w:tcPr>
          <w:p>
            <w:pPr>
              <w:spacing w:after="0"/>
              <w:rPr>
                <w:sz w:val="12"/>
                <w:szCs w:val="12"/>
                <w:color w:val="auto"/>
              </w:rPr>
            </w:pPr>
          </w:p>
        </w:tc>
        <w:tc>
          <w:tcPr>
            <w:tcW w:w="120" w:type="dxa"/>
            <w:vAlign w:val="bottom"/>
            <w:vMerge w:val="continue"/>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220" w:type="dxa"/>
            <w:vAlign w:val="bottom"/>
            <w:vMerge w:val="continue"/>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1060" w:type="dxa"/>
            <w:vAlign w:val="bottom"/>
            <w:gridSpan w:val="2"/>
            <w:vMerge w:val="continue"/>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860" w:type="dxa"/>
            <w:vAlign w:val="bottom"/>
            <w:vMerge w:val="continue"/>
            <w:shd w:val="clear" w:color="auto" w:fill="CCECFF"/>
          </w:tcPr>
          <w:p>
            <w:pPr>
              <w:spacing w:after="0"/>
              <w:rPr>
                <w:sz w:val="12"/>
                <w:szCs w:val="12"/>
                <w:color w:val="auto"/>
              </w:rPr>
            </w:pPr>
          </w:p>
        </w:tc>
        <w:tc>
          <w:tcPr>
            <w:tcW w:w="300" w:type="dxa"/>
            <w:vAlign w:val="bottom"/>
            <w:gridSpan w:val="2"/>
            <w:vMerge w:val="continue"/>
            <w:shd w:val="clear" w:color="auto" w:fill="CCECFF"/>
          </w:tcPr>
          <w:p>
            <w:pPr>
              <w:spacing w:after="0"/>
              <w:rPr>
                <w:sz w:val="12"/>
                <w:szCs w:val="12"/>
                <w:color w:val="auto"/>
              </w:rPr>
            </w:pPr>
          </w:p>
        </w:tc>
        <w:tc>
          <w:tcPr>
            <w:tcW w:w="580" w:type="dxa"/>
            <w:vAlign w:val="bottom"/>
            <w:vMerge w:val="continue"/>
            <w:shd w:val="clear" w:color="auto" w:fill="CCECFF"/>
          </w:tcPr>
          <w:p>
            <w:pPr>
              <w:spacing w:after="0"/>
              <w:rPr>
                <w:sz w:val="12"/>
                <w:szCs w:val="12"/>
                <w:color w:val="auto"/>
              </w:rPr>
            </w:pPr>
          </w:p>
        </w:tc>
        <w:tc>
          <w:tcPr>
            <w:tcW w:w="300" w:type="dxa"/>
            <w:vAlign w:val="bottom"/>
            <w:gridSpan w:val="2"/>
            <w:vMerge w:val="continue"/>
            <w:shd w:val="clear" w:color="auto" w:fill="CCECFF"/>
          </w:tcPr>
          <w:p>
            <w:pPr>
              <w:spacing w:after="0"/>
              <w:rPr>
                <w:sz w:val="12"/>
                <w:szCs w:val="12"/>
                <w:color w:val="auto"/>
              </w:rPr>
            </w:pPr>
          </w:p>
        </w:tc>
        <w:tc>
          <w:tcPr>
            <w:tcW w:w="580" w:type="dxa"/>
            <w:vAlign w:val="bottom"/>
            <w:vMerge w:val="continue"/>
            <w:shd w:val="clear" w:color="auto" w:fill="CCECFF"/>
          </w:tcPr>
          <w:p>
            <w:pPr>
              <w:spacing w:after="0"/>
              <w:rPr>
                <w:sz w:val="12"/>
                <w:szCs w:val="12"/>
                <w:color w:val="auto"/>
              </w:rPr>
            </w:pPr>
          </w:p>
        </w:tc>
        <w:tc>
          <w:tcPr>
            <w:tcW w:w="280" w:type="dxa"/>
            <w:vAlign w:val="bottom"/>
            <w:gridSpan w:val="2"/>
            <w:vMerge w:val="continue"/>
            <w:shd w:val="clear" w:color="auto" w:fill="CCECFF"/>
          </w:tcPr>
          <w:p>
            <w:pPr>
              <w:spacing w:after="0"/>
              <w:rPr>
                <w:sz w:val="12"/>
                <w:szCs w:val="12"/>
                <w:color w:val="auto"/>
              </w:rPr>
            </w:pPr>
          </w:p>
        </w:tc>
        <w:tc>
          <w:tcPr>
            <w:tcW w:w="600" w:type="dxa"/>
            <w:vAlign w:val="bottom"/>
            <w:vMerge w:val="continue"/>
            <w:shd w:val="clear" w:color="auto" w:fill="CCECFF"/>
          </w:tcPr>
          <w:p>
            <w:pPr>
              <w:spacing w:after="0"/>
              <w:rPr>
                <w:sz w:val="12"/>
                <w:szCs w:val="12"/>
                <w:color w:val="auto"/>
              </w:rPr>
            </w:pPr>
          </w:p>
        </w:tc>
        <w:tc>
          <w:tcPr>
            <w:tcW w:w="280" w:type="dxa"/>
            <w:vAlign w:val="bottom"/>
            <w:gridSpan w:val="2"/>
            <w:vMerge w:val="continue"/>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-976630</wp:posOffset>
            </wp:positionV>
            <wp:extent cx="76835"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-976630</wp:posOffset>
            </wp:positionV>
            <wp:extent cx="7683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-976630</wp:posOffset>
            </wp:positionV>
            <wp:extent cx="7747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-976630</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-976630</wp:posOffset>
            </wp:positionV>
            <wp:extent cx="6858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-976630</wp:posOffset>
            </wp:positionV>
            <wp:extent cx="68580"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-976630</wp:posOffset>
            </wp:positionV>
            <wp:extent cx="6858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-976630</wp:posOffset>
            </wp:positionV>
            <wp:extent cx="6858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-385445</wp:posOffset>
            </wp:positionV>
            <wp:extent cx="76835" cy="1974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-385445</wp:posOffset>
            </wp:positionV>
            <wp:extent cx="76835" cy="1974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-385445</wp:posOffset>
            </wp:positionV>
            <wp:extent cx="77470" cy="1974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-385445</wp:posOffset>
            </wp:positionV>
            <wp:extent cx="68580" cy="197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-385445</wp:posOffset>
            </wp:positionV>
            <wp:extent cx="68580" cy="1974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-385445</wp:posOffset>
            </wp:positionV>
            <wp:extent cx="68580" cy="1974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-385445</wp:posOffset>
            </wp:positionV>
            <wp:extent cx="68580" cy="1974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-385445</wp:posOffset>
            </wp:positionV>
            <wp:extent cx="68580" cy="1974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974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-25400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Includes PIK.</w:t>
      </w:r>
    </w:p>
    <w:p>
      <w:pPr>
        <w:ind w:left="380" w:hanging="372"/>
        <w:spacing w:after="0" w:line="189" w:lineRule="auto"/>
        <w:tabs>
          <w:tab w:leader="none" w:pos="380" w:val="left"/>
        </w:tabs>
        <w:numPr>
          <w:ilvl w:val="0"/>
          <w:numId w:val="2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Cascade Environmental Holdings, LLC became a controlled affiliate during the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191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80" w:right="80" w:hanging="372"/>
        <w:spacing w:after="0" w:line="267" w:lineRule="auto"/>
        <w:tabs>
          <w:tab w:leader="none" w:pos="3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 w:cs="Times New Roman" w:eastAsia="Times New Roman" w:hAnsi="Times New Roman"/>
          <w:sz w:val="10"/>
          <w:szCs w:val="10"/>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 ($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(decrease) in net assets resulting from operations</w:t>
            </w:r>
          </w:p>
        </w:tc>
        <w:tc>
          <w:tcPr>
            <w:tcW w:w="940" w:type="dxa"/>
            <w:vAlign w:val="bottom"/>
            <w:shd w:val="clear" w:color="auto" w:fill="CCEC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(71,894</w:t>
            </w:r>
          </w:p>
        </w:tc>
        <w:tc>
          <w:tcPr>
            <w:tcW w:w="30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shd w:val="clear" w:color="auto" w:fill="CCECFF"/>
          </w:tcPr>
          <w:p>
            <w:pPr>
              <w:spacing w:after="0"/>
              <w:rPr>
                <w:sz w:val="14"/>
                <w:szCs w:val="14"/>
                <w:color w:val="auto"/>
              </w:rPr>
            </w:pPr>
          </w:p>
        </w:tc>
      </w:tr>
      <w:tr>
        <w:trPr>
          <w:trHeight w:val="176"/>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9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65,224,500</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00" w:type="dxa"/>
            <w:vAlign w:val="bottom"/>
          </w:tcPr>
          <w:p>
            <w:pPr>
              <w:spacing w:after="0"/>
              <w:rPr>
                <w:sz w:val="15"/>
                <w:szCs w:val="15"/>
                <w:color w:val="auto"/>
              </w:rPr>
            </w:pPr>
          </w:p>
        </w:tc>
      </w:tr>
      <w:tr>
        <w:trPr>
          <w:trHeight w:val="175"/>
        </w:trPr>
        <w:tc>
          <w:tcPr>
            <w:tcW w:w="7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(decrease) in net assets per share resulting from operations</w:t>
            </w:r>
          </w:p>
        </w:tc>
        <w:tc>
          <w:tcPr>
            <w:tcW w:w="940" w:type="dxa"/>
            <w:vAlign w:val="bottom"/>
            <w:shd w:val="clear" w:color="auto" w:fill="CCEC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(1.10 )</w:t>
            </w:r>
          </w:p>
        </w:tc>
        <w:tc>
          <w:tcPr>
            <w:tcW w:w="1000" w:type="dxa"/>
            <w:vAlign w:val="bottom"/>
            <w:shd w:val="clear" w:color="auto" w:fill="CCEC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shd w:val="clear" w:color="auto" w:fill="CCECFF"/>
          </w:tcPr>
          <w:p>
            <w:pPr>
              <w:spacing w:after="0"/>
              <w:rPr>
                <w:sz w:val="15"/>
                <w:szCs w:val="15"/>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38"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2022 and September 30, 2022, cash and cash equivalents consisted of money market funds in the amounts of $28.6 million and $52.7 million at fair value,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6800" w:type="dxa"/>
            <w:vAlign w:val="bottom"/>
          </w:tcPr>
          <w:p>
            <w:pPr>
              <w:ind w:left="50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share and per share data):</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3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2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2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340" w:type="dxa"/>
            <w:vAlign w:val="bottom"/>
          </w:tcPr>
          <w:p>
            <w:pPr>
              <w:spacing w:after="0"/>
              <w:rPr>
                <w:sz w:val="15"/>
                <w:szCs w:val="15"/>
                <w:color w:val="auto"/>
              </w:rPr>
            </w:pP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4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(1.26 )</w:t>
            </w:r>
          </w:p>
        </w:tc>
        <w:tc>
          <w:tcPr>
            <w:tcW w:w="1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9"/>
                <w:szCs w:val="19"/>
                <w:color w:val="auto"/>
                <w:vertAlign w:val="superscript"/>
              </w:rPr>
              <w:t>(1)</w:t>
            </w: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(0.17 )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240" w:type="dxa"/>
            <w:vAlign w:val="bottom"/>
            <w:tcBorders>
              <w:top w:val="single" w:sz="8" w:color="auto"/>
              <w:bottom w:val="single" w:sz="8" w:color="auto"/>
            </w:tcBorders>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340" w:type="dxa"/>
            <w:vAlign w:val="bottom"/>
            <w:tcBorders>
              <w:bottom w:val="single" w:sz="8" w:color="CCECFF"/>
            </w:tcBorders>
            <w:shd w:val="clear" w:color="auto" w:fill="CCECFF"/>
          </w:tcPr>
          <w:p>
            <w:pPr>
              <w:spacing w:after="0"/>
              <w:rPr>
                <w:sz w:val="18"/>
                <w:szCs w:val="18"/>
                <w:color w:val="auto"/>
              </w:rPr>
            </w:pPr>
          </w:p>
        </w:tc>
        <w:tc>
          <w:tcPr>
            <w:tcW w:w="1240" w:type="dxa"/>
            <w:vAlign w:val="bottom"/>
            <w:tcBorders>
              <w:top w:val="single" w:sz="8" w:color="auto"/>
              <w:bottom w:val="single" w:sz="8" w:color="auto"/>
            </w:tcBorders>
            <w:shd w:val="clear" w:color="auto" w:fill="CCEC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8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240" w:type="dxa"/>
            <w:vAlign w:val="bottom"/>
            <w:tcBorders>
              <w:bottom w:val="single" w:sz="8" w:color="auto"/>
            </w:tcBorders>
          </w:tcPr>
          <w:p>
            <w:pPr>
              <w:jc w:val="right"/>
              <w:ind w:right="10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5.75</w:t>
            </w:r>
          </w:p>
        </w:tc>
        <w:tc>
          <w:tcPr>
            <w:tcW w:w="340" w:type="dxa"/>
            <w:vAlign w:val="bottom"/>
          </w:tcPr>
          <w:p>
            <w:pPr>
              <w:spacing w:after="0"/>
              <w:rPr>
                <w:sz w:val="13"/>
                <w:szCs w:val="13"/>
                <w:color w:val="auto"/>
              </w:rPr>
            </w:pPr>
          </w:p>
        </w:tc>
        <w:tc>
          <w:tcPr>
            <w:tcW w:w="1240" w:type="dxa"/>
            <w:vAlign w:val="bottom"/>
            <w:tcBorders>
              <w:bottom w:val="single" w:sz="8" w:color="auto"/>
            </w:tcBorders>
          </w:tcPr>
          <w:p>
            <w:pPr>
              <w:jc w:val="right"/>
              <w:ind w:right="10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return</w:t>
            </w:r>
            <w:r>
              <w:rPr>
                <w:rFonts w:ascii="Times New Roman" w:cs="Times New Roman" w:eastAsia="Times New Roman" w:hAnsi="Times New Roman"/>
                <w:sz w:val="18"/>
                <w:szCs w:val="18"/>
                <w:color w:val="auto"/>
                <w:vertAlign w:val="superscript"/>
              </w:rPr>
              <w:t>* (3)</w:t>
            </w:r>
          </w:p>
        </w:tc>
        <w:tc>
          <w:tcPr>
            <w:tcW w:w="12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8.34</w:t>
            </w:r>
          </w:p>
        </w:tc>
        <w:tc>
          <w:tcPr>
            <w:tcW w:w="3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65,224,500</w:t>
            </w:r>
          </w:p>
        </w:tc>
        <w:tc>
          <w:tcPr>
            <w:tcW w:w="3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2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7.13 %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7.01 %</w:t>
            </w:r>
          </w:p>
        </w:tc>
        <w:tc>
          <w:tcPr>
            <w:tcW w:w="124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24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xml:space="preserve">14.14 </w:t>
            </w:r>
            <w:r>
              <w:rPr>
                <w:rFonts w:ascii="Times New Roman" w:cs="Times New Roman" w:eastAsia="Times New Roman" w:hAnsi="Times New Roman"/>
                <w:sz w:val="14"/>
                <w:szCs w:val="14"/>
                <w:color w:val="auto"/>
                <w:highlight w:val="white"/>
              </w:rPr>
              <w:t>%</w:t>
            </w:r>
          </w:p>
        </w:tc>
        <w:tc>
          <w:tcPr>
            <w:tcW w:w="12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9.56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7.44 %</w:t>
            </w:r>
          </w:p>
        </w:tc>
        <w:tc>
          <w:tcPr>
            <w:tcW w:w="124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502,909</w:t>
            </w:r>
          </w:p>
        </w:tc>
        <w:tc>
          <w:tcPr>
            <w:tcW w:w="340" w:type="dxa"/>
            <w:vAlign w:val="bottom"/>
          </w:tcPr>
          <w:p>
            <w:pPr>
              <w:spacing w:after="0"/>
              <w:rPr>
                <w:sz w:val="15"/>
                <w:szCs w:val="15"/>
                <w:color w:val="auto"/>
              </w:rPr>
            </w:pP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Borders>
              <w:bottom w:val="single" w:sz="8" w:color="CCECFF"/>
            </w:tcBorders>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Weighted average debt outstanding</w:t>
            </w:r>
            <w:r>
              <w:rPr>
                <w:rFonts w:ascii="Times New Roman" w:cs="Times New Roman" w:eastAsia="Times New Roman" w:hAnsi="Times New Roman"/>
                <w:sz w:val="19"/>
                <w:szCs w:val="19"/>
                <w:color w:val="auto"/>
                <w:vertAlign w:val="superscript"/>
              </w:rPr>
              <w:t>(6)</w:t>
            </w:r>
          </w:p>
        </w:tc>
        <w:tc>
          <w:tcPr>
            <w:tcW w:w="1240" w:type="dxa"/>
            <w:vAlign w:val="bottom"/>
            <w:tcBorders>
              <w:bottom w:val="single" w:sz="8" w:color="auto"/>
            </w:tcBorders>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694,152</w:t>
            </w:r>
          </w:p>
        </w:tc>
        <w:tc>
          <w:tcPr>
            <w:tcW w:w="340" w:type="dxa"/>
            <w:vAlign w:val="bottom"/>
            <w:tcBorders>
              <w:bottom w:val="single" w:sz="8" w:color="CCECFF"/>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697,267</w:t>
            </w:r>
          </w:p>
        </w:tc>
        <w:tc>
          <w:tcPr>
            <w:tcW w:w="100" w:type="dxa"/>
            <w:vAlign w:val="bottom"/>
            <w:tcBorders>
              <w:bottom w:val="single" w:sz="8" w:color="CCECFF"/>
            </w:tcBorders>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(1)(6)</w:t>
            </w:r>
          </w:p>
        </w:tc>
        <w:tc>
          <w:tcPr>
            <w:tcW w:w="12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340" w:type="dxa"/>
            <w:vAlign w:val="bottom"/>
          </w:tcPr>
          <w:p>
            <w:pPr>
              <w:spacing w:after="0"/>
              <w:rPr>
                <w:sz w:val="14"/>
                <w:szCs w:val="14"/>
                <w:color w:val="auto"/>
              </w:rPr>
            </w:pP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(7)</w:t>
            </w:r>
          </w:p>
        </w:tc>
        <w:tc>
          <w:tcPr>
            <w:tcW w:w="1240" w:type="dxa"/>
            <w:vAlign w:val="bottom"/>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340" w:type="dxa"/>
            <w:vAlign w:val="bottom"/>
            <w:shd w:val="clear" w:color="auto" w:fill="CCECFF"/>
          </w:tcPr>
          <w:p>
            <w:pPr>
              <w:spacing w:after="0"/>
              <w:rPr>
                <w:sz w:val="15"/>
                <w:szCs w:val="15"/>
                <w:color w:val="auto"/>
              </w:rPr>
            </w:pPr>
          </w:p>
        </w:tc>
        <w:tc>
          <w:tcPr>
            <w:tcW w:w="1240" w:type="dxa"/>
            <w:vAlign w:val="bottom"/>
            <w:shd w:val="clear" w:color="auto" w:fill="CCEC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00" w:type="dxa"/>
            <w:vAlign w:val="bottom"/>
          </w:tcPr>
          <w:p>
            <w:pPr>
              <w:ind w:left="20"/>
              <w:spacing w:after="0" w:line="173"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w:t>
            </w:r>
          </w:p>
        </w:tc>
        <w:tc>
          <w:tcPr>
            <w:tcW w:w="1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1.90 %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-1532890</wp:posOffset>
            </wp:positionV>
            <wp:extent cx="154305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43050"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-340995</wp:posOffset>
            </wp:positionV>
            <wp:extent cx="77470"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-340995</wp:posOffset>
            </wp:positionV>
            <wp:extent cx="6858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ind w:right="9200" w:firstLine="8"/>
        <w:spacing w:after="0" w:line="253" w:lineRule="auto"/>
        <w:tabs>
          <w:tab w:leader="none" w:pos="81" w:val="left"/>
        </w:tabs>
        <w:numPr>
          <w:ilvl w:val="0"/>
          <w:numId w:val="28"/>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debt issuance costs and excludes debt extinguishment cost, if any, (not annualized).</w:t>
      </w:r>
    </w:p>
    <w:p>
      <w:pPr>
        <w:ind w:left="380" w:hanging="372"/>
        <w:spacing w:after="0" w:line="181"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SBA debentures outstanding.</w:t>
      </w:r>
    </w:p>
    <w:p>
      <w:pPr>
        <w:ind w:left="380" w:right="240" w:hanging="372"/>
        <w:spacing w:after="0" w:line="215" w:lineRule="auto"/>
        <w:tabs>
          <w:tab w:leader="none" w:pos="38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38" w:lineRule="exact"/>
        <w:rPr>
          <w:sz w:val="20"/>
          <w:szCs w:val="20"/>
          <w:color w:val="auto"/>
        </w:rPr>
      </w:pPr>
    </w:p>
    <w:p>
      <w:pPr>
        <w:jc w:val="both"/>
        <w:ind w:right="20" w:firstLine="449"/>
        <w:spacing w:after="0" w:line="236"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2022 and 2021, inclusive of the fee on the undrawn commitment and amendment costs on the Truist Credit Facility and amortized upfront fees on SBA debentures, 2026 Notes and 2026 Notes-2, was 5.5% and 4.0%, respectively. As of December 31,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2022 and September 30, 2022, our asset coverage ratio, as computed in accordance with the 1940 Act, was 171% and 186%,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140" w:lineRule="exact"/>
        <w:rPr>
          <w:sz w:val="20"/>
          <w:szCs w:val="20"/>
          <w:color w:val="auto"/>
        </w:rPr>
      </w:pPr>
    </w:p>
    <w:p>
      <w:pPr>
        <w:jc w:val="both"/>
        <w:ind w:right="20" w:firstLine="449"/>
        <w:spacing w:after="0" w:line="227" w:lineRule="auto"/>
        <w:rPr>
          <w:sz w:val="20"/>
          <w:szCs w:val="20"/>
          <w:color w:val="auto"/>
        </w:rPr>
      </w:pPr>
      <w:r>
        <w:rPr>
          <w:rFonts w:ascii="Times New Roman" w:cs="Times New Roman" w:eastAsia="Times New Roman" w:hAnsi="Times New Roman"/>
          <w:sz w:val="14"/>
          <w:szCs w:val="14"/>
          <w:color w:val="auto"/>
        </w:rPr>
        <w:t>As of December 31, 2022, we had the multi-currency Truist Credit Facility for up to $500.0 million (increased from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December 31, 2022 and September 30, 2022, we had $380.9 million and $385.9 million, respectively, in outstanding borrowings under the Truist Credit Facility. The Truist Credit Facility had a weighted average interest rate of 6.6% and 4.8%, respectively, exclusive of the fee on undrawn commitment, as of December 31, 2022 and September 30, 2022.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225 basis points over SOFR (or an alternative risk-free floating interest rate index). As of December 31, 2022 and September 30, 2022, we had $119.1 million and $114.1 million of unused borrowing capacity under the Truist Credit Facility, respectively, subject to leverage and borrowing base restrictions. The Truist Credit Facility is secured by substantially all of our assets, excluding assets held by SBIC II. As of December 31, 2022, we were in compliance with the terms of the Truist Credit Facility.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140"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$20.0 million as of December 31, 2022 and September 30, 2022,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 of both December 31, 2022 and September 30, 2022, SBIC II had an initial $150.0 million in debt commitments, all of which were drawn. During the three months ended December 31, 2022 and 2021, zero SBA debentures were repaid, respectively. As of both December 31, 2022 and September 30, 2022, the unamortized fees on the SBA debentures was $0.3 million, respectively. The SBA debentures’ upfront fees of 3.4% consist of a commitment fee of 1.0% and an issuance discount of 2.4%, which are being amortized.</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were as follows ($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00" w:type="dxa"/>
            <w:vAlign w:val="bottom"/>
          </w:tcPr>
          <w:p>
            <w:pPr>
              <w:spacing w:after="0"/>
              <w:rPr>
                <w:sz w:val="13"/>
                <w:szCs w:val="13"/>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2880" w:type="dxa"/>
            <w:vAlign w:val="bottom"/>
            <w:gridSpan w:val="2"/>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3"/>
                <w:szCs w:val="13"/>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0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4"/>
                <w:szCs w:val="14"/>
                <w:color w:val="auto"/>
              </w:rPr>
            </w:pPr>
          </w:p>
        </w:tc>
        <w:tc>
          <w:tcPr>
            <w:tcW w:w="2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35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00" w:type="dxa"/>
            <w:vAlign w:val="bottom"/>
          </w:tcPr>
          <w:p>
            <w:pPr>
              <w:spacing w:after="0"/>
              <w:rPr>
                <w:sz w:val="24"/>
                <w:szCs w:val="24"/>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2880" w:type="dxa"/>
            <w:vAlign w:val="bottom"/>
            <w:gridSpan w:val="2"/>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24"/>
                <w:szCs w:val="24"/>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0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880" w:type="dxa"/>
            <w:vAlign w:val="bottom"/>
            <w:tcBorders>
              <w:bottom w:val="single" w:sz="8" w:color="auto"/>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85" w:lineRule="auto"/>
        <w:tabs>
          <w:tab w:leader="none" w:pos="380" w:val="left"/>
        </w:tabs>
        <w:numPr>
          <w:ilvl w:val="0"/>
          <w:numId w:val="30"/>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11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 of December 31, 2022 and September 30, 2022, we had zero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at a rate of 5.5% per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4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Notes-2</w:t>
      </w:r>
    </w:p>
    <w:p>
      <w:pPr>
        <w:spacing w:after="0" w:line="14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99.436%.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3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December 31, 2022 and September 30, 2022, we had $172.3 million and $169.2 million, respectively, in commitments to fund investments. For the same periods, there were no letters of credit issued.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UNCONSOLIDATED SIGNIFICANT SUBSIDIARIES</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2022, PennantPark Senior Loan Fund, LLC and RAM Energy Holdings LLC triggered at least one of the significance tests. As a result and in accordance with Rule 3-09 of Regulation S-X, presented below is summarized unaudited financial information for RAM Energy Holdings LLC for the three months ended December 31, 2022.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w:t>
      </w:r>
    </w:p>
    <w:p>
      <w:pPr>
        <w:spacing w:after="0" w:line="258" w:lineRule="exact"/>
        <w:rPr>
          <w:sz w:val="20"/>
          <w:szCs w:val="20"/>
          <w:color w:val="auto"/>
        </w:rPr>
      </w:pPr>
    </w:p>
    <w:p>
      <w:pPr>
        <w:ind w:left="640" w:hanging="37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RAM Energy Holdings LLC:</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4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8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16,437</w:t>
            </w:r>
          </w:p>
        </w:tc>
        <w:tc>
          <w:tcPr>
            <w:tcW w:w="360" w:type="dxa"/>
            <w:vAlign w:val="bottom"/>
          </w:tcPr>
          <w:p>
            <w:pPr>
              <w:spacing w:after="0"/>
              <w:rPr>
                <w:sz w:val="14"/>
                <w:szCs w:val="14"/>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4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2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(11,407 )</w:t>
            </w:r>
          </w:p>
        </w:tc>
        <w:tc>
          <w:tcPr>
            <w:tcW w:w="1000" w:type="dxa"/>
            <w:vAlign w:val="bottom"/>
            <w:shd w:val="clear" w:color="auto" w:fill="CCECFF"/>
          </w:tcPr>
          <w:p>
            <w:pPr>
              <w:spacing w:after="0"/>
              <w:rPr>
                <w:sz w:val="15"/>
                <w:szCs w:val="15"/>
                <w:color w:val="auto"/>
              </w:rPr>
            </w:pPr>
          </w:p>
        </w:tc>
        <w:tc>
          <w:tcPr>
            <w:tcW w:w="1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(9,315 )</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8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36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 REPURCHASE PROGRAM</w:t>
      </w:r>
    </w:p>
    <w:p>
      <w:pPr>
        <w:spacing w:after="0" w:line="18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shares. During the three months ended December 31, 2022 and 2021, we did not make any repurchases of our common sshares,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ind w:left="38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PennantPark Investment Corporation and its Subsidiaries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38" w:lineRule="exact"/>
        <w:rPr>
          <w:sz w:val="20"/>
          <w:szCs w:val="20"/>
          <w:color w:val="auto"/>
        </w:rPr>
      </w:pPr>
    </w:p>
    <w:p>
      <w:pPr>
        <w:jc w:val="both"/>
        <w:ind w:right="440"/>
        <w:spacing w:after="0" w:line="241"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December 31, 2022, the related consolidated statements of operations and changes in net assets for the three-month periods ended December 31, 2022 and 2021, and cash flows for the three-month periods ended December 31, 2022 and 2021, and the related notes to</w:t>
      </w:r>
    </w:p>
    <w:p>
      <w:pPr>
        <w:spacing w:after="0" w:line="1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2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w:t>
      </w:r>
    </w:p>
    <w:p>
      <w:pPr>
        <w:spacing w:after="0" w:line="109"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4"/>
          <w:szCs w:val="14"/>
          <w:color w:val="auto"/>
        </w:rPr>
        <w:t>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3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8, 2023</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color w:val="auto"/>
        </w:rPr>
        <w:t>Awareness Letter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PennantPark Investment Corporation and its Subsidiaries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have reviewed, in accordance with the standards of the Public Company Accounting Oversight Board (United States), the unaudited interim financial information of PennantPark Investment Corporation for the periods ended December 31, 2022 and 2021, as indicated in our report dated February 8, 2023; because we did not perform an audit, we expressed no opinion on that information.</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aware that our report referred to above, which is included in your Quarterly Report on Form 10-Q for the quarter ended December 31, 2022, is incorporated by reference in Registration Statement No. 333-263564 on Form N-2.</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8, 2023</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right="3320"/>
        <w:spacing w:after="0" w:line="44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FORWARD-LOOKING STATEMENTS</w:t>
      </w: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pandemic caused by COVID-19 or any future worsening there of;</w:t>
      </w:r>
    </w:p>
    <w:p>
      <w:pPr>
        <w:spacing w:after="0" w:line="136" w:lineRule="exact"/>
        <w:rPr>
          <w:rFonts w:ascii="Times New Roman" w:cs="Times New Roman" w:eastAsia="Times New Roman" w:hAnsi="Times New Roman"/>
          <w:sz w:val="14"/>
          <w:szCs w:val="14"/>
          <w:color w:val="auto"/>
        </w:rPr>
      </w:pPr>
    </w:p>
    <w:p>
      <w:pPr>
        <w:ind w:left="960" w:right="20" w:hanging="383"/>
        <w:spacing w:after="0" w:line="261" w:lineRule="auto"/>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and other world economic and political issues.</w:t>
      </w:r>
    </w:p>
    <w:p>
      <w:pPr>
        <w:spacing w:after="0" w:line="12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 w:name="page40"/>
    <w:bookmarkEnd w:id="39"/>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2"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09"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09" w:lineRule="exact"/>
        <w:rPr>
          <w:sz w:val="20"/>
          <w:szCs w:val="20"/>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36" w:lineRule="exact"/>
        <w:rPr>
          <w:rFonts w:ascii="Times New Roman" w:cs="Times New Roman" w:eastAsia="Times New Roman" w:hAnsi="Times New Roman"/>
          <w:sz w:val="14"/>
          <w:szCs w:val="14"/>
          <w:color w:val="auto"/>
        </w:rPr>
      </w:pPr>
    </w:p>
    <w:p>
      <w:pPr>
        <w:ind w:left="940" w:hanging="370"/>
        <w:spacing w:after="0" w:line="261" w:lineRule="auto"/>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0" w:name="page41"/>
    <w:bookmarkEnd w:id="40"/>
    <w:p>
      <w:pPr>
        <w:ind w:left="940" w:hanging="370"/>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36" w:lineRule="exact"/>
        <w:rPr>
          <w:rFonts w:ascii="Times New Roman" w:cs="Times New Roman" w:eastAsia="Times New Roman" w:hAnsi="Times New Roman"/>
          <w:sz w:val="14"/>
          <w:szCs w:val="14"/>
          <w:color w:val="auto"/>
        </w:rPr>
      </w:pPr>
    </w:p>
    <w:p>
      <w:pPr>
        <w:jc w:val="both"/>
        <w:ind w:left="940" w:hanging="370"/>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26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As of December 31, 2022, our portfolio totaled $1,196.0 million, which consisted of $661.2 million of first lien secured debt, $130.8 million of second lien secured debt, $148.6 million of subordinated debt (including $95.4 million in PSLF) and $255.4 million of preferred and common equity (including $53.8 million in PSLF). Our debt portfolio consisted of 96% variable-rate investments and 4% fixed-rate investments. As of December 31, 2022, we had two portfolio companies on non-accrual, representing 2.7% and 1.1% of our overall portfolio on a cost and fair value basis, respectively. Overall, the portfolio had net unrealized depreciation of $167.5 million as of December 31, 2022. Our overall portfolio consisted of 125 companies with an average investment size of $9.6 million, had a weighted average yield on interest bearing debt investments of 11.9% and was invested 55% in first lien secured debt, 11% in second lien secured debt, 13% in subordinated debt (including 8% in PSLF) and 21% in preferred and common equity (including 4% in PSLF). As of December 31, 2022, all of the investments held by PSLF were first lien secured debt.</w:t>
      </w:r>
    </w:p>
    <w:p>
      <w:pPr>
        <w:spacing w:after="0" w:line="222" w:lineRule="exact"/>
        <w:rPr>
          <w:sz w:val="20"/>
          <w:szCs w:val="20"/>
          <w:color w:val="auto"/>
        </w:rPr>
      </w:pPr>
    </w:p>
    <w:p>
      <w:pPr>
        <w:ind w:right="40" w:firstLine="449"/>
        <w:spacing w:after="0" w:line="231" w:lineRule="auto"/>
        <w:rPr>
          <w:sz w:val="20"/>
          <w:szCs w:val="20"/>
          <w:color w:val="auto"/>
        </w:rPr>
      </w:pPr>
      <w:r>
        <w:rPr>
          <w:rFonts w:ascii="Times New Roman" w:cs="Times New Roman" w:eastAsia="Times New Roman" w:hAnsi="Times New Roman"/>
          <w:sz w:val="14"/>
          <w:szCs w:val="14"/>
          <w:color w:val="auto"/>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had a weighted average yield on interest bearing debt investments of 10.8 % and was invested 51 % in first lien secured debt, 11 % in second lien secured debt, 12% in subordinated debt (including 7 % in PSLF) and 26 % in preferred and common equity (including 4 % in PSLF).</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2022, we invested $86.2 million in six new and 29 existing portfolio companies with a weighted average yield on debt investments of 11.2%.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2022 totaled $30.6 million.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2021, we invested $295.1 million in 15 new and 30 existing portfolio companies with a weighted average yield on debt investments of 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2021 totaled $132.2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2022, PSLF’s portfolio totaled $734.7 million, consisted of 83 companies with an average investment size of $8.9 million and had a weighted average yield on debt investments of 10.6 %.</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As of September 30, 2022, PSLF’s portfolio totaled $730.1 million, consisted of 80 companies with an average investment size of $9.1 million and had a weighted average yield on debt investments of 9.4%.</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PSLF invested $16.8 million (of which none were purchased from the Company) in four new and four existing portfolio companies with a weighted average yield on debt investments of 11.4% . PSLF’s sales and repayments of investments for the same period totaled $9.0 million.</w:t>
      </w:r>
    </w:p>
    <w:p>
      <w:pPr>
        <w:spacing w:after="0" w:line="1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2021, PSLF invested $50.7 million (of which $48.1million was purchased from the Company) in nine new and two existing portfolio companies with a weighted average yield on debt investments of 7.5%. PSLF’s sales and repayments of investments for the same period totaled $35.6 million.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65"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three months from those disclosed in our 2022 Annual Report on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4"/>
          <w:szCs w:val="14"/>
          <w:color w:val="auto"/>
        </w:rPr>
        <w:t>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940" w:hanging="370"/>
        <w:spacing w:after="0" w:line="261"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940" w:hanging="370"/>
        <w:spacing w:after="0" w:line="261"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720" w:right="700" w:hanging="1133"/>
        <w:spacing w:after="0" w:line="241" w:lineRule="auto"/>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jc w:val="both"/>
        <w:ind w:left="1720" w:right="700" w:hanging="1133"/>
        <w:spacing w:after="0" w:line="261"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Truist Credit Facility, 2026 Notes, 2026-2 Notes and our SBA debentures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9"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months ended December 31,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2026 Notes-2 and SBA debentures.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449"/>
        <w:spacing w:after="0"/>
        <w:rPr>
          <w:sz w:val="20"/>
          <w:szCs w:val="20"/>
          <w:color w:val="auto"/>
        </w:rPr>
      </w:pPr>
      <w:r>
        <w:rPr>
          <w:rFonts w:ascii="Times New Roman" w:cs="Times New Roman" w:eastAsia="Times New Roman" w:hAnsi="Times New Roman"/>
          <w:sz w:val="14"/>
          <w:szCs w:val="14"/>
          <w:color w:val="auto"/>
        </w:rPr>
        <w:t>For the three months ended December 31, 2022 and 2021, the Truist Credit Facility had a net change in unrealized (appreciation) depreciation of $4.4 million and $(1.0) million, respectively. As of December 31, 2022 and September 30, 2022, the net unrealized depreciation on the Truist Credit Facility totaled $13.6 million and $9.2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4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40" w:hanging="370"/>
        <w:spacing w:after="0"/>
        <w:tabs>
          <w:tab w:leader="none" w:pos="9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2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we recorded a provision for taxes on net investment income of $2.0 million and $0.2 million respectively, pertaining to federal excise tax.</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Taxable Subsidiary (PNNT Investment Holdings, LLC, a second-tier wholly-owned subsidiary of the Company,) is subject to U.S. federal, state and local corporate income taxes.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income tax expense and related tax liabilities of the Taxable Subsidiary are reflected in the Company’s consolidated financial statements..</w:t>
      </w:r>
    </w:p>
    <w:p>
      <w:pPr>
        <w:spacing w:after="0" w:line="12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2022 and 2021, the Company recognized a provision for taxes of zero, respectively, on net realized gain on investments by the Taxable Subsidiary. For the three months ended December 31, 2022 and 2021, the Company recognized a provision for taxes of $(0.9) million and $5.0,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4"/>
          <w:szCs w:val="14"/>
          <w:color w:val="auto"/>
        </w:rPr>
        <w:t>tax benefit resulting from the use of loss carryforwards to offset such gains. As of December 31, 2022 and September 30, 2022, the Company recognized a provision for taxes of $2.2 million and $7.1 million on net realized and unrealized gains on investments by the Taxable Subsidiary.</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During the three months ended December 31, 2022 and 2021, the Company paid zero, respectively, in federal taxes on realized gains on the sale of investments held by the Taxable Subsidiary. Due to offsetting losses in the year ended September 30, 2022, the $4.0 million is shown on the consolidated statement of assets and liabilities under prepaid expenses and other assets. The state and local tax liability of $6.2 million as of December 31, 2022 is included under accrued other expenses in the consolidated statement of assets and liabilities.</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months ended December 31, 2022 and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For the three months ended December 31, 2022, investment income was $30.0 million, which was attributable to $21.8 million from first lien secured debt, $3.8 million from second lien secured debt, $1.1 million from subordinated debt and $3.3 million from preferred and common equity, respectively. For the three months ended December 31, 2021, investment income was $28.3 million, which was attributable to $20.1 million from first lien secured debt, $4.5 million from second lien secured debt, $1.9 million from subordinated debt and $1.8 million from preferred and common equity, respectively. The increase in investment income compared to the same period in the prior year was primarily due to the increase in the cost yield of our debt portfolio.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Expenses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2022, expenses totaled $19.6 million and were comprised of; $9.7 million of debt related interest and expenses, $4.6 million of base management fees, $2.2 million of performance based $1.1 million of general and administrative expenses and $2.0 million of provision for excise taxes. For the three months ended December 31, 2021, expenses totaled $15.8 and were comprised of; $6.9 million of debt-related interest and expenses, $5.1 million of base management fees, $2.6 million of performance based, incentive fees, $1.0 million of general and administrative expenses and $0.2 million of provision for excise taxes. The increase in provision for excise taxes was primarily due to the increase undistrbuted taxable income as of December 31, 2022 compared to the same period in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40"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For the three months ended December 31, 2022 and 2021, net investment income totaled $10.3 million, or $0.16 per share, and $12.5 million, or $0.19 per share, respectively. The decrease in net investment income compared to the same period in the prior year was primarily due to an increase in debt related interest and expenses and an increase in the provision for excise tax.</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on Investments</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net realized gains (losses) totaled $4.1 million and $(26.1) million, respectively. The change in realized gains (losses) was primarily due to changes in the market conditions of our investments and the values at which they were realized.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Debt</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2022 and 2021, we reported net change in unrealized appreciation (depreciation) on investments of $(91.6) million and $46.8 million, respectively. As of December 31, 2022 and September 30, 2022, our net unrealized appreciation (depreciation) on investments totaled $(167.5) million and $(75.7) million, respectively. The net change in unrealized depreciation on our investments compared to the same period in the prior year was primarily due to changes in the capital market conditions of our investments and the values at which they were realized.</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2022 and 2021, the Truist Credit Facility had a net change in unrealized (appreciation) depreciation of $4.4 million and $(1.0) million, respectively. As of December 31, 2022 and September 30, 2022, the net unrealized depreciation on the Truist Credit Facility totaled $13.6 million and $9.2 million, respectively. The net change in unrealized depreciation compared to the same periods in the prior year was primarily due to changes in the capital markets.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Net Increasese (Decrease) in Net Assets Resulting from Operations</w:t>
      </w:r>
    </w:p>
    <w:p>
      <w:pPr>
        <w:spacing w:after="0" w:line="28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net increase (decrease) in net assets resulting from operations totaled $(71.9) million, or $(1.10) per share and $25.5 million, or $0.38 per share,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December 31,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December 31, 2022 and September 30, 2022, our asset coverage ratio, as computed in accordance with the 1940 Act was 171% and 186%, respectively.</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the annualized weighted average cost of debt inclusive of the fee on the undrawn commitment and amendment costs on the Truist Credit Facility, amortized upfront fees on SBA debentures, was 5.6% and 4.0%, respectively.</w:t>
      </w:r>
    </w:p>
    <w:p>
      <w:pPr>
        <w:spacing w:after="0" w:line="95"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As of December 31, 2022, we had the multi-currency Truist Credit Facility for up to $500.0 million (increased from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December 31, 2022 and September 30, 2022, we had $380.9 million and $385.9 million, respectively, in outstanding borrowings under the Truist Credit Facility. The Truist Credit Facility had a weighted average interest rate of 6.6% and 5.3%, respectively, exclusive of the fee on undrawn commitments, as of December 31, 2022 and September 30, 2022.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As of December 31, 2022 and September 30, 2022, we had $119.1 million and $114.1 million of unused borrowing capacity under the Truist Credit Facility, respectively, subject to leverage and borrowing base restrictions. The Truist Credit Facility is secured by substantially all of our assets excluding assets held by SBIC II. As of December 31, 2022, we were in compliance with the terms of the Truist Credit Facility.</w:t>
      </w:r>
    </w:p>
    <w:p>
      <w:pPr>
        <w:spacing w:after="0" w:line="11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On November 13, 2021, the 2024 Notes were redeemed at a redemption price of $25.00 per 2024 Note, plus accrued and unpaid interest to November 13, 2021, pursuant to the indenture governing the 2024 Notes. Accordingly, as of June 30, 2022 and September 30, 2021, we had zero and $86.3 million in aggregate principal amount of 2024 Notes outstanding, respectively. Interest on the 2024 Notes was paid quarterly on January 15, April 15, July 15 and October 15, at a rate of 5.5% per year.</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 xml:space="preserve">As of December 31, 2022,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6"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 xml:space="preserve">As of December 31, 2022, we had $165.0 million in aggregate principal amount of 2026 Notes-2 outstanding. Interest on the 2026 Notes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2023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4"/>
          <w:szCs w:val="14"/>
          <w:color w:val="auto"/>
        </w:rPr>
        <w:t>Payments under our Investment Management Agreement in each reporting period are equal to (1) a management fee equal to a percentage of the value of our average adjusted gross assets and (2) an incentive fee based on our performance.</w:t>
      </w:r>
    </w:p>
    <w:p>
      <w:pPr>
        <w:spacing w:after="0" w:line="82"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2023 and amended in July 2022, the Administrator furnishes us with office facilities and administrative services necessary to conduct our day-to-day operations. The Administration Agreement was amended on July 1, 2022.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$20.0 million as of December 31, 2022 and September 30, 2022,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 of both December 31, 2022 and September 30, 2022, SBIC II had an initial $150.0 million in debt commitments, all of which were drawn. During the three months ended December 31, 2022 and 2021, there were zero repayments to the SBA debentures. As of both December 31, 2022 and September 30, 2022, the unamortized fees on the SBA debentures was $0.3 million and $0.3 million, respectively. The SBA debentures’ upfront fees of 3.4% consist of a commitment fee of 1.0% and an issuance discount of 2.4%, which are being amortized.</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as of December 31, 2022 and September 30, 2022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00" w:type="dxa"/>
            <w:vAlign w:val="bottom"/>
          </w:tcPr>
          <w:p>
            <w:pPr>
              <w:spacing w:after="0"/>
              <w:rPr>
                <w:sz w:val="13"/>
                <w:szCs w:val="13"/>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2880" w:type="dxa"/>
            <w:vAlign w:val="bottom"/>
            <w:gridSpan w:val="2"/>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3"/>
                <w:szCs w:val="13"/>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0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4"/>
                <w:szCs w:val="14"/>
                <w:color w:val="auto"/>
              </w:rPr>
            </w:pPr>
          </w:p>
        </w:tc>
        <w:tc>
          <w:tcPr>
            <w:tcW w:w="2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35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00" w:type="dxa"/>
            <w:vAlign w:val="bottom"/>
          </w:tcPr>
          <w:p>
            <w:pPr>
              <w:spacing w:after="0"/>
              <w:rPr>
                <w:sz w:val="24"/>
                <w:szCs w:val="24"/>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2880" w:type="dxa"/>
            <w:vAlign w:val="bottom"/>
            <w:gridSpan w:val="2"/>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24"/>
                <w:szCs w:val="24"/>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0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1912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8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2022, SBIC II was in compliance with their regulatory requirements.</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December 31, 2022 and September 30, 2022,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24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2022 and September 30, 2022, we had cash and cash equivalents of $28.6 million and $52.7 million, respectively, available for investing and general corporate purposes. We believe our liquidity and capital resources are sufficient to allows us to effectively operate our business.</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our operating activities used cash of $9.6 million and our financing activities used cash of $14.8 million. Our operating activities used cash primarily due to our investment activities and our financing activities used cash primarily due to repayments under the Truist Credit Facility.</w:t>
      </w:r>
    </w:p>
    <w:p>
      <w:pPr>
        <w:spacing w:after="0" w:line="392"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2021, our operating activities used cash of $177.4 million, and our financing activities provided cash of $196.6 million. Our operating activities used cash primarily due to our investment activities and our financing activities provided cash primarily due to the issuance of the 2026 Notes-2 and borrowings under the Truist Credit Facility.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December 31, 2022 and September 30, 2022, PSLF had total assets of $776.9 million and $781.3 million, respectively and its investment portfolio consisted of debt investments in 83 and 80 portfolio companies, respectively. As of December 31, 2022, at fair value, the largest investment in a single portfolio company in PSLF was $19.8 million and the five largest investments totaled $98.0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and Pantheon provide capital to PSLF in the form of subordinated notes and equity interests. As of December 31, 2022 and September 30, 2022, we and Pantheon owned 60.5% and 39.5%, respectively, of each of the outstanding subordinated notes and equity interests of PSLF. As of December 31, 2022 and September 30, 2022 our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6" w:name="page47"/>
    <w:bookmarkEnd w:id="46"/>
    <w:p>
      <w:pPr>
        <w:jc w:val="both"/>
        <w:ind w:right="40"/>
        <w:spacing w:after="0" w:line="261" w:lineRule="auto"/>
        <w:rPr>
          <w:sz w:val="20"/>
          <w:szCs w:val="20"/>
          <w:color w:val="auto"/>
        </w:rPr>
      </w:pPr>
      <w:r>
        <w:rPr>
          <w:rFonts w:ascii="Times New Roman" w:cs="Times New Roman" w:eastAsia="Times New Roman" w:hAnsi="Times New Roman"/>
          <w:sz w:val="14"/>
          <w:szCs w:val="14"/>
          <w:color w:val="auto"/>
        </w:rPr>
        <w:t>investment in PSLF consisted of subordinated notes of $95.4 million (additional $20.5 million unfunded) and $88.0 million (additional $27.9 million unfunded), respectively, and equity interests of $59.0 million (additional $13.3 million unfunded) and $54.8 million (additional $18.3 million unfunded), respectively.</w:t>
      </w:r>
    </w:p>
    <w:p>
      <w:pPr>
        <w:spacing w:after="0" w:line="95" w:lineRule="exact"/>
        <w:rPr>
          <w:sz w:val="20"/>
          <w:szCs w:val="20"/>
          <w:color w:val="auto"/>
        </w:rPr>
      </w:pPr>
    </w:p>
    <w:p>
      <w:pPr>
        <w:jc w:val="both"/>
        <w:ind w:right="20" w:firstLine="449"/>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10"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or the PSLF Credit Facility, with BNP Paribas, which bears interest at SOFR (or an alternative risk-free interest rate index) plus 255 basis points during the investment period and is subject to leverage and borrowing base restrictions.</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24"/>
                <w:szCs w:val="24"/>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69"/>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734,690</w:t>
            </w:r>
          </w:p>
        </w:tc>
        <w:tc>
          <w:tcPr>
            <w:tcW w:w="2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16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20" w:type="dxa"/>
            <w:vAlign w:val="bottom"/>
          </w:tcPr>
          <w:p>
            <w:pPr>
              <w:spacing w:after="0"/>
              <w:rPr>
                <w:sz w:val="15"/>
                <w:szCs w:val="15"/>
                <w:color w:val="auto"/>
              </w:rPr>
            </w:pPr>
          </w:p>
        </w:tc>
      </w:tr>
      <w:tr>
        <w:trPr>
          <w:trHeight w:val="175"/>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97,994</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98,502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2022 ($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5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1"/>
              </w:rPr>
              <w:t>Fair Value</w:t>
            </w:r>
            <w:r>
              <w:rPr>
                <w:rFonts w:ascii="Times New Roman" w:cs="Times New Roman" w:eastAsia="Times New Roman" w:hAnsi="Times New Roman"/>
                <w:sz w:val="14"/>
                <w:szCs w:val="14"/>
                <w:b w:val="1"/>
                <w:bCs w:val="1"/>
                <w:color w:val="auto"/>
                <w:w w:val="91"/>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- 826.1%</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5/6/2026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10.84 %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11/30/2026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8.69 %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7/24/2025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12/21/2023</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6/10/2025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10.98 %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14,067</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13,946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5/23/2024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7/21/2027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9,902</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9,894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10.48 %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8,804</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3/7/2028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10.02 %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7/1/2029</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9/17/2024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12/4/2025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10.73 %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9/26/2029</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Auto Sector</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5/13/2028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10.58 %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17,413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17,097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8/20/2026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9.08 %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7/13/2027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10.14 %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8,999</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8/31/2027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10.48 %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12/21/2028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4,415</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11/3/2025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10.48 %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6/30/2024</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9.89 %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5/1/2028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11.88 %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Electro Rent Corporation</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1/17/2024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3/15/2027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9.82 %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9,799</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6/17/2028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3/16/2026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10.19 %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8/10/2027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11/23/2028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12/17/2026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10.73 %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15,217</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5/11/2028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Auto Sector</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2,322</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12/30/2026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9/22/2028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10.38 %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11/15/2027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12/7/2023</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11.95 %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19,900</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19,557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11/1/2026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8/27/2025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9.33 %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19,952</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12/20/2023</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12.07 %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Leisure, Amusement, Motion Pictures,</w:t>
            </w:r>
          </w:p>
        </w:tc>
        <w:tc>
          <w:tcPr>
            <w:tcW w:w="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10/31/2024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2/18/2027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11.17 %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2/3/2026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12,101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4/1/2027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7/31/2028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3,814</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4/16/2027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10.13 %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7,309</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12/10/2027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8.96 %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9/28/2027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8/19/2026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9.05 %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2/4/2028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Education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8.41 %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5/18/2026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10.84 %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11/9/2027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10.88 %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8,613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8,397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5/8/2026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12.00 %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10.94 %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0.00 %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3/31/2025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9.87 %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12,744</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2/28/2028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10.42 %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1/29/2026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10.98 %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14,542</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14,452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6/20/2025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3/10/2025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Education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10.48 %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1/3/2025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9.89 %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6/13/2029</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5/3/2024</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11,764</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1/17/2024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4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12/11/2026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2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8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120" w:type="dxa"/>
            <w:vAlign w:val="bottom"/>
            <w:gridSpan w:val="3"/>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540" w:type="dxa"/>
            <w:vAlign w:val="bottom"/>
            <w:gridSpan w:val="2"/>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Summit Behavioral Healthcare,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9.45 %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20" w:type="dxa"/>
            <w:vAlign w:val="bottom"/>
            <w:shd w:val="clear" w:color="auto" w:fill="CCECFF"/>
          </w:tcPr>
          <w:p>
            <w:pPr>
              <w:ind w:left="20"/>
              <w:spacing w:after="0" w:line="125"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2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8/16/2027</w:t>
            </w: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10.94 %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16,087</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Team Services Group,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7/18/2025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4,041</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10.70 %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7/27/2026</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11.98 %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5,517</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8/30/2027</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9.88 %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2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9"/>
              </w:rPr>
              <w:t>11/24/2025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9.24 %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5,388</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3/26/2026</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10.13 %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6/16/2025</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11.46 %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7"/>
              </w:rPr>
              <w:t>4/3/2028</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9.25 %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2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7"/>
              </w:rPr>
              <w:t>4/3/2024</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9.23 %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4,659</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2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8"/>
              </w:rPr>
              <w:t>5/24/2027</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9.98 %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2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8"/>
              </w:rPr>
              <w:t>2/27/2026</w:t>
            </w: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9.81 %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11,396</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11,082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2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7"/>
              </w:rPr>
              <w:t>3/1/2024</w:t>
            </w:r>
          </w:p>
        </w:tc>
        <w:tc>
          <w:tcPr>
            <w:tcW w:w="1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11.55 %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19,898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24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5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746,720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- 826.1%</w:t>
            </w: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- 40.2%</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24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- 866.2%</w:t>
            </w:r>
          </w:p>
        </w:tc>
        <w:tc>
          <w:tcPr>
            <w:tcW w:w="28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gridSpan w:val="3"/>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782,428</w:t>
            </w: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770,398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(766.2)%</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(681,462 )</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8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80" w:type="dxa"/>
            <w:vAlign w:val="bottom"/>
            <w:tcBorders>
              <w:top w:val="single" w:sz="8" w:color="auto"/>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-847725</wp:posOffset>
            </wp:positionV>
            <wp:extent cx="68580" cy="1111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111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-453390</wp:posOffset>
            </wp:positionV>
            <wp:extent cx="68580" cy="1111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111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-247650</wp:posOffset>
            </wp:positionV>
            <wp:extent cx="62611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611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jc w:val="both"/>
        <w:ind w:left="380" w:hanging="372"/>
        <w:spacing w:after="0" w:line="218" w:lineRule="auto"/>
        <w:tabs>
          <w:tab w:leader="none" w:pos="38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81" w:lineRule="auto"/>
        <w:tabs>
          <w:tab w:leader="none" w:pos="38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ind w:left="400" w:hanging="392"/>
        <w:spacing w:after="0" w:line="191" w:lineRule="auto"/>
        <w:tabs>
          <w:tab w:leader="none" w:pos="40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1722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2022 ($ in thousands):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8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4"/>
                <w:szCs w:val="14"/>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- 864.4%</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05/06/26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4,938</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11/30/26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10.81 %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12/21/23</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14,104</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07/21/27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7.98 %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9,942</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12/29/26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8,822</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03/07/28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07/01/29</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09/17/24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8.57 %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12/02/22</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7.39 %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05/13/28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08/20/26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07/13/27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08/31/27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6,435</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15,142</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15,063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06/30/24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05/01/28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12/23/25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6.32 %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03/15/27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06/17/28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7.63 %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03/16/26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12/31/26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11/23/28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19,535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12/17/26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15,255</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05/11/28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12/30/26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09/22/28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11/15/27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6.91 %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12/07/23</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11/01/26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08/27/25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19,954</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Leisure, Amusement, Motion Pictures,</w:t>
            </w:r>
          </w:p>
        </w:tc>
        <w:tc>
          <w:tcPr>
            <w:tcW w:w="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Entertainment</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02/18/27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02/03/26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12,345</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12,119</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04/01/27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07/31/28</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05/14/26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04/16/27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7,326</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09/28/27</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08/19/26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07/09/26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02/04/28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8.41 %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05/18/26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4,911</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11/09/27</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2,487</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0.00 %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03/31/25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9.46 %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12/18/25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02/28/28</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01/29/26</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9,718</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06/20/25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03/10/25</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01/03/25</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6,779</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7.15 %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06/13/29</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7.90 %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14,794</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05/03/24</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shd w:val="clear" w:color="auto" w:fill="CCECFF"/>
          </w:tcPr>
          <w:p>
            <w:pPr>
              <w:spacing w:after="0"/>
              <w:rPr>
                <w:sz w:val="13"/>
                <w:szCs w:val="13"/>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11,386</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2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17227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8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960" w:type="dxa"/>
            <w:vAlign w:val="bottom"/>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Par</w:t>
            </w: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auto"/>
            </w:tcBorders>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80" w:type="dxa"/>
            <w:vAlign w:val="bottom"/>
            <w:tcBorders>
              <w:top w:val="single" w:sz="8" w:color="auto"/>
            </w:tcBorders>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48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7/18/2025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5"/>
              </w:rPr>
              <w:t>10/31/2025</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7/27/2026</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8/30/2027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5,392</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3/26/2026</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6/16/2025</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0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4/3/2028</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0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4/3/2024</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0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color w:val="auto"/>
                <w:w w:val="98"/>
              </w:rPr>
              <w:t>5/24/2027</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00" w:type="dxa"/>
            <w:vAlign w:val="bottom"/>
            <w:gridSpan w:val="2"/>
            <w:shd w:val="clear" w:color="auto" w:fill="CCECFF"/>
          </w:tcPr>
          <w:p>
            <w:pPr>
              <w:jc w:val="center"/>
              <w:ind w:left="22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CECFF"/>
          </w:tcPr>
          <w:p>
            <w:pPr>
              <w:spacing w:after="0"/>
              <w:rPr>
                <w:sz w:val="13"/>
                <w:szCs w:val="13"/>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0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3/1/2024</w:t>
            </w:r>
          </w:p>
        </w:tc>
        <w:tc>
          <w:tcPr>
            <w:tcW w:w="12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3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4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738,219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- 864.4%</w:t>
            </w: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- 50.9%</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3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- 915.3%</w:t>
            </w:r>
          </w:p>
        </w:tc>
        <w:tc>
          <w:tcPr>
            <w:tcW w:w="2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3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900" w:type="dxa"/>
            <w:vAlign w:val="bottom"/>
            <w:tcBorders>
              <w:bottom w:val="single" w:sz="8" w:color="CCECFF"/>
            </w:tcBorders>
            <w:gridSpan w:val="3"/>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781,185</w:t>
            </w:r>
          </w:p>
        </w:tc>
        <w:tc>
          <w:tcPr>
            <w:tcW w:w="180" w:type="dxa"/>
            <w:vAlign w:val="bottom"/>
            <w:tcBorders>
              <w:bottom w:val="single" w:sz="8" w:color="CCECFF"/>
            </w:tcBorders>
            <w:gridSpan w:val="2"/>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773,073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(815.3)%</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(688,611 )</w:t>
            </w:r>
          </w:p>
        </w:tc>
        <w:tc>
          <w:tcPr>
            <w:tcW w:w="0" w:type="dxa"/>
            <w:vAlign w:val="bottom"/>
          </w:tcPr>
          <w:p>
            <w:pPr>
              <w:spacing w:after="0"/>
              <w:rPr>
                <w:sz w:val="1"/>
                <w:szCs w:val="1"/>
                <w:color w:val="auto"/>
              </w:rPr>
            </w:pP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84,462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-831215</wp:posOffset>
            </wp:positionV>
            <wp:extent cx="68580" cy="1117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117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-436880</wp:posOffset>
            </wp:positionV>
            <wp:extent cx="68580" cy="1117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1117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89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jc w:val="both"/>
        <w:ind w:left="380" w:hanging="372"/>
        <w:spacing w:after="0" w:line="218" w:lineRule="auto"/>
        <w:tabs>
          <w:tab w:leader="none" w:pos="38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w:t>
            </w:r>
          </w:p>
        </w:tc>
        <w:tc>
          <w:tcPr>
            <w:tcW w:w="3200" w:type="dxa"/>
            <w:vAlign w:val="bottom"/>
            <w:gridSpan w:val="3"/>
          </w:tcPr>
          <w:p>
            <w:pPr>
              <w:jc w:val="right"/>
              <w:ind w:right="1788"/>
              <w:spacing w:after="0"/>
              <w:rPr>
                <w:sz w:val="20"/>
                <w:szCs w:val="20"/>
                <w:color w:val="auto"/>
              </w:rPr>
            </w:pPr>
            <w:r>
              <w:rPr>
                <w:rFonts w:ascii="Times New Roman" w:cs="Times New Roman" w:eastAsia="Times New Roman" w:hAnsi="Times New Roman"/>
                <w:sz w:val="14"/>
                <w:szCs w:val="14"/>
                <w:color w:val="auto"/>
              </w:rPr>
              <w:t>PSLF,($ in thousands):</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0" w:type="dxa"/>
            <w:vAlign w:val="bottom"/>
            <w:shd w:val="clear" w:color="auto" w:fill="CCECFF"/>
          </w:tcPr>
          <w:p>
            <w:pPr>
              <w:spacing w:after="0"/>
              <w:rPr>
                <w:sz w:val="14"/>
                <w:szCs w:val="14"/>
                <w:color w:val="auto"/>
              </w:rPr>
            </w:pPr>
          </w:p>
        </w:tc>
        <w:tc>
          <w:tcPr>
            <w:tcW w:w="480" w:type="dxa"/>
            <w:vAlign w:val="bottom"/>
            <w:tcBorders>
              <w:top w:val="single" w:sz="8" w:color="auto"/>
            </w:tcBorders>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right w:val="single" w:sz="8" w:color="CCECFF"/>
            </w:tcBorders>
          </w:tcPr>
          <w:p>
            <w:pPr>
              <w:spacing w:after="0"/>
              <w:rPr>
                <w:sz w:val="14"/>
                <w:szCs w:val="14"/>
                <w:color w:val="auto"/>
              </w:rPr>
            </w:pPr>
          </w:p>
        </w:tc>
        <w:tc>
          <w:tcPr>
            <w:tcW w:w="180" w:type="dxa"/>
            <w:vAlign w:val="bottom"/>
            <w:tcBorders>
              <w:top w:val="single" w:sz="8" w:color="auto"/>
            </w:tcBorders>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6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(cost—$746,720 and $738,219, respectively)</w:t>
            </w:r>
          </w:p>
        </w:tc>
        <w:tc>
          <w:tcPr>
            <w:tcW w:w="30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(cost—$35,708 and $42,966, respectively)</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42,966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776,939</w:t>
            </w:r>
          </w:p>
        </w:tc>
        <w:tc>
          <w:tcPr>
            <w:tcW w:w="100" w:type="dxa"/>
            <w:vAlign w:val="bottom"/>
            <w:tcBorders>
              <w:bottom w:val="single" w:sz="8" w:color="CCECFF"/>
            </w:tcBorders>
            <w:shd w:val="clear" w:color="auto" w:fill="CCEC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right w:val="single" w:sz="8" w:color="CCECFF"/>
            </w:tcBorders>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264,600</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157,605</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CFF"/>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CCECFF"/>
            </w:tcBorders>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6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688,003</w:t>
            </w:r>
          </w:p>
        </w:tc>
        <w:tc>
          <w:tcPr>
            <w:tcW w:w="100" w:type="dxa"/>
            <w:vAlign w:val="bottom"/>
            <w:tcBorders>
              <w:bottom w:val="single" w:sz="8" w:color="CCECFF"/>
            </w:tcBorders>
            <w:shd w:val="clear" w:color="auto" w:fill="CCEC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right w:val="single" w:sz="8" w:color="CCECFF"/>
            </w:tcBorders>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696,825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9"/>
                <w:szCs w:val="19"/>
                <w:color w:val="auto"/>
                <w:vertAlign w:val="superscript"/>
              </w:rPr>
              <w:t>(1)</w:t>
            </w:r>
          </w:p>
        </w:tc>
        <w:tc>
          <w:tcPr>
            <w:tcW w:w="2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60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88,936</w:t>
            </w:r>
          </w:p>
        </w:tc>
        <w:tc>
          <w:tcPr>
            <w:tcW w:w="100" w:type="dxa"/>
            <w:vAlign w:val="bottom"/>
            <w:tcBorders>
              <w:bottom w:val="single" w:sz="8" w:color="CCECFF"/>
            </w:tcBorders>
            <w:shd w:val="clear" w:color="auto" w:fill="CCEC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right w:val="single" w:sz="8" w:color="CCECFF"/>
            </w:tcBorders>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84,462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30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776,939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w:t>
            </w:r>
          </w:p>
        </w:tc>
        <w:tc>
          <w:tcPr>
            <w:tcW w:w="6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auto"/>
              </w:rPr>
              <w:t>As of December 31, 2022 and September 30, 2022, PSLF did not have any unfunded commitments to fund investments.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0" w:type="dxa"/>
            <w:vAlign w:val="bottom"/>
            <w:vMerge w:val="continue"/>
          </w:tcPr>
          <w:p>
            <w:pPr>
              <w:spacing w:after="0"/>
              <w:rPr>
                <w:sz w:val="9"/>
                <w:szCs w:val="9"/>
                <w:color w:val="auto"/>
              </w:rPr>
            </w:pPr>
          </w:p>
        </w:tc>
        <w:tc>
          <w:tcPr>
            <w:tcW w:w="67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4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3780" w:type="dxa"/>
            <w:vAlign w:val="bottom"/>
            <w:gridSpan w:val="8"/>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CECFF"/>
          </w:tcPr>
          <w:p>
            <w:pPr>
              <w:spacing w:after="0"/>
              <w:rPr>
                <w:sz w:val="15"/>
                <w:szCs w:val="15"/>
                <w:color w:val="auto"/>
              </w:rPr>
            </w:pPr>
          </w:p>
        </w:tc>
        <w:tc>
          <w:tcPr>
            <w:tcW w:w="4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Interest</w:t>
            </w:r>
          </w:p>
        </w:tc>
        <w:tc>
          <w:tcPr>
            <w:tcW w:w="32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18,845</w:t>
            </w:r>
          </w:p>
        </w:tc>
        <w:tc>
          <w:tcPr>
            <w:tcW w:w="120" w:type="dxa"/>
            <w:vAlign w:val="bottom"/>
            <w:tcBorders>
              <w:right w:val="single" w:sz="8" w:color="CCECFF"/>
            </w:tcBorders>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60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0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18,942</w:t>
            </w:r>
          </w:p>
        </w:tc>
        <w:tc>
          <w:tcPr>
            <w:tcW w:w="120" w:type="dxa"/>
            <w:vAlign w:val="bottom"/>
            <w:tcBorders>
              <w:bottom w:val="single" w:sz="8" w:color="CCECFF"/>
              <w:right w:val="single" w:sz="8" w:color="CCECFF"/>
            </w:tcBorders>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CECFF"/>
          </w:tcPr>
          <w:p>
            <w:pPr>
              <w:spacing w:after="0"/>
              <w:rPr>
                <w:sz w:val="15"/>
                <w:szCs w:val="15"/>
                <w:color w:val="auto"/>
              </w:rPr>
            </w:pPr>
          </w:p>
        </w:tc>
        <w:tc>
          <w:tcPr>
            <w:tcW w:w="4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120" w:type="dxa"/>
            <w:vAlign w:val="bottom"/>
            <w:tcBorders>
              <w:right w:val="single" w:sz="8" w:color="CCECFF"/>
            </w:tcBorders>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CECFF"/>
          </w:tcPr>
          <w:p>
            <w:pPr>
              <w:spacing w:after="0"/>
              <w:rPr>
                <w:sz w:val="15"/>
                <w:szCs w:val="15"/>
                <w:color w:val="auto"/>
              </w:rPr>
            </w:pPr>
          </w:p>
        </w:tc>
        <w:tc>
          <w:tcPr>
            <w:tcW w:w="4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Borders>
              <w:right w:val="single" w:sz="8" w:color="CCECFF"/>
            </w:tcBorders>
            <w:shd w:val="clear" w:color="auto" w:fill="CCEC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260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0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13,379</w:t>
            </w:r>
          </w:p>
        </w:tc>
        <w:tc>
          <w:tcPr>
            <w:tcW w:w="120" w:type="dxa"/>
            <w:vAlign w:val="bottom"/>
            <w:tcBorders>
              <w:bottom w:val="single" w:sz="8" w:color="CCECFF"/>
              <w:right w:val="single" w:sz="8" w:color="CCECFF"/>
            </w:tcBorders>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260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tcBorders>
              <w:right w:val="single" w:sz="8" w:color="CCECFF"/>
            </w:tcBorders>
            <w:shd w:val="clear" w:color="auto" w:fill="CCECFF"/>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(33 )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4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720" w:type="dxa"/>
            <w:vAlign w:val="bottom"/>
            <w:tcBorders>
              <w:right w:val="single" w:sz="8" w:color="CCECFF"/>
            </w:tcBorders>
            <w:gridSpan w:val="4"/>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(3,922 )</w:t>
            </w:r>
          </w:p>
        </w:tc>
        <w:tc>
          <w:tcPr>
            <w:tcW w:w="180" w:type="dxa"/>
            <w:vAlign w:val="bottom"/>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CFF"/>
          </w:tcPr>
          <w:p>
            <w:pPr>
              <w:spacing w:after="0" w:line="20" w:lineRule="exact"/>
              <w:rPr>
                <w:sz w:val="1"/>
                <w:szCs w:val="1"/>
                <w:color w:val="auto"/>
              </w:rPr>
            </w:pPr>
          </w:p>
        </w:tc>
        <w:tc>
          <w:tcPr>
            <w:tcW w:w="4120" w:type="dxa"/>
            <w:vAlign w:val="bottom"/>
            <w:shd w:val="clear" w:color="auto" w:fill="CCECFF"/>
          </w:tcPr>
          <w:p>
            <w:pPr>
              <w:spacing w:after="0" w:line="20" w:lineRule="exact"/>
              <w:rPr>
                <w:sz w:val="1"/>
                <w:szCs w:val="1"/>
                <w:color w:val="auto"/>
              </w:rPr>
            </w:pPr>
          </w:p>
        </w:tc>
        <w:tc>
          <w:tcPr>
            <w:tcW w:w="2600" w:type="dxa"/>
            <w:vAlign w:val="bottom"/>
            <w:shd w:val="clear" w:color="auto" w:fill="CCECFF"/>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w:t>
            </w: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(3,955 )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3080" w:type="dxa"/>
            <w:vAlign w:val="bottom"/>
            <w:tcBorders>
              <w:bottom w:val="single" w:sz="8" w:color="CCECFF"/>
            </w:tcBorders>
            <w:gridSpan w:val="2"/>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tcBorders>
              <w:bottom w:val="single" w:sz="8" w:color="CCECFF"/>
              <w:right w:val="single" w:sz="8" w:color="CCECFF"/>
            </w:tcBorders>
            <w:shd w:val="clear" w:color="auto" w:fill="CCECFF"/>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-3882390</wp:posOffset>
            </wp:positionV>
            <wp:extent cx="6858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-2750820</wp:posOffset>
            </wp:positionV>
            <wp:extent cx="6858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-2510790</wp:posOffset>
            </wp:positionV>
            <wp:extent cx="6858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-1413510</wp:posOffset>
            </wp:positionV>
            <wp:extent cx="68580"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-727710</wp:posOffset>
            </wp:positionV>
            <wp:extent cx="6858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-264795</wp:posOffset>
            </wp:positionV>
            <wp:extent cx="6858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During the three months ended December 31, 2022, we declared distributions of $0.17 per share, for total distributions of $10.8 million. For the same periods in the prior year, we declared distributions of $0.12 per share, for total distributions of $8.0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2022, the effect of which was not material to the consolidated financial statements and the notes thereto. The Company continues to evaluate the potential impact that the amendments in this update will have on its consolidated financial statements and disclosures.</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of the adoption of ASU 2022-02 on its consolidated financial statement and disclosures, but the impact of the adoption is not expected to be material.</w:t>
      </w:r>
    </w:p>
    <w:p>
      <w:pPr>
        <w:spacing w:after="0" w:line="235"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shares in the open market at prices below</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shares. During the three months ended December 31, 2022 and 2021, we did not make any repurchases of our common sshares, respectively.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December 31, 2022, our debt portfolio consisted of 96.0% variable-rate investments and 4.0% fixed 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00" w:type="dxa"/>
            <w:vAlign w:val="bottom"/>
            <w:gridSpan w:val="2"/>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4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00" w:type="dxa"/>
            <w:vAlign w:val="bottom"/>
            <w:gridSpan w:val="2"/>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0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40" w:type="dxa"/>
            <w:vAlign w:val="bottom"/>
            <w:shd w:val="clear" w:color="auto" w:fill="CCECFF"/>
          </w:tcPr>
          <w:p>
            <w:pPr>
              <w:spacing w:after="0"/>
              <w:rPr>
                <w:sz w:val="14"/>
                <w:szCs w:val="14"/>
                <w:color w:val="auto"/>
              </w:rPr>
            </w:pPr>
          </w:p>
        </w:tc>
        <w:tc>
          <w:tcPr>
            <w:tcW w:w="2820" w:type="dxa"/>
            <w:vAlign w:val="bottom"/>
            <w:tcBorders>
              <w:top w:val="single" w:sz="8" w:color="auto"/>
            </w:tcBorders>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34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6"/>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16,133</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21,514</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Taking the above efforts into consideration, our management, including the Chief Executive Officer and Chief Financial Officer, concluded that our disclosure controls and procedures for the quarter ended December 31, 2022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Other than disclosed in this Item 4, 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40"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10" w:lineRule="exact"/>
        <w:rPr>
          <w:sz w:val="20"/>
          <w:szCs w:val="20"/>
          <w:color w:val="auto"/>
        </w:rPr>
      </w:pPr>
    </w:p>
    <w:p>
      <w:pPr>
        <w:jc w:val="both"/>
        <w:ind w:right="20" w:firstLine="495"/>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1"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40"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jc w:val="both"/>
        <w:ind w:firstLine="495"/>
        <w:spacing w:after="0"/>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unregistered securities were sold in the quarter ended December 31, 2022.</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Repurchases of our common stock under our share repurchase program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7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c>
          <w:tcPr>
            <w:tcW w:w="22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20" w:type="dxa"/>
            <w:vAlign w:val="bottom"/>
          </w:tcPr>
          <w:p>
            <w:pPr>
              <w:spacing w:after="0"/>
              <w:rPr>
                <w:sz w:val="12"/>
                <w:szCs w:val="12"/>
                <w:color w:val="auto"/>
              </w:rPr>
            </w:pPr>
          </w:p>
        </w:tc>
        <w:tc>
          <w:tcPr>
            <w:tcW w:w="17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6"/>
                <w:szCs w:val="16"/>
                <w:b w:val="1"/>
                <w:bCs w:val="1"/>
                <w:color w:val="auto"/>
                <w:w w:val="98"/>
                <w:vertAlign w:val="superscript"/>
              </w:rPr>
              <w:t>(1)</w:t>
            </w:r>
          </w:p>
        </w:tc>
        <w:tc>
          <w:tcPr>
            <w:tcW w:w="220" w:type="dxa"/>
            <w:vAlign w:val="bottom"/>
          </w:tcPr>
          <w:p>
            <w:pPr>
              <w:spacing w:after="0"/>
              <w:rPr>
                <w:sz w:val="16"/>
                <w:szCs w:val="16"/>
                <w:color w:val="auto"/>
              </w:rPr>
            </w:pPr>
          </w:p>
        </w:tc>
        <w:tc>
          <w:tcPr>
            <w:tcW w:w="1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or Programs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2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2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April 1, 2022 through June 30, 2022</w:t>
            </w:r>
          </w:p>
        </w:tc>
        <w:tc>
          <w:tcPr>
            <w:tcW w:w="1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717,709</w:t>
            </w: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1,631,163</w:t>
            </w:r>
          </w:p>
        </w:tc>
        <w:tc>
          <w:tcPr>
            <w:tcW w:w="9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1, 2022 through September 30, 2022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189,442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1,820,605</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October 1, 2022 through December 31, 2022</w:t>
            </w:r>
          </w:p>
        </w:tc>
        <w:tc>
          <w:tcPr>
            <w:tcW w:w="12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1,820,605</w:t>
            </w:r>
          </w:p>
        </w:tc>
        <w:tc>
          <w:tcPr>
            <w:tcW w:w="940" w:type="dxa"/>
            <w:vAlign w:val="bottom"/>
            <w:tcBorders>
              <w:bottom w:val="single" w:sz="8" w:color="CCECFF"/>
            </w:tcBorders>
            <w:gridSpan w:val="2"/>
            <w:shd w:val="clear" w:color="auto" w:fill="CCEC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1,820,605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-220980</wp:posOffset>
            </wp:positionV>
            <wp:extent cx="7747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-220980</wp:posOffset>
            </wp:positionV>
            <wp:extent cx="6858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ind w:left="360" w:right="220" w:hanging="339"/>
        <w:spacing w:after="0" w:line="236" w:lineRule="auto"/>
        <w:tabs>
          <w:tab w:leader="none" w:pos="3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February 9, 2022, we announced a share repurchase program which allows us to repurchase up to $25.0 million of our outstanding commons stock. Unless extended by our board of directors, the program will expire on the earlier off March 31, 2023 and the repurchase of $25.0 million of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40" w:type="dxa"/>
            <w:vAlign w:val="bottom"/>
            <w:gridSpan w:val="20"/>
          </w:tcPr>
          <w:p>
            <w:pPr>
              <w:ind w:left="46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tc>
      </w:tr>
      <w:tr>
        <w:trPr>
          <w:trHeight w:val="280"/>
        </w:trPr>
        <w:tc>
          <w:tcPr>
            <w:tcW w:w="15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3.1</w:t>
            </w:r>
          </w:p>
        </w:tc>
        <w:tc>
          <w:tcPr>
            <w:tcW w:w="9740" w:type="dxa"/>
            <w:vAlign w:val="bottom"/>
            <w:gridSpan w:val="19"/>
          </w:tcPr>
          <w:p>
            <w:pPr>
              <w:spacing w:after="0"/>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Articles of Incorporation (Incorporated by reference to Exhibit 99(a) to the Registrant’s Pre-Effective Amendment No. 3 to the Registration Statement on Form N-2/A</w:t>
              </w:r>
            </w:hyperlink>
          </w:p>
        </w:tc>
      </w:tr>
      <w:tr>
        <w:trPr>
          <w:trHeight w:val="128"/>
        </w:trPr>
        <w:tc>
          <w:tcPr>
            <w:tcW w:w="150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(File No. 333-140092), filed on April 5, 2007).</w:t>
              </w:r>
            </w:hyperlink>
          </w:p>
        </w:tc>
        <w:tc>
          <w:tcPr>
            <w:tcW w:w="20" w:type="dxa"/>
            <w:vAlign w:val="bottom"/>
            <w:tcBorders>
              <w:top w:val="single" w:sz="8" w:color="0000FF"/>
              <w:bottom w:val="single" w:sz="8" w:color="0000EE"/>
            </w:tcBorders>
          </w:tcPr>
          <w:p>
            <w:pPr>
              <w:spacing w:after="0"/>
              <w:rPr>
                <w:sz w:val="11"/>
                <w:szCs w:val="11"/>
                <w:color w:val="auto"/>
              </w:rPr>
            </w:pPr>
          </w:p>
        </w:tc>
        <w:tc>
          <w:tcPr>
            <w:tcW w:w="6880" w:type="dxa"/>
            <w:vAlign w:val="bottom"/>
            <w:tcBorders>
              <w:top w:val="single" w:sz="8" w:color="0000FF"/>
            </w:tcBorders>
            <w:gridSpan w:val="8"/>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15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3.2</w:t>
            </w:r>
          </w:p>
        </w:tc>
        <w:tc>
          <w:tcPr>
            <w:tcW w:w="9740" w:type="dxa"/>
            <w:vAlign w:val="bottom"/>
            <w:gridSpan w:val="19"/>
          </w:tcPr>
          <w:p>
            <w:pPr>
              <w:spacing w:after="0"/>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w:t>
              </w:r>
            </w:hyperlink>
          </w:p>
        </w:tc>
      </w:tr>
      <w:tr>
        <w:trPr>
          <w:trHeight w:val="128"/>
        </w:trPr>
        <w:tc>
          <w:tcPr>
            <w:tcW w:w="150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00736)</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May 11, 2020).</w:t>
              </w:r>
            </w:hyperlink>
          </w:p>
        </w:tc>
        <w:tc>
          <w:tcPr>
            <w:tcW w:w="20" w:type="dxa"/>
            <w:vAlign w:val="bottom"/>
            <w:tcBorders>
              <w:top w:val="single" w:sz="8" w:color="0000FF"/>
              <w:bottom w:val="single" w:sz="8" w:color="0000EE"/>
            </w:tcBorders>
          </w:tcPr>
          <w:p>
            <w:pPr>
              <w:spacing w:after="0"/>
              <w:rPr>
                <w:sz w:val="11"/>
                <w:szCs w:val="11"/>
                <w:color w:val="auto"/>
              </w:rPr>
            </w:pPr>
          </w:p>
        </w:tc>
        <w:tc>
          <w:tcPr>
            <w:tcW w:w="7580" w:type="dxa"/>
            <w:vAlign w:val="bottom"/>
            <w:tcBorders>
              <w:top w:val="single" w:sz="8" w:color="0000FF"/>
            </w:tcBorders>
            <w:gridSpan w:val="8"/>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15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4.1</w:t>
            </w:r>
          </w:p>
        </w:tc>
        <w:tc>
          <w:tcPr>
            <w:tcW w:w="9740" w:type="dxa"/>
            <w:vAlign w:val="bottom"/>
            <w:gridSpan w:val="19"/>
          </w:tcPr>
          <w:p>
            <w:pPr>
              <w:spacing w:after="0"/>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Form of Share Certificate (Incorporated by reference to Exhibit 99(d)(1) to the Registrant’s Registration Statement on Form N-2 (File No. 333-150033), filed on April 2,</w:t>
              </w:r>
            </w:hyperlink>
          </w:p>
        </w:tc>
      </w:tr>
      <w:tr>
        <w:trPr>
          <w:trHeight w:val="129"/>
        </w:trPr>
        <w:tc>
          <w:tcPr>
            <w:tcW w:w="1500" w:type="dxa"/>
            <w:vAlign w:val="bottom"/>
          </w:tcPr>
          <w:p>
            <w:pPr>
              <w:spacing w:after="0"/>
              <w:rPr>
                <w:sz w:val="11"/>
                <w:szCs w:val="11"/>
                <w:color w:val="auto"/>
              </w:rPr>
            </w:pPr>
          </w:p>
        </w:tc>
        <w:tc>
          <w:tcPr>
            <w:tcW w:w="3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3"/>
              </w:rPr>
            </w:pPr>
            <w:hyperlink r:id="rId313">
              <w:r>
                <w:rPr>
                  <w:rFonts w:ascii="Times New Roman" w:cs="Times New Roman" w:eastAsia="Times New Roman" w:hAnsi="Times New Roman"/>
                  <w:sz w:val="14"/>
                  <w:szCs w:val="14"/>
                  <w:color w:val="0000FF"/>
                  <w:w w:val="93"/>
                </w:rPr>
                <w:t>2008).</w:t>
              </w:r>
            </w:hyperlink>
          </w:p>
        </w:tc>
        <w:tc>
          <w:tcPr>
            <w:tcW w:w="20" w:type="dxa"/>
            <w:vAlign w:val="bottom"/>
            <w:tcBorders>
              <w:top w:val="single" w:sz="8" w:color="0000FF"/>
              <w:bottom w:val="single" w:sz="8" w:color="0000EE"/>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150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31.1*</w:t>
            </w:r>
          </w:p>
        </w:tc>
        <w:tc>
          <w:tcPr>
            <w:tcW w:w="6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of the Securities Exchange Act of 1934, as amended.</w:t>
            </w:r>
          </w:p>
        </w:tc>
        <w:tc>
          <w:tcPr>
            <w:tcW w:w="2940" w:type="dxa"/>
            <w:vAlign w:val="bottom"/>
            <w:gridSpan w:val="5"/>
          </w:tcPr>
          <w:p>
            <w:pPr>
              <w:spacing w:after="0"/>
              <w:rPr>
                <w:sz w:val="24"/>
                <w:szCs w:val="24"/>
                <w:color w:val="auto"/>
              </w:rPr>
            </w:pPr>
          </w:p>
        </w:tc>
      </w:tr>
      <w:tr>
        <w:trPr>
          <w:trHeight w:val="331"/>
        </w:trPr>
        <w:tc>
          <w:tcPr>
            <w:tcW w:w="150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31.2*</w:t>
            </w:r>
          </w:p>
        </w:tc>
        <w:tc>
          <w:tcPr>
            <w:tcW w:w="6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of the Securities Exchange Act of 1934, as amended.</w:t>
            </w:r>
          </w:p>
        </w:tc>
        <w:tc>
          <w:tcPr>
            <w:tcW w:w="2980" w:type="dxa"/>
            <w:vAlign w:val="bottom"/>
            <w:gridSpan w:val="6"/>
          </w:tcPr>
          <w:p>
            <w:pPr>
              <w:spacing w:after="0"/>
              <w:rPr>
                <w:sz w:val="24"/>
                <w:szCs w:val="24"/>
                <w:color w:val="auto"/>
              </w:rPr>
            </w:pPr>
          </w:p>
        </w:tc>
      </w:tr>
      <w:tr>
        <w:trPr>
          <w:trHeight w:val="331"/>
        </w:trPr>
        <w:tc>
          <w:tcPr>
            <w:tcW w:w="150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32.1*</w:t>
            </w:r>
          </w:p>
        </w:tc>
        <w:tc>
          <w:tcPr>
            <w:tcW w:w="5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3960" w:type="dxa"/>
            <w:vAlign w:val="bottom"/>
            <w:gridSpan w:val="7"/>
          </w:tcPr>
          <w:p>
            <w:pPr>
              <w:spacing w:after="0"/>
              <w:rPr>
                <w:sz w:val="24"/>
                <w:szCs w:val="24"/>
                <w:color w:val="auto"/>
              </w:rPr>
            </w:pPr>
          </w:p>
        </w:tc>
      </w:tr>
      <w:tr>
        <w:trPr>
          <w:trHeight w:val="331"/>
        </w:trPr>
        <w:tc>
          <w:tcPr>
            <w:tcW w:w="150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32.2*</w:t>
            </w:r>
          </w:p>
        </w:tc>
        <w:tc>
          <w:tcPr>
            <w:tcW w:w="5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20" w:type="dxa"/>
            <w:vAlign w:val="bottom"/>
            <w:tcBorders>
              <w:bottom w:val="single" w:sz="8" w:color="0000EE"/>
            </w:tcBorders>
          </w:tcPr>
          <w:p>
            <w:pPr>
              <w:spacing w:after="0"/>
              <w:rPr>
                <w:sz w:val="24"/>
                <w:szCs w:val="24"/>
                <w:color w:val="auto"/>
              </w:rPr>
            </w:pPr>
          </w:p>
        </w:tc>
        <w:tc>
          <w:tcPr>
            <w:tcW w:w="3980" w:type="dxa"/>
            <w:vAlign w:val="bottom"/>
            <w:gridSpan w:val="8"/>
          </w:tcPr>
          <w:p>
            <w:pPr>
              <w:spacing w:after="0"/>
              <w:rPr>
                <w:sz w:val="24"/>
                <w:szCs w:val="24"/>
                <w:color w:val="auto"/>
              </w:rPr>
            </w:pPr>
          </w:p>
        </w:tc>
      </w:tr>
      <w:tr>
        <w:trPr>
          <w:trHeight w:val="331"/>
        </w:trPr>
        <w:tc>
          <w:tcPr>
            <w:tcW w:w="15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99.1</w:t>
            </w:r>
          </w:p>
        </w:tc>
        <w:tc>
          <w:tcPr>
            <w:tcW w:w="9740" w:type="dxa"/>
            <w:vAlign w:val="bottom"/>
            <w:gridSpan w:val="19"/>
          </w:tcPr>
          <w:p>
            <w:pPr>
              <w:spacing w:after="0"/>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814-00736), filed on November</w:t>
              </w:r>
            </w:hyperlink>
          </w:p>
        </w:tc>
      </w:tr>
      <w:tr>
        <w:trPr>
          <w:trHeight w:val="128"/>
        </w:trPr>
        <w:tc>
          <w:tcPr>
            <w:tcW w:w="1500" w:type="dxa"/>
            <w:vAlign w:val="bottom"/>
          </w:tcPr>
          <w:p>
            <w:pPr>
              <w:spacing w:after="0"/>
              <w:rPr>
                <w:sz w:val="11"/>
                <w:szCs w:val="11"/>
                <w:color w:val="auto"/>
              </w:rPr>
            </w:pPr>
          </w:p>
        </w:tc>
        <w:tc>
          <w:tcPr>
            <w:tcW w:w="58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7"/>
              </w:rPr>
            </w:pPr>
            <w:hyperlink r:id="rId314">
              <w:r>
                <w:rPr>
                  <w:rFonts w:ascii="Times New Roman" w:cs="Times New Roman" w:eastAsia="Times New Roman" w:hAnsi="Times New Roman"/>
                  <w:sz w:val="14"/>
                  <w:szCs w:val="14"/>
                  <w:color w:val="0000FF"/>
                  <w:w w:val="97"/>
                </w:rPr>
                <w:t>16, 2011).</w:t>
              </w:r>
            </w:hyperlink>
          </w:p>
        </w:tc>
        <w:tc>
          <w:tcPr>
            <w:tcW w:w="20" w:type="dxa"/>
            <w:vAlign w:val="bottom"/>
            <w:tcBorders>
              <w:top w:val="single" w:sz="8" w:color="0000FF"/>
              <w:bottom w:val="single" w:sz="8" w:color="0000EE"/>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33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97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59"/>
        </w:trPr>
        <w:tc>
          <w:tcPr>
            <w:tcW w:w="1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8"/>
        </w:trPr>
        <w:tc>
          <w:tcPr>
            <w:tcW w:w="1500" w:type="dxa"/>
            <w:vAlign w:val="bottom"/>
          </w:tcPr>
          <w:p>
            <w:pPr>
              <w:spacing w:after="0"/>
              <w:rPr>
                <w:sz w:val="24"/>
                <w:szCs w:val="24"/>
                <w:color w:val="auto"/>
              </w:rPr>
            </w:pPr>
          </w:p>
        </w:tc>
        <w:tc>
          <w:tcPr>
            <w:tcW w:w="5740" w:type="dxa"/>
            <w:vAlign w:val="bottom"/>
            <w:gridSpan w:val="10"/>
          </w:tcPr>
          <w:p>
            <w:pPr>
              <w:ind w:left="404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331"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February 8,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February 8,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INVESTMENT CORPORATION</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15240</wp:posOffset>
            </wp:positionV>
            <wp:extent cx="33432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15240</wp:posOffset>
            </wp:positionV>
            <wp:extent cx="33432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Richard T. Allorto, Jr.</w:t>
      </w:r>
    </w:p>
    <w:p>
      <w:pPr>
        <w:spacing w:after="0" w:line="8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20" w:space="720"/>
            <w:col w:w="380" w:space="720"/>
            <w:col w:w="4580"/>
          </w:cols>
          <w:pgMar w:left="320" w:top="331" w:right="359" w:bottom="1440" w:gutter="0" w:footer="0" w:header="0"/>
          <w:type w:val="continuous"/>
        </w:sectPr>
      </w:pP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Investment Corporation, certify that:</w:t>
      </w:r>
    </w:p>
    <w:p>
      <w:pPr>
        <w:spacing w:after="0" w:line="136" w:lineRule="exact"/>
        <w:rPr>
          <w:sz w:val="20"/>
          <w:szCs w:val="20"/>
          <w:color w:val="auto"/>
        </w:rPr>
      </w:pPr>
    </w:p>
    <w:p>
      <w:pPr>
        <w:ind w:left="620" w:hanging="143"/>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right="6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4"/>
          <w:szCs w:val="14"/>
          <w:color w:val="auto"/>
        </w:rPr>
      </w:pPr>
    </w:p>
    <w:p>
      <w:pPr>
        <w:ind w:left="920" w:hanging="163"/>
        <w:spacing w:after="0"/>
        <w:tabs>
          <w:tab w:leader="none" w:pos="9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w:t>
      </w:r>
    </w:p>
    <w:p>
      <w:pPr>
        <w:spacing w:after="0" w:line="4" w:lineRule="exact"/>
        <w:rPr>
          <w:sz w:val="20"/>
          <w:szCs w:val="20"/>
          <w:color w:val="auto"/>
        </w:rPr>
      </w:pPr>
    </w:p>
    <w:p>
      <w:pPr>
        <w:ind w:right="740"/>
        <w:spacing w:after="0" w:line="239" w:lineRule="auto"/>
        <w:rPr>
          <w:sz w:val="20"/>
          <w:szCs w:val="20"/>
          <w:color w:val="auto"/>
        </w:rPr>
      </w:pPr>
      <w:r>
        <w:rPr>
          <w:rFonts w:ascii="Times New Roman" w:cs="Times New Roman" w:eastAsia="Times New Roman" w:hAnsi="Times New Roman"/>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09" w:lineRule="exact"/>
        <w:rPr>
          <w:sz w:val="20"/>
          <w:szCs w:val="20"/>
          <w:color w:val="auto"/>
        </w:rPr>
      </w:pPr>
    </w:p>
    <w:p>
      <w:pPr>
        <w:ind w:right="260" w:firstLine="757"/>
        <w:spacing w:after="0" w:line="261" w:lineRule="auto"/>
        <w:tabs>
          <w:tab w:leader="none" w:pos="897"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380" w:firstLine="757"/>
        <w:spacing w:after="0" w:line="261" w:lineRule="auto"/>
        <w:tabs>
          <w:tab w:leader="none" w:pos="90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540" w:firstLine="477"/>
        <w:spacing w:after="0" w:line="261" w:lineRule="auto"/>
        <w:tabs>
          <w:tab w:leader="none" w:pos="61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right="620" w:firstLine="757"/>
        <w:spacing w:after="0" w:line="452" w:lineRule="auto"/>
        <w:tabs>
          <w:tab w:leader="none" w:pos="904"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8, 2023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T. Allorto, Jr., Chief Financial Officer of PennantPark Investment Corporation, certify that:</w:t>
      </w:r>
    </w:p>
    <w:p>
      <w:pPr>
        <w:spacing w:after="0" w:line="136" w:lineRule="exact"/>
        <w:rPr>
          <w:sz w:val="20"/>
          <w:szCs w:val="20"/>
          <w:color w:val="auto"/>
        </w:rPr>
      </w:pPr>
    </w:p>
    <w:p>
      <w:pPr>
        <w:ind w:left="620" w:hanging="143"/>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right="600" w:firstLine="476"/>
        <w:spacing w:after="0" w:line="261" w:lineRule="auto"/>
        <w:tabs>
          <w:tab w:leader="none" w:pos="6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4"/>
          <w:szCs w:val="14"/>
          <w:color w:val="auto"/>
        </w:rPr>
      </w:pPr>
    </w:p>
    <w:p>
      <w:pPr>
        <w:ind w:right="740" w:firstLine="757"/>
        <w:spacing w:after="0" w:line="242" w:lineRule="auto"/>
        <w:tabs>
          <w:tab w:leader="none" w:pos="90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9" w:lineRule="exact"/>
        <w:rPr>
          <w:rFonts w:ascii="Times New Roman" w:cs="Times New Roman" w:eastAsia="Times New Roman" w:hAnsi="Times New Roman"/>
          <w:sz w:val="14"/>
          <w:szCs w:val="14"/>
          <w:color w:val="auto"/>
        </w:rPr>
      </w:pPr>
    </w:p>
    <w:p>
      <w:pPr>
        <w:ind w:right="260" w:firstLine="757"/>
        <w:spacing w:after="0" w:line="261" w:lineRule="auto"/>
        <w:tabs>
          <w:tab w:leader="none" w:pos="8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380" w:firstLine="757"/>
        <w:spacing w:after="0" w:line="261" w:lineRule="auto"/>
        <w:tabs>
          <w:tab w:leader="none" w:pos="90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54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right="620" w:firstLine="757"/>
        <w:spacing w:after="0" w:line="452" w:lineRule="auto"/>
        <w:tabs>
          <w:tab w:leader="none" w:pos="904"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8, 2023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Richard T. Allorto, Jr.</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2022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Arthur H. Penn, Chief Executive Officer of the Registrant, hereby certify, to the best of my knowledge, that:</w:t>
      </w:r>
    </w:p>
    <w:p>
      <w:pPr>
        <w:spacing w:after="0" w:line="120" w:lineRule="exact"/>
        <w:rPr>
          <w:sz w:val="20"/>
          <w:szCs w:val="20"/>
          <w:color w:val="auto"/>
        </w:rPr>
      </w:pPr>
    </w:p>
    <w:p>
      <w:pPr>
        <w:ind w:left="780" w:hanging="284"/>
        <w:spacing w:after="0"/>
        <w:tabs>
          <w:tab w:leader="none" w:pos="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Arthur H. Penn</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8, 2023</w:t>
            </w:r>
          </w:p>
        </w:tc>
        <w:tc>
          <w:tcPr>
            <w:tcW w:w="6760" w:type="dxa"/>
            <w:vAlign w:val="bottom"/>
          </w:tcPr>
          <w:p>
            <w:pPr>
              <w:spacing w:after="0"/>
              <w:rPr>
                <w:sz w:val="16"/>
                <w:szCs w:val="16"/>
                <w:color w:val="auto"/>
              </w:rPr>
            </w:pPr>
          </w:p>
        </w:tc>
      </w:tr>
      <w:tr>
        <w:trPr>
          <w:trHeight w:val="476"/>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2022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Richard T. Allorto, Jr., Chief Financial Officer of the Registrant, hereby certify, to the best of my knowledge, that:</w:t>
      </w:r>
    </w:p>
    <w:p>
      <w:pPr>
        <w:spacing w:after="0" w:line="120" w:lineRule="exact"/>
        <w:rPr>
          <w:sz w:val="20"/>
          <w:szCs w:val="20"/>
          <w:color w:val="auto"/>
        </w:rPr>
      </w:pPr>
    </w:p>
    <w:p>
      <w:pPr>
        <w:ind w:left="780" w:hanging="284"/>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Richard T. Allorto, Jr.</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8, 2023</w:t>
            </w:r>
          </w:p>
        </w:tc>
        <w:tc>
          <w:tcPr>
            <w:tcW w:w="6760" w:type="dxa"/>
            <w:vAlign w:val="bottom"/>
          </w:tcPr>
          <w:p>
            <w:pPr>
              <w:spacing w:after="0"/>
              <w:rPr>
                <w:sz w:val="16"/>
                <w:szCs w:val="16"/>
                <w:color w:val="auto"/>
              </w:rPr>
            </w:pPr>
          </w:p>
        </w:tc>
      </w:tr>
      <w:tr>
        <w:trPr>
          <w:trHeight w:val="476"/>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upperLetter"/>
      <w:start w:val="35"/>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2"/>
    </w:lvl>
  </w:abstractNum>
  <w:abstractNum w:abstractNumId="8">
    <w:nsid w:val="2CA88611"/>
    <w:multiLevelType w:val="hybridMultilevel"/>
    <w:lvl w:ilvl="0">
      <w:lvlJc w:val="left"/>
      <w:lvlText w:val="(%1)"/>
      <w:numFmt w:val="lowerLetter"/>
      <w:start w:val="2"/>
    </w:lvl>
  </w:abstractNum>
  <w:abstractNum w:abstractNumId="9">
    <w:nsid w:val="836C40E"/>
    <w:multiLevelType w:val="hybridMultilevel"/>
    <w:lvl w:ilvl="0">
      <w:lvlJc w:val="left"/>
      <w:lvlText w:val="(%1)"/>
      <w:numFmt w:val="lowerLetter"/>
      <w:start w:val="3"/>
    </w:lvl>
  </w:abstractNum>
  <w:abstractNum w:abstractNumId="10">
    <w:nsid w:val="2901D82"/>
    <w:multiLevelType w:val="hybridMultilevel"/>
    <w:lvl w:ilvl="0">
      <w:lvlJc w:val="left"/>
      <w:lvlText w:val="(%1)"/>
      <w:numFmt w:val="lowerLetter"/>
      <w:start w:val="4"/>
    </w:lvl>
  </w:abstractNum>
  <w:abstractNum w:abstractNumId="11">
    <w:nsid w:val="3A95F874"/>
    <w:multiLevelType w:val="hybridMultilevel"/>
    <w:lvl w:ilvl="0">
      <w:lvlJc w:val="left"/>
      <w:lvlText w:val="(%1)"/>
      <w:numFmt w:val="lowerLetter"/>
      <w:start w:val="5"/>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lowerLetter"/>
      <w:start w:val="6"/>
    </w:lvl>
  </w:abstractNum>
  <w:abstractNum w:abstractNumId="14">
    <w:nsid w:val="7C3DBD3D"/>
    <w:multiLevelType w:val="hybridMultilevel"/>
    <w:lvl w:ilvl="0">
      <w:lvlJc w:val="left"/>
      <w:lvlText w:val="(%1)"/>
      <w:numFmt w:val="lowerLetter"/>
      <w:start w:val="7"/>
    </w:lvl>
  </w:abstractNum>
  <w:abstractNum w:abstractNumId="15">
    <w:nsid w:val="737B8DDC"/>
    <w:multiLevelType w:val="hybridMultilevel"/>
    <w:lvl w:ilvl="0">
      <w:lvlJc w:val="left"/>
      <w:lvlText w:val="(%1)"/>
      <w:numFmt w:val="lowerLetter"/>
      <w:start w:val="8"/>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3"/>
    </w:lvl>
  </w:abstractNum>
  <w:abstractNum w:abstractNumId="43">
    <w:nsid w:val="7A6D8D3C"/>
    <w:multiLevelType w:val="hybridMultilevel"/>
    <w:lvl w:ilvl="0">
      <w:lvlJc w:val="left"/>
      <w:lvlText w:val="%1."/>
      <w:numFmt w:val="decimal"/>
      <w:start w:val="5"/>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11" Type="http://schemas.openxmlformats.org/officeDocument/2006/relationships/hyperlink" Target="https://www.sec.gov/Archives/edgar/data/1383414/000119312507075646/dex99a.htm" TargetMode="External"/><Relationship Id="rId312" Type="http://schemas.openxmlformats.org/officeDocument/2006/relationships/hyperlink" Target="https://www.sec.gov/Archives/edgar/data/1383414/000156459020024172/pnnt-ex32_163.htm" TargetMode="External"/><Relationship Id="rId313" Type="http://schemas.openxmlformats.org/officeDocument/2006/relationships/hyperlink" Target="https://www.sec.gov/Archives/edgar/data/1383414/000119312508072557/dex99d1.htm" TargetMode="External"/><Relationship Id="rId314"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2023-02-08T17:37:39Z</dcterms:created>
  <dcterms:modified xsi:type="dcterms:W3CDTF">2023-02-08T17:37:39Z</dcterms:modified>
</cp:coreProperties>
</file>