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April 14, 2021</w:t>
      </w:r>
    </w:p>
    <w:p>
      <w:pPr>
        <w:spacing w:after="0" w:line="1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60" w:type="dxa"/>
            <w:vAlign w:val="bottom"/>
          </w:tcPr>
          <w:p>
            <w:pPr>
              <w:jc w:val="center"/>
              <w:ind w:right="227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6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5.50%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PNNTG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right="60"/>
        <w:spacing w:after="0" w:line="296" w:lineRule="auto"/>
        <w:rPr>
          <w:sz w:val="20"/>
          <w:szCs w:val="20"/>
          <w:color w:val="auto"/>
        </w:rPr>
      </w:pPr>
      <w:r>
        <w:rPr>
          <w:rFonts w:ascii="Arial" w:cs="Arial" w:eastAsia="Arial" w:hAnsi="Arial"/>
          <w:sz w:val="16"/>
          <w:szCs w:val="16"/>
          <w:color w:val="auto"/>
        </w:rPr>
        <w:t xml:space="preserve">On April 14, 2021, PennantPark Investment Corporation (the “Company”) entered into an underwriting agreement (the “Underwriting Agreement”), by and among the Company, PennantPark Investment Advisers, LLC, PennantPark Investment Administration, LLC and Raymond James &amp; Associates, Inc., Keefe, Bruyette &amp; Woods, Inc. and Truist Securities, Inc., as representatives of the several underwriters named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the Underwriting Agreement, in connection with the issuance and sale of $150,000,000 aggregate principal amount of the Company’s 4.50% Notes due 2026 (the “Offering”). The closing of the Offering is expected to occur on April 21, 2021, subject to customary closing conditions.</w:t>
      </w:r>
    </w:p>
    <w:p>
      <w:pPr>
        <w:spacing w:after="0" w:line="16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Offering was made pursuant to the Company’s effective shelf registration statement on Form N-2 (Registration No. 333-230014) previously filed with the Securities and Exchange Commission (the “Registration Statement”), as supplemented by a preliminary prospectus supplement, dated April 14, 2021 (the “Preliminary Prospectus Supplement”), a final prospectus supplement, dated April 14, 2021 (the “Final Prospectus Supplement”), and the pricing term sheet filed with the Securities Exchange Commission on April 15, 2021.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164" w:lineRule="exact"/>
        <w:rPr>
          <w:sz w:val="20"/>
          <w:szCs w:val="20"/>
          <w:color w:val="auto"/>
        </w:rPr>
      </w:pPr>
    </w:p>
    <w:p>
      <w:pPr>
        <w:ind w:left="4" w:right="100"/>
        <w:spacing w:after="0" w:line="308" w:lineRule="auto"/>
        <w:rPr>
          <w:sz w:val="20"/>
          <w:szCs w:val="20"/>
          <w:color w:val="auto"/>
        </w:rPr>
      </w:pPr>
      <w:r>
        <w:rPr>
          <w:rFonts w:ascii="Arial" w:cs="Arial" w:eastAsia="Arial" w:hAnsi="Arial"/>
          <w:sz w:val="17"/>
          <w:szCs w:val="17"/>
          <w:color w:val="auto"/>
        </w:rPr>
        <w:t>The foregoing description of the Underwriting Agreement does not purport to be complete and is qualified in its entirety by reference to the full text of the Underwriting Agreement filed with this Current Report on Form 8-K as Exhibit 1.1 and which is incorporated herein by reference.</w:t>
      </w:r>
    </w:p>
    <w:p>
      <w:pPr>
        <w:spacing w:after="0" w:line="29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4" w:right="8880" w:hanging="444"/>
        <w:spacing w:after="0" w:line="407" w:lineRule="auto"/>
        <w:tabs>
          <w:tab w:leader="none" w:pos="43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202" w:lineRule="exact"/>
        <w:rPr>
          <w:rFonts w:ascii="Arial" w:cs="Arial" w:eastAsia="Arial" w:hAnsi="Arial"/>
          <w:sz w:val="18"/>
          <w:szCs w:val="18"/>
          <w:b w:val="1"/>
          <w:bCs w:val="1"/>
          <w:color w:val="auto"/>
        </w:rPr>
      </w:pPr>
    </w:p>
    <w:p>
      <w:pPr>
        <w:ind w:left="444" w:right="8000" w:hanging="444"/>
        <w:spacing w:after="0" w:line="407" w:lineRule="auto"/>
        <w:tabs>
          <w:tab w:leader="none" w:pos="43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202" w:lineRule="exact"/>
        <w:rPr>
          <w:rFonts w:ascii="Arial" w:cs="Arial" w:eastAsia="Arial" w:hAnsi="Arial"/>
          <w:sz w:val="18"/>
          <w:szCs w:val="18"/>
          <w:b w:val="1"/>
          <w:bCs w:val="1"/>
          <w:color w:val="auto"/>
        </w:rPr>
      </w:pPr>
    </w:p>
    <w:p>
      <w:pPr>
        <w:ind w:left="444" w:right="8360" w:hanging="444"/>
        <w:spacing w:after="0" w:line="407" w:lineRule="auto"/>
        <w:tabs>
          <w:tab w:leader="none" w:pos="43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2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34" w:lineRule="exact"/>
        <w:rPr>
          <w:rFonts w:ascii="Arial" w:cs="Arial" w:eastAsia="Arial" w:hAnsi="Arial"/>
          <w:sz w:val="18"/>
          <w:szCs w:val="18"/>
          <w:b w:val="1"/>
          <w:bCs w:val="1"/>
          <w:color w:val="auto"/>
        </w:rPr>
      </w:pPr>
    </w:p>
    <w:p>
      <w:pPr>
        <w:ind w:left="964" w:right="240" w:hanging="540"/>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1.1 </w:t>
      </w:r>
      <w:hyperlink w:anchor="page4">
        <w:r>
          <w:rPr>
            <w:rFonts w:ascii="Arial" w:cs="Arial" w:eastAsia="Arial" w:hAnsi="Arial"/>
            <w:sz w:val="18"/>
            <w:szCs w:val="18"/>
            <w:u w:val="single" w:color="auto"/>
            <w:color w:val="0000EE"/>
          </w:rPr>
          <w:t>Underwriting Agreement, dated April 14, 2021, by and among the Company, PennantPark Investment Advisers, LLC, PennantPark</w:t>
        </w:r>
      </w:hyperlink>
      <w:r>
        <w:rPr>
          <w:rFonts w:ascii="Arial" w:cs="Arial" w:eastAsia="Arial" w:hAnsi="Arial"/>
          <w:sz w:val="18"/>
          <w:szCs w:val="18"/>
          <w:color w:val="auto"/>
        </w:rPr>
        <w:t xml:space="preserve"> </w:t>
      </w:r>
      <w:hyperlink w:anchor="page4">
        <w:r>
          <w:rPr>
            <w:rFonts w:ascii="Arial" w:cs="Arial" w:eastAsia="Arial" w:hAnsi="Arial"/>
            <w:sz w:val="18"/>
            <w:szCs w:val="18"/>
            <w:u w:val="single" w:color="auto"/>
            <w:color w:val="0000EE"/>
          </w:rPr>
          <w:t>Investment Administration, LLC and Raymond James &amp; Associates, Inc., Keefe, Bruyette &amp; Woods, Inc. and Truist Securities, Inc., as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representatives of the several underwriters named on Schedule A thereto.</w:t>
        </w:r>
      </w:hyperlink>
    </w:p>
    <w:p>
      <w:pPr>
        <w:sectPr>
          <w:pgSz w:w="11900" w:h="16838" w:orient="portrait"/>
          <w:cols w:equalWidth="0" w:num="1">
            <w:col w:w="10964"/>
          </w:cols>
          <w:pgMar w:left="436" w:top="270" w:right="4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April 20, 2021</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880"/>
          </w:cols>
          <w:pgMar w:left="440" w:top="270"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$150,000,000 4.500% Notes due 2026</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Dated: 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INVESTMENT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$150,000,000 4.500% Notes due 2026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 33716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PennantPark Investment Corporation, a Maryland corporation (the “Company”), PennantPark Investment Advisers, LLC, a Delaware limited liability company (the “Adviser”) and PennantPark Investment Administration, LLC, a Delaware limited liability company (the “Administrator”), each confirms its agreement with Raymond James &amp; Associates, Inc. (“RJ”), Keefe, Bruyette &amp; Woods, Inc. (“KBW”) and Truist Securities, Inc. (“TS”) and each of the other underwriters named in Schedule A hereto (collectively, the “Underwriters,” which term shall also include any underwriter substituted as hereinafter provided in Section 10 hereof), for whom each of RJ, KBW and TS is acting as representative (each of RJ, KBW and TS in such capacity, a “Representative” and, collectively, the “Representatives”), with respect to the sale by the Company and the purchase by the Underwriters, acting severally and not jointly, of $150,000,000 aggregate principal amount of 4.500% Notes due 2026 (the “Securities”).</w:t>
      </w:r>
    </w:p>
    <w:p>
      <w:pPr>
        <w:spacing w:after="0" w:line="17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Securities will be issued under an indenture, dated as of January 22, 2013 (the “Base Indenture”), as supplemented by the Fourth Supplemental Indenture, dated as of the Closing Time (the “Fourth Supplemental Indenture” and, together with the Base Indenture, the “Indenture”), between the Company and American Stock Transfer &amp; Trust Company, LLC, as trustee (the “Trustee”). The Securities will be issued to Cede &amp; Co. as nominee of The Depository Trust Company (“DTC”) pursuant to that certain blanket letter of representations (the “DTC Agreement”) between the Company and DTC. The Indenture has been qualified under the Trust Indenture Act of 1939, as amended (the “Trust Indenture Act”).</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Underwriting Agreement (this “Agreement”) has been executed and delivered.</w:t>
      </w:r>
    </w:p>
    <w:p>
      <w:pPr>
        <w:sectPr>
          <w:pgSz w:w="11900" w:h="16838" w:orient="portrait"/>
          <w:cols w:equalWidth="0" w:num="1">
            <w:col w:w="10960"/>
          </w:cols>
          <w:pgMar w:left="440" w:top="274" w:right="49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with the Securities and Exchange Commission (the “Commission”) a shelf registration statement on Form N-2 (File No. 333-230014), relating to the registration of the Securities and certain of the Company’s other securities under the Securities Act of 1933, as amended (the “1933 Act”), which registration statement was most recently declared effective by the Commission on January 30, 2020. The Company has also filed with the Commission a preliminary prospectus supplement, dated April 14, 2021, as such prospectus supplement may be amended (the “Preliminary Prospectus Supplement”), which contains a base prospectus, dated January 30, 2020 (the “Base Prospectus” and, together with the Preliminary Prospectus Supplement, the “preliminary prospectus”). Promptly after execution and delivery of this Agreement, the Company will prepare and file a prospectus in accordance with the provisions of Rule 430B (“Rule 430B”) of the rules and regulations of the Commission promulgated under the 1933 Act (such provisions, the “1933 Act Regulations”) and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including the final prospectus supplement and the Base Prospectus, is herein called the “Prospectus.”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3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Form N-54A Notification of Election to be Subject to Sections 55 through 65 of the Investment Company Act of 1940 Filed Pursuant to Section 54(a) of the Investment Company Act (File No. 814-00743) was filed with the Commission on April 19, 2007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entered into that certain Third Amended and Restated Investment Advisory Agreement, dated as of April 12, 2019 (the “Investment Management Agreement”), with the Adviser. The Company has entered into that certain Administration Agreement, dated as of April 17, 2007 (the “Administration Agreement”), with the Administrator.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Time” means 2:30 P.M., New York City time, on April 14, 2021 or such other time as agreed by the Company and the Representatives.</w:t>
      </w:r>
    </w:p>
    <w:p>
      <w:pPr>
        <w:spacing w:after="0" w:line="248"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“General Disclosure Package” means the preliminary prospectus as of the Applicable Time and the information included on Annex A hereto, all considered together.</w:t>
      </w:r>
    </w:p>
    <w:p>
      <w:pPr>
        <w:spacing w:after="0" w:line="278"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117" w:lineRule="exact"/>
        <w:rPr>
          <w:sz w:val="20"/>
          <w:szCs w:val="20"/>
          <w:color w:val="auto"/>
        </w:rPr>
      </w:pPr>
    </w:p>
    <w:p>
      <w:pPr>
        <w:ind w:left="4" w:right="40" w:firstLine="987"/>
        <w:spacing w:after="0" w:line="259" w:lineRule="auto"/>
        <w:tabs>
          <w:tab w:leader="none" w:pos="1375"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each Underwriter as of the date hereof,</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Time and the Closing Time (as defined below) and agrees with each Underwriter, and the Adviser and the Administrator, jointly and severally, represent and warrant to and agree with each Underwriter as of the date hereof, the Applicable Time and the Closing Time (as defined below), as follows:</w:t>
      </w:r>
    </w:p>
    <w:p>
      <w:pPr>
        <w:spacing w:after="0" w:line="186" w:lineRule="exact"/>
        <w:rPr>
          <w:rFonts w:ascii="Arial" w:cs="Arial" w:eastAsia="Arial" w:hAnsi="Arial"/>
          <w:sz w:val="18"/>
          <w:szCs w:val="18"/>
          <w:color w:val="auto"/>
        </w:rPr>
      </w:pPr>
    </w:p>
    <w:p>
      <w:pPr>
        <w:ind w:left="4" w:hanging="4"/>
        <w:spacing w:after="0" w:line="273" w:lineRule="auto"/>
        <w:tabs>
          <w:tab w:leader="none" w:pos="354"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78"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ind w:left="4" w:right="80" w:hanging="4"/>
        <w:spacing w:after="0" w:line="254"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any preliminary prospectus, (iv) the Prospectus, (v) the documents listed on Schedule B hereto, including a Term Sheet substantially in</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7" w:name="page8"/>
    <w:bookmarkEnd w:id="7"/>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form of Annex A hereto, and (vi) any electronic road show or other written communications, in each case approved in writing in advance by the Representatives,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and any preliminary or other prospectus deemed to be a part thereof that has not been superseded or modified.</w:t>
      </w:r>
    </w:p>
    <w:p>
      <w:pPr>
        <w:spacing w:after="0" w:line="176" w:lineRule="exact"/>
        <w:rPr>
          <w:sz w:val="20"/>
          <w:szCs w:val="20"/>
          <w:color w:val="auto"/>
        </w:rPr>
      </w:pPr>
    </w:p>
    <w:p>
      <w:pPr>
        <w:ind w:left="4" w:right="180" w:hanging="4"/>
        <w:spacing w:after="0" w:line="263" w:lineRule="auto"/>
        <w:tabs>
          <w:tab w:leader="none" w:pos="45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1934 Act.</w:t>
      </w:r>
    </w:p>
    <w:p>
      <w:pPr>
        <w:spacing w:after="0" w:line="183" w:lineRule="exact"/>
        <w:rPr>
          <w:rFonts w:ascii="Arial" w:cs="Arial" w:eastAsia="Arial" w:hAnsi="Arial"/>
          <w:sz w:val="18"/>
          <w:szCs w:val="18"/>
          <w:color w:val="auto"/>
        </w:rPr>
      </w:pPr>
    </w:p>
    <w:p>
      <w:pPr>
        <w:ind w:left="444" w:hanging="444"/>
        <w:spacing w:after="0"/>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Testing-the-Waters Communications</w:t>
      </w:r>
      <w:r>
        <w:rPr>
          <w:rFonts w:ascii="Arial" w:cs="Arial" w:eastAsia="Arial" w:hAnsi="Arial"/>
          <w:sz w:val="18"/>
          <w:szCs w:val="18"/>
          <w:color w:val="auto"/>
        </w:rPr>
        <w:t>. The Company (i) has not alone engaged in any Testing-the-Waters Communication other than</w:t>
      </w:r>
    </w:p>
    <w:p>
      <w:pPr>
        <w:spacing w:after="0" w:line="23"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(ii) 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Act. “Written Testing-the-Waters Communication” means any Testing-the-Waters Communication that is a written communication within the meaning of Rule 405.</w:t>
      </w:r>
    </w:p>
    <w:p>
      <w:pPr>
        <w:spacing w:after="0" w:line="194" w:lineRule="exact"/>
        <w:rPr>
          <w:sz w:val="20"/>
          <w:szCs w:val="20"/>
          <w:color w:val="auto"/>
        </w:rPr>
      </w:pPr>
    </w:p>
    <w:p>
      <w:pPr>
        <w:ind w:left="4" w:right="20" w:hanging="4"/>
        <w:spacing w:after="0" w:line="270" w:lineRule="auto"/>
        <w:tabs>
          <w:tab w:leader="none" w:pos="39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at the Applicable Time or at the Closing Time,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a Representative expressly for use therein (collectively, the “Underwriter Information”). For purposes of this Agreement, the only Underwriter Information shall be (i) the concession amounts appearing in the second paragraph under the heading “Underwriting—Commissions and Discounts,” (ii) the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 w:name="page9"/>
    <w:bookmarkEnd w:id="8"/>
    <w:p>
      <w:pPr>
        <w:ind w:left="4" w:right="10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in the first two paragraphs under the heading “Underwriting—Price Stabilization, Short Positions” and (iii) the information in “Underwriting—Principal Business Address”, in each case, in the Prospectus.</w:t>
      </w:r>
    </w:p>
    <w:p>
      <w:pPr>
        <w:spacing w:after="0" w:line="170" w:lineRule="exact"/>
        <w:rPr>
          <w:sz w:val="20"/>
          <w:szCs w:val="20"/>
          <w:color w:val="auto"/>
        </w:rPr>
      </w:pPr>
    </w:p>
    <w:p>
      <w:pPr>
        <w:ind w:left="4" w:right="160" w:hanging="4"/>
        <w:spacing w:after="0" w:line="301" w:lineRule="auto"/>
        <w:tabs>
          <w:tab w:leader="none" w:pos="44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 Not Ineligible Issuer</w:t>
      </w:r>
      <w:r>
        <w:rPr>
          <w:rFonts w:ascii="Arial" w:cs="Arial" w:eastAsia="Arial" w:hAnsi="Arial"/>
          <w:sz w:val="16"/>
          <w:szCs w:val="16"/>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57" w:lineRule="exact"/>
        <w:rPr>
          <w:rFonts w:ascii="Arial" w:cs="Arial" w:eastAsia="Arial" w:hAnsi="Arial"/>
          <w:sz w:val="16"/>
          <w:szCs w:val="16"/>
          <w:color w:val="auto"/>
        </w:rPr>
      </w:pPr>
    </w:p>
    <w:p>
      <w:pPr>
        <w:ind w:left="4" w:right="320" w:hanging="4"/>
        <w:spacing w:after="0" w:line="259" w:lineRule="auto"/>
        <w:tabs>
          <w:tab w:leader="none" w:pos="49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Independent Accountants of the Company</w:t>
      </w:r>
      <w:r>
        <w:rPr>
          <w:rFonts w:ascii="Arial" w:cs="Arial" w:eastAsia="Arial" w:hAnsi="Arial"/>
          <w:sz w:val="18"/>
          <w:szCs w:val="18"/>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186" w:lineRule="exact"/>
        <w:rPr>
          <w:rFonts w:ascii="Arial" w:cs="Arial" w:eastAsia="Arial" w:hAnsi="Arial"/>
          <w:sz w:val="18"/>
          <w:szCs w:val="18"/>
          <w:color w:val="auto"/>
        </w:rPr>
      </w:pPr>
    </w:p>
    <w:p>
      <w:pPr>
        <w:ind w:left="4" w:hanging="4"/>
        <w:spacing w:after="0" w:line="286" w:lineRule="auto"/>
        <w:tabs>
          <w:tab w:leader="none" w:pos="54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173" w:lineRule="exact"/>
        <w:rPr>
          <w:rFonts w:ascii="Arial" w:cs="Arial" w:eastAsia="Arial" w:hAnsi="Arial"/>
          <w:sz w:val="16"/>
          <w:szCs w:val="16"/>
          <w:color w:val="auto"/>
        </w:rPr>
      </w:pPr>
    </w:p>
    <w:p>
      <w:pPr>
        <w:ind w:left="4" w:right="120" w:hanging="4"/>
        <w:spacing w:after="0" w:line="257"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the General Disclosure Package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9" w:name="page10"/>
    <w:bookmarkEnd w:id="9"/>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with respect to the Company and the Subsidiaries considered as one enterprise and (C) there has been no dividend or distribution of any kind declared, paid or made by the Company on any class of its capital stock.</w:t>
      </w:r>
    </w:p>
    <w:p>
      <w:pPr>
        <w:spacing w:after="0" w:line="170" w:lineRule="exact"/>
        <w:rPr>
          <w:sz w:val="20"/>
          <w:szCs w:val="20"/>
          <w:color w:val="auto"/>
        </w:rPr>
      </w:pPr>
    </w:p>
    <w:p>
      <w:pPr>
        <w:ind w:left="4" w:right="60" w:hanging="4"/>
        <w:spacing w:after="0" w:line="272" w:lineRule="auto"/>
        <w:tabs>
          <w:tab w:leader="none" w:pos="39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Administration Agreement, the Indenture, the Securities and the DTC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77" w:lineRule="exact"/>
        <w:rPr>
          <w:rFonts w:ascii="Arial" w:cs="Arial" w:eastAsia="Arial" w:hAnsi="Arial"/>
          <w:sz w:val="17"/>
          <w:szCs w:val="17"/>
          <w:color w:val="auto"/>
        </w:rPr>
      </w:pPr>
    </w:p>
    <w:p>
      <w:pPr>
        <w:ind w:left="4" w:hanging="4"/>
        <w:spacing w:after="0" w:line="283" w:lineRule="auto"/>
        <w:tabs>
          <w:tab w:leader="none" w:pos="44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Subsidiaries of the Company; Portfolio Companies</w:t>
      </w:r>
      <w:r>
        <w:rPr>
          <w:rFonts w:ascii="Arial" w:cs="Arial" w:eastAsia="Arial" w:hAnsi="Arial"/>
          <w:sz w:val="16"/>
          <w:szCs w:val="16"/>
          <w:color w:val="auto"/>
        </w:rPr>
        <w:t>. The Company’s only subsidiaries that were consolidated with the Company for financial reporting purposes under GAAP as of December 31, 2020 are those listed on Schedule C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w:t>
      </w:r>
    </w:p>
    <w:p>
      <w:pPr>
        <w:spacing w:after="0" w:line="2" w:lineRule="exact"/>
        <w:rPr>
          <w:rFonts w:ascii="Arial" w:cs="Arial" w:eastAsia="Arial" w:hAnsi="Arial"/>
          <w:sz w:val="16"/>
          <w:szCs w:val="16"/>
          <w:color w:val="auto"/>
        </w:rPr>
      </w:pPr>
    </w:p>
    <w:p>
      <w:pPr>
        <w:ind w:left="4"/>
        <w:spacing w:after="0" w:line="273" w:lineRule="auto"/>
        <w:rPr>
          <w:rFonts w:ascii="Arial" w:cs="Arial" w:eastAsia="Arial" w:hAnsi="Arial"/>
          <w:sz w:val="16"/>
          <w:szCs w:val="16"/>
          <w:color w:val="auto"/>
        </w:rPr>
      </w:pPr>
      <w:r>
        <w:rPr>
          <w:rFonts w:ascii="Arial" w:cs="Arial" w:eastAsia="Arial" w:hAnsi="Arial"/>
          <w:sz w:val="17"/>
          <w:szCs w:val="17"/>
          <w:color w:val="auto"/>
        </w:rPr>
        <w:t>(A) the Subsidiaries and (B) those corporations or other entities described in the Registration Statement,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76" w:lineRule="exact"/>
        <w:rPr>
          <w:rFonts w:ascii="Arial" w:cs="Arial" w:eastAsia="Arial" w:hAnsi="Arial"/>
          <w:sz w:val="16"/>
          <w:szCs w:val="16"/>
          <w:color w:val="auto"/>
        </w:rPr>
      </w:pPr>
    </w:p>
    <w:p>
      <w:pPr>
        <w:ind w:left="4" w:right="220" w:hanging="4"/>
        <w:spacing w:after="0" w:line="263" w:lineRule="auto"/>
        <w:tabs>
          <w:tab w:leader="none" w:pos="49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0" w:name="page11"/>
    <w:bookmarkEnd w:id="10"/>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paid and non-assessable. None of the outstanding shares of capital stock of the Company were issued in violation of the preemptive or other similar rights of any securityholder of the Company. Except as set forth in the Registration Statement, the General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279" w:lineRule="exact"/>
        <w:rPr>
          <w:sz w:val="20"/>
          <w:szCs w:val="20"/>
          <w:color w:val="auto"/>
        </w:rPr>
      </w:pPr>
    </w:p>
    <w:p>
      <w:pPr>
        <w:ind w:left="544" w:hanging="544"/>
        <w:spacing w:after="0"/>
        <w:tabs>
          <w:tab w:leader="none" w:pos="54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30" w:lineRule="exact"/>
        <w:rPr>
          <w:rFonts w:ascii="Arial" w:cs="Arial" w:eastAsia="Arial" w:hAnsi="Arial"/>
          <w:sz w:val="18"/>
          <w:szCs w:val="18"/>
          <w:color w:val="auto"/>
        </w:rPr>
      </w:pPr>
    </w:p>
    <w:p>
      <w:pPr>
        <w:ind w:left="964" w:right="20" w:hanging="532"/>
        <w:spacing w:after="0" w:line="291"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Base Indenture has been duly authorized, executed and delivered by the Company and constitutes a valid and binding obligation of the Company, enforceable against the Company in accordance with its terms, except as the enforcement thereof may be subject to</w:t>
      </w:r>
    </w:p>
    <w:p>
      <w:pPr>
        <w:jc w:val="both"/>
        <w:ind w:left="964" w:right="680" w:firstLine="8"/>
        <w:spacing w:after="0" w:line="323" w:lineRule="auto"/>
        <w:tabs>
          <w:tab w:leader="none" w:pos="1179" w:val="left"/>
        </w:tabs>
        <w:numPr>
          <w:ilvl w:val="2"/>
          <w:numId w:val="10"/>
        </w:numPr>
        <w:rPr>
          <w:rFonts w:ascii="Arial" w:cs="Arial" w:eastAsia="Arial" w:hAnsi="Arial"/>
          <w:sz w:val="16"/>
          <w:szCs w:val="16"/>
          <w:color w:val="auto"/>
        </w:rPr>
      </w:pPr>
      <w:r>
        <w:rPr>
          <w:rFonts w:ascii="Arial" w:cs="Arial" w:eastAsia="Arial" w:hAnsi="Arial"/>
          <w:sz w:val="16"/>
          <w:szCs w:val="16"/>
          <w:color w:val="auto"/>
        </w:rPr>
        <w:t>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43" w:lineRule="exact"/>
        <w:rPr>
          <w:rFonts w:ascii="Arial" w:cs="Arial" w:eastAsia="Arial" w:hAnsi="Arial"/>
          <w:sz w:val="16"/>
          <w:szCs w:val="16"/>
          <w:color w:val="auto"/>
        </w:rPr>
      </w:pPr>
    </w:p>
    <w:p>
      <w:pPr>
        <w:ind w:left="964" w:right="40" w:hanging="532"/>
        <w:spacing w:after="0" w:line="275" w:lineRule="auto"/>
        <w:tabs>
          <w:tab w:leader="none" w:pos="9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Fourth Supplemental Indenture has been duly authorized, and, at the Closing Time, will be duly executed and delivered by the Company and, when duly executed and delivered by the Trustee, will constitute the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81" w:lineRule="exact"/>
        <w:rPr>
          <w:rFonts w:ascii="Arial" w:cs="Arial" w:eastAsia="Arial" w:hAnsi="Arial"/>
          <w:sz w:val="17"/>
          <w:szCs w:val="17"/>
          <w:color w:val="auto"/>
        </w:rPr>
      </w:pPr>
    </w:p>
    <w:p>
      <w:pPr>
        <w:ind w:left="964" w:right="540" w:hanging="532"/>
        <w:spacing w:after="0" w:line="291"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DTC Agreement has been duly authorized, executed and delivered by the Company and is a valid and binding obligation of the Company, enforceable against the Company in accordance with its terms, except as the enforcement thereof may be subject to</w:t>
      </w:r>
    </w:p>
    <w:p>
      <w:pPr>
        <w:jc w:val="both"/>
        <w:ind w:left="964" w:right="680" w:firstLine="8"/>
        <w:spacing w:after="0" w:line="323" w:lineRule="auto"/>
        <w:tabs>
          <w:tab w:leader="none" w:pos="1179" w:val="left"/>
        </w:tabs>
        <w:numPr>
          <w:ilvl w:val="2"/>
          <w:numId w:val="10"/>
        </w:numPr>
        <w:rPr>
          <w:rFonts w:ascii="Arial" w:cs="Arial" w:eastAsia="Arial" w:hAnsi="Arial"/>
          <w:sz w:val="16"/>
          <w:szCs w:val="16"/>
          <w:color w:val="auto"/>
        </w:rPr>
      </w:pPr>
      <w:r>
        <w:rPr>
          <w:rFonts w:ascii="Arial" w:cs="Arial" w:eastAsia="Arial" w:hAnsi="Arial"/>
          <w:sz w:val="16"/>
          <w:szCs w:val="16"/>
          <w:color w:val="auto"/>
        </w:rPr>
        <w:t>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138" w:lineRule="exact"/>
        <w:rPr>
          <w:rFonts w:ascii="Arial" w:cs="Arial" w:eastAsia="Arial" w:hAnsi="Arial"/>
          <w:sz w:val="16"/>
          <w:szCs w:val="16"/>
          <w:color w:val="auto"/>
        </w:rPr>
      </w:pPr>
    </w:p>
    <w:p>
      <w:pPr>
        <w:ind w:left="4" w:hanging="4"/>
        <w:spacing w:after="0" w:line="269" w:lineRule="auto"/>
        <w:tabs>
          <w:tab w:leader="none" w:pos="53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have been duly authorized and, when issued and delivered by the Company and authenticated by the Trustee pursuant to this Agreement and the Indenture relating thereto, against payment of the purchase price set forth herein, will be valid and legally binding obligations of the Company enforceable in accordance with their terms, except as the enforcement thereof may be subject to the effect of (i) bankruptcy, insolvency, reorganization, moratorium or other similar laws now or thereafter in effect relating to creditors’ rights generally and (ii) general principles of equity and the discretion of the court before which any proceeding therefor may be brought, and will be entitled to the benefits of the Indenture relating thereto; and the Securities and the Indenture conform to all statements relating thereto contained in the General Disclosure Package and the Prospectus and such description conforms to the rights set forth in the instruments defining the same. The information under the captions “Description of Our Debt Securities” and “Description of Notes” in the General Disclosure Package and the Prospectus, insofar as such statements purport to summarize certain provisions of the Indenture or the Securities, fairly and accurately summarize such provisions in all material respects.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1" w:name="page12"/>
    <w:bookmarkEnd w:id="11"/>
    <w:p>
      <w:pPr>
        <w:ind w:left="484" w:hanging="484"/>
        <w:spacing w:after="0"/>
        <w:tabs>
          <w:tab w:leader="none" w:pos="48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and Defaults</w:t>
      </w:r>
      <w:r>
        <w:rPr>
          <w:rFonts w:ascii="Arial" w:cs="Arial" w:eastAsia="Arial" w:hAnsi="Arial"/>
          <w:sz w:val="17"/>
          <w:szCs w:val="17"/>
          <w:color w:val="auto"/>
        </w:rPr>
        <w:t>. Neither the Company nor any of the Subsidiaries is (A) in violation of its charter, bylaws or similar</w:t>
      </w:r>
    </w:p>
    <w:p>
      <w:pPr>
        <w:spacing w:after="0" w:line="34" w:lineRule="exact"/>
        <w:rPr>
          <w:rFonts w:ascii="Arial" w:cs="Arial" w:eastAsia="Arial" w:hAnsi="Arial"/>
          <w:sz w:val="17"/>
          <w:szCs w:val="17"/>
          <w:color w:val="auto"/>
        </w:rPr>
      </w:pPr>
    </w:p>
    <w:p>
      <w:pPr>
        <w:ind w:left="4" w:right="60"/>
        <w:spacing w:after="0" w:line="268" w:lineRule="auto"/>
        <w:rPr>
          <w:rFonts w:ascii="Arial" w:cs="Arial" w:eastAsia="Arial" w:hAnsi="Arial"/>
          <w:sz w:val="17"/>
          <w:szCs w:val="17"/>
          <w:color w:val="auto"/>
        </w:rPr>
      </w:pPr>
      <w:r>
        <w:rPr>
          <w:rFonts w:ascii="Arial" w:cs="Arial" w:eastAsia="Arial" w:hAnsi="Arial"/>
          <w:sz w:val="17"/>
          <w:szCs w:val="17"/>
          <w:color w:val="auto"/>
        </w:rPr>
        <w:t>organizational document, each as amended or supplemented as of the date of this Agreement and the Closing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83" w:lineRule="exact"/>
        <w:rPr>
          <w:rFonts w:ascii="Arial" w:cs="Arial" w:eastAsia="Arial" w:hAnsi="Arial"/>
          <w:sz w:val="17"/>
          <w:szCs w:val="17"/>
          <w:color w:val="auto"/>
        </w:rPr>
      </w:pPr>
    </w:p>
    <w:p>
      <w:pPr>
        <w:ind w:left="4" w:hanging="4"/>
        <w:spacing w:after="0" w:line="286" w:lineRule="auto"/>
        <w:tabs>
          <w:tab w:leader="none" w:pos="53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Fourth Supplemental Indenture and the Securities, the performance of the Investment Management Agreement, the Administration Agreement, the Base Indenture and the DTC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170" w:lineRule="exact"/>
        <w:rPr>
          <w:rFonts w:ascii="Arial" w:cs="Arial" w:eastAsia="Arial" w:hAnsi="Arial"/>
          <w:sz w:val="16"/>
          <w:szCs w:val="16"/>
          <w:color w:val="auto"/>
        </w:rPr>
      </w:pPr>
    </w:p>
    <w:p>
      <w:pPr>
        <w:ind w:left="4" w:hanging="4"/>
        <w:spacing w:after="0" w:line="277" w:lineRule="auto"/>
        <w:tabs>
          <w:tab w:leader="none" w:pos="58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As of the date hereof, neither the Company nor any of the Subsidiaries has, and as of the Closing Time neither the Company nor any of the Subsidiaries will have, any employees.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2" w:name="page13"/>
    <w:bookmarkEnd w:id="12"/>
    <w:p>
      <w:pPr>
        <w:ind w:left="4" w:right="40" w:hanging="4"/>
        <w:spacing w:after="0" w:line="273" w:lineRule="auto"/>
        <w:tabs>
          <w:tab w:leader="none" w:pos="63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Proceedings</w:t>
      </w:r>
      <w:r>
        <w:rPr>
          <w:rFonts w:ascii="Arial" w:cs="Arial" w:eastAsia="Arial" w:hAnsi="Arial"/>
          <w:sz w:val="17"/>
          <w:szCs w:val="17"/>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the Indenture, the Securities or the DTC Agreement or the performance by the Company of its obligations hereunder or thereunder.</w:t>
      </w:r>
    </w:p>
    <w:p>
      <w:pPr>
        <w:spacing w:after="0" w:line="177" w:lineRule="exact"/>
        <w:rPr>
          <w:rFonts w:ascii="Arial" w:cs="Arial" w:eastAsia="Arial" w:hAnsi="Arial"/>
          <w:sz w:val="17"/>
          <w:szCs w:val="17"/>
          <w:color w:val="auto"/>
        </w:rPr>
      </w:pPr>
    </w:p>
    <w:p>
      <w:pPr>
        <w:ind w:left="4" w:right="360" w:hanging="4"/>
        <w:spacing w:after="0" w:line="342" w:lineRule="auto"/>
        <w:tabs>
          <w:tab w:leader="none" w:pos="53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23" w:lineRule="exact"/>
        <w:rPr>
          <w:rFonts w:ascii="Arial" w:cs="Arial" w:eastAsia="Arial" w:hAnsi="Arial"/>
          <w:sz w:val="16"/>
          <w:szCs w:val="16"/>
          <w:color w:val="auto"/>
        </w:rPr>
      </w:pPr>
    </w:p>
    <w:p>
      <w:pPr>
        <w:ind w:left="4" w:hanging="4"/>
        <w:spacing w:after="0" w:line="269" w:lineRule="auto"/>
        <w:tabs>
          <w:tab w:leader="none" w:pos="48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the Indenture, the Securities, the DTC Agreement or the General Disclosure Package and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1940 Act, the 1940 Act Regulations, the Trust Indenture Act,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185" w:lineRule="exact"/>
        <w:rPr>
          <w:rFonts w:ascii="Arial" w:cs="Arial" w:eastAsia="Arial" w:hAnsi="Arial"/>
          <w:sz w:val="17"/>
          <w:szCs w:val="17"/>
          <w:color w:val="auto"/>
        </w:rPr>
      </w:pPr>
    </w:p>
    <w:p>
      <w:pPr>
        <w:ind w:left="4" w:right="40" w:hanging="4"/>
        <w:spacing w:after="0" w:line="289" w:lineRule="auto"/>
        <w:tabs>
          <w:tab w:leader="none" w:pos="53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3" w:name="page14"/>
    <w:bookmarkEnd w:id="13"/>
    <w:p>
      <w:pPr>
        <w:ind w:left="4" w:right="20" w:hanging="4"/>
        <w:spacing w:after="0" w:line="296" w:lineRule="auto"/>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Property</w:t>
      </w:r>
      <w:r>
        <w:rPr>
          <w:rFonts w:ascii="Arial" w:cs="Arial" w:eastAsia="Arial" w:hAnsi="Arial"/>
          <w:sz w:val="16"/>
          <w:szCs w:val="16"/>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1" w:lineRule="exact"/>
        <w:rPr>
          <w:rFonts w:ascii="Arial" w:cs="Arial" w:eastAsia="Arial" w:hAnsi="Arial"/>
          <w:sz w:val="16"/>
          <w:szCs w:val="16"/>
          <w:color w:val="auto"/>
        </w:rPr>
      </w:pPr>
    </w:p>
    <w:p>
      <w:pPr>
        <w:ind w:left="4" w:right="120" w:hanging="4"/>
        <w:spacing w:after="0" w:line="270" w:lineRule="auto"/>
        <w:tabs>
          <w:tab w:leader="none" w:pos="63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80" w:lineRule="exact"/>
        <w:rPr>
          <w:rFonts w:ascii="Arial" w:cs="Arial" w:eastAsia="Arial" w:hAnsi="Arial"/>
          <w:sz w:val="17"/>
          <w:szCs w:val="17"/>
          <w:color w:val="auto"/>
        </w:rPr>
      </w:pPr>
    </w:p>
    <w:p>
      <w:pPr>
        <w:ind w:left="4" w:hanging="4"/>
        <w:spacing w:after="0" w:line="287"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w:t>
      </w:r>
    </w:p>
    <w:p>
      <w:pPr>
        <w:spacing w:after="0" w:line="171" w:lineRule="exact"/>
        <w:rPr>
          <w:rFonts w:ascii="Arial" w:cs="Arial" w:eastAsia="Arial" w:hAnsi="Arial"/>
          <w:sz w:val="16"/>
          <w:szCs w:val="16"/>
          <w:color w:val="auto"/>
        </w:rPr>
      </w:pPr>
    </w:p>
    <w:p>
      <w:pPr>
        <w:ind w:left="4" w:right="80" w:hanging="4"/>
        <w:spacing w:after="0" w:line="259" w:lineRule="auto"/>
        <w:tabs>
          <w:tab w:leader="none" w:pos="57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Taxes and Tax Returns</w:t>
      </w:r>
      <w:r>
        <w:rPr>
          <w:rFonts w:ascii="Arial" w:cs="Arial" w:eastAsia="Arial" w:hAnsi="Arial"/>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4" w:name="page15"/>
    <w:bookmarkEnd w:id="14"/>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the failure to do so would not reasonably be expected, singly or in the aggregate, to result in a Material Adverse Effect. The United States federal income tax returns of the Company through the fiscal year ended September 30, 2019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85" w:lineRule="exact"/>
        <w:rPr>
          <w:sz w:val="20"/>
          <w:szCs w:val="20"/>
          <w:color w:val="auto"/>
        </w:rPr>
      </w:pPr>
    </w:p>
    <w:p>
      <w:pPr>
        <w:ind w:left="4" w:hanging="4"/>
        <w:spacing w:after="0" w:line="275" w:lineRule="auto"/>
        <w:tabs>
          <w:tab w:leader="none" w:pos="62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176" w:lineRule="exact"/>
        <w:rPr>
          <w:rFonts w:ascii="Arial" w:cs="Arial" w:eastAsia="Arial" w:hAnsi="Arial"/>
          <w:sz w:val="17"/>
          <w:szCs w:val="17"/>
          <w:color w:val="auto"/>
        </w:rPr>
      </w:pPr>
    </w:p>
    <w:p>
      <w:pPr>
        <w:ind w:left="4" w:right="320" w:hanging="4"/>
        <w:spacing w:after="0" w:line="263" w:lineRule="auto"/>
        <w:tabs>
          <w:tab w:leader="none" w:pos="67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183" w:lineRule="exact"/>
        <w:rPr>
          <w:rFonts w:ascii="Arial" w:cs="Arial" w:eastAsia="Arial" w:hAnsi="Arial"/>
          <w:sz w:val="18"/>
          <w:szCs w:val="18"/>
          <w:color w:val="auto"/>
        </w:rPr>
      </w:pPr>
    </w:p>
    <w:p>
      <w:pPr>
        <w:ind w:left="4" w:right="140" w:hanging="4"/>
        <w:spacing w:after="0" w:line="263" w:lineRule="auto"/>
        <w:tabs>
          <w:tab w:leader="none" w:pos="72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Stabilization and Manipulation</w:t>
      </w:r>
      <w:r>
        <w:rPr>
          <w:rFonts w:ascii="Arial" w:cs="Arial" w:eastAsia="Arial" w:hAnsi="Arial"/>
          <w:sz w:val="18"/>
          <w:szCs w:val="18"/>
          <w:color w:val="auto"/>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Securities, other than activity permitted pursuant to Rule 10b-18 under the 1934 Act.</w:t>
      </w:r>
    </w:p>
    <w:p>
      <w:pPr>
        <w:spacing w:after="0" w:line="183" w:lineRule="exact"/>
        <w:rPr>
          <w:rFonts w:ascii="Arial" w:cs="Arial" w:eastAsia="Arial" w:hAnsi="Arial"/>
          <w:sz w:val="18"/>
          <w:szCs w:val="18"/>
          <w:color w:val="auto"/>
        </w:rPr>
      </w:pPr>
    </w:p>
    <w:p>
      <w:pPr>
        <w:ind w:left="4" w:right="20" w:hanging="4"/>
        <w:spacing w:after="0" w:line="254"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5" w:name="page16"/>
    <w:bookmarkEnd w:id="15"/>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184" w:lineRule="exact"/>
        <w:rPr>
          <w:sz w:val="20"/>
          <w:szCs w:val="20"/>
          <w:color w:val="auto"/>
        </w:rPr>
      </w:pPr>
    </w:p>
    <w:p>
      <w:pPr>
        <w:ind w:left="4" w:hanging="4"/>
        <w:spacing w:after="0" w:line="293" w:lineRule="auto"/>
        <w:tabs>
          <w:tab w:leader="none" w:pos="57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64" w:lineRule="exact"/>
        <w:rPr>
          <w:rFonts w:ascii="Arial" w:cs="Arial" w:eastAsia="Arial" w:hAnsi="Arial"/>
          <w:sz w:val="16"/>
          <w:szCs w:val="16"/>
          <w:color w:val="auto"/>
        </w:rPr>
      </w:pPr>
    </w:p>
    <w:p>
      <w:pPr>
        <w:ind w:left="4" w:right="40" w:hanging="4"/>
        <w:spacing w:after="0" w:line="271" w:lineRule="auto"/>
        <w:tabs>
          <w:tab w:leader="none" w:pos="62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(“UNSC”), the European Union, Her Majesty’s Treasury (“HMT”),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178" w:lineRule="exact"/>
        <w:rPr>
          <w:rFonts w:ascii="Arial" w:cs="Arial" w:eastAsia="Arial" w:hAnsi="Arial"/>
          <w:sz w:val="17"/>
          <w:szCs w:val="17"/>
          <w:color w:val="auto"/>
        </w:rPr>
      </w:pPr>
    </w:p>
    <w:p>
      <w:pPr>
        <w:ind w:left="664" w:hanging="664"/>
        <w:spacing w:after="0"/>
        <w:tabs>
          <w:tab w:leader="none" w:pos="66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color w:val="auto"/>
        </w:rPr>
        <w:t>. Except as disclosed in the Registration Statement, the General Disclosure Package and the Prospectus, the Company</w:t>
      </w:r>
    </w:p>
    <w:p>
      <w:pPr>
        <w:spacing w:after="0" w:line="46" w:lineRule="exact"/>
        <w:rPr>
          <w:sz w:val="20"/>
          <w:szCs w:val="20"/>
          <w:color w:val="auto"/>
        </w:rPr>
      </w:pPr>
    </w:p>
    <w:p>
      <w:pPr>
        <w:ind w:left="4" w:right="220" w:hanging="4"/>
        <w:spacing w:after="0" w:line="260"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85" w:lineRule="exact"/>
        <w:rPr>
          <w:sz w:val="20"/>
          <w:szCs w:val="20"/>
          <w:color w:val="auto"/>
        </w:rPr>
      </w:pPr>
    </w:p>
    <w:p>
      <w:pPr>
        <w:ind w:left="724" w:hanging="724"/>
        <w:spacing w:after="0"/>
        <w:tabs>
          <w:tab w:leader="none" w:pos="72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or incorporated by reference in the Registration</w:t>
      </w:r>
    </w:p>
    <w:p>
      <w:pPr>
        <w:spacing w:after="0" w:line="34" w:lineRule="exact"/>
        <w:rPr>
          <w:rFonts w:ascii="Arial" w:cs="Arial" w:eastAsia="Arial" w:hAnsi="Arial"/>
          <w:sz w:val="17"/>
          <w:szCs w:val="17"/>
          <w:color w:val="auto"/>
        </w:rPr>
      </w:pPr>
    </w:p>
    <w:p>
      <w:pPr>
        <w:ind w:left="4" w:right="20"/>
        <w:spacing w:after="0" w:line="290" w:lineRule="auto"/>
        <w:rPr>
          <w:rFonts w:ascii="Arial" w:cs="Arial" w:eastAsia="Arial" w:hAnsi="Arial"/>
          <w:sz w:val="17"/>
          <w:szCs w:val="17"/>
          <w:color w:val="auto"/>
        </w:rPr>
      </w:pPr>
      <w:r>
        <w:rPr>
          <w:rFonts w:ascii="Arial" w:cs="Arial" w:eastAsia="Arial" w:hAnsi="Arial"/>
          <w:sz w:val="17"/>
          <w:szCs w:val="17"/>
          <w:color w:val="auto"/>
        </w:rPr>
        <w:t>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161" w:lineRule="exact"/>
        <w:rPr>
          <w:rFonts w:ascii="Arial" w:cs="Arial" w:eastAsia="Arial" w:hAnsi="Arial"/>
          <w:sz w:val="17"/>
          <w:szCs w:val="17"/>
          <w:color w:val="auto"/>
        </w:rPr>
      </w:pPr>
    </w:p>
    <w:p>
      <w:pPr>
        <w:ind w:left="4" w:right="80" w:hanging="4"/>
        <w:spacing w:after="0" w:line="342" w:lineRule="auto"/>
        <w:tabs>
          <w:tab w:leader="none" w:pos="71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Ratings</w:t>
      </w:r>
      <w:r>
        <w:rPr>
          <w:rFonts w:ascii="Arial" w:cs="Arial" w:eastAsia="Arial" w:hAnsi="Arial"/>
          <w:sz w:val="16"/>
          <w:szCs w:val="16"/>
          <w:color w:val="auto"/>
        </w:rPr>
        <w:t>. Other than the Company’s 5.50% Notes due 2024, the Company does not have any debt securities or preferred stock that are rated by any “nationally recognized statistical rating agency” (as that term is defined by the Commission for purposes of Section 3(a)(62) under the 1934 Act).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6" w:name="page17"/>
    <w:bookmarkEnd w:id="16"/>
    <w:p>
      <w:pPr>
        <w:ind w:left="4" w:right="100" w:hanging="4"/>
        <w:spacing w:after="0" w:line="263"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the General Disclosure Package or the Prospectus which have not been described as required.</w:t>
      </w:r>
    </w:p>
    <w:p>
      <w:pPr>
        <w:spacing w:after="0" w:line="183" w:lineRule="exact"/>
        <w:rPr>
          <w:rFonts w:ascii="Arial" w:cs="Arial" w:eastAsia="Arial" w:hAnsi="Arial"/>
          <w:sz w:val="18"/>
          <w:szCs w:val="18"/>
          <w:color w:val="auto"/>
        </w:rPr>
      </w:pPr>
    </w:p>
    <w:p>
      <w:pPr>
        <w:ind w:left="4" w:right="20" w:hanging="4"/>
        <w:spacing w:after="0" w:line="259" w:lineRule="auto"/>
        <w:tabs>
          <w:tab w:leader="none" w:pos="71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left="4" w:right="180" w:hanging="4"/>
        <w:spacing w:after="0" w:line="287" w:lineRule="auto"/>
        <w:tabs>
          <w:tab w:leader="none" w:pos="76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Investment Management Agreement and Administration Agreement</w:t>
      </w:r>
      <w:r>
        <w:rPr>
          <w:rFonts w:ascii="Arial" w:cs="Arial" w:eastAsia="Arial" w:hAnsi="Arial"/>
          <w:sz w:val="16"/>
          <w:szCs w:val="16"/>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w:t>
      </w:r>
    </w:p>
    <w:p>
      <w:pPr>
        <w:spacing w:after="0" w:line="2" w:lineRule="exact"/>
        <w:rPr>
          <w:rFonts w:ascii="Arial" w:cs="Arial" w:eastAsia="Arial" w:hAnsi="Arial"/>
          <w:sz w:val="16"/>
          <w:szCs w:val="16"/>
          <w:color w:val="auto"/>
        </w:rPr>
      </w:pPr>
    </w:p>
    <w:p>
      <w:pPr>
        <w:ind w:left="4" w:right="160"/>
        <w:spacing w:after="0" w:line="288" w:lineRule="auto"/>
        <w:rPr>
          <w:rFonts w:ascii="Arial" w:cs="Arial" w:eastAsia="Arial" w:hAnsi="Arial"/>
          <w:sz w:val="16"/>
          <w:szCs w:val="16"/>
          <w:color w:val="auto"/>
        </w:rPr>
      </w:pPr>
      <w:r>
        <w:rPr>
          <w:rFonts w:ascii="Arial" w:cs="Arial" w:eastAsia="Arial" w:hAnsi="Arial"/>
          <w:sz w:val="16"/>
          <w:szCs w:val="16"/>
          <w:color w:val="auto"/>
        </w:rPr>
        <w:t>(B)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68" w:lineRule="exact"/>
        <w:rPr>
          <w:rFonts w:ascii="Arial" w:cs="Arial" w:eastAsia="Arial" w:hAnsi="Arial"/>
          <w:sz w:val="16"/>
          <w:szCs w:val="16"/>
          <w:color w:val="auto"/>
        </w:rPr>
      </w:pPr>
    </w:p>
    <w:p>
      <w:pPr>
        <w:ind w:left="4" w:hanging="4"/>
        <w:spacing w:after="0" w:line="259"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Interested Persons</w:t>
      </w:r>
      <w:r>
        <w:rPr>
          <w:rFonts w:ascii="Arial" w:cs="Arial" w:eastAsia="Arial" w:hAnsi="Arial"/>
          <w:sz w:val="18"/>
          <w:szCs w:val="18"/>
          <w:color w:val="auto"/>
        </w:rPr>
        <w:t>. Except as disclosed in the Registration Statement, the General Disclosure Package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186" w:lineRule="exact"/>
        <w:rPr>
          <w:rFonts w:ascii="Arial" w:cs="Arial" w:eastAsia="Arial" w:hAnsi="Arial"/>
          <w:sz w:val="18"/>
          <w:szCs w:val="18"/>
          <w:color w:val="auto"/>
        </w:rPr>
      </w:pPr>
    </w:p>
    <w:p>
      <w:pPr>
        <w:ind w:left="4" w:right="160" w:hanging="4"/>
        <w:spacing w:after="0" w:line="273" w:lineRule="auto"/>
        <w:tabs>
          <w:tab w:leader="none" w:pos="71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Business Development Company</w:t>
      </w:r>
      <w:r>
        <w:rPr>
          <w:rFonts w:ascii="Arial" w:cs="Arial" w:eastAsia="Arial" w:hAnsi="Arial"/>
          <w:sz w:val="17"/>
          <w:szCs w:val="17"/>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 </w:t>
      </w:r>
      <w:r>
        <w:rPr>
          <w:rFonts w:ascii="Arial" w:cs="Arial" w:eastAsia="Arial" w:hAnsi="Arial"/>
          <w:sz w:val="18"/>
          <w:szCs w:val="18"/>
          <w:u w:val="single" w:color="auto"/>
          <w:color w:val="auto"/>
        </w:rPr>
        <w:t>No Extension of Credit</w:t>
      </w:r>
      <w:r>
        <w:rPr>
          <w:rFonts w:ascii="Arial" w:cs="Arial" w:eastAsia="Arial" w:hAnsi="Arial"/>
          <w:sz w:val="18"/>
          <w:szCs w:val="18"/>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Regulated Investment Company</w:t>
      </w:r>
      <w:r>
        <w:rPr>
          <w:rFonts w:ascii="Arial" w:cs="Arial" w:eastAsia="Arial" w:hAnsi="Arial"/>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(xliv) </w:t>
      </w:r>
      <w:r>
        <w:rPr>
          <w:rFonts w:ascii="Arial" w:cs="Arial" w:eastAsia="Arial" w:hAnsi="Arial"/>
          <w:sz w:val="16"/>
          <w:szCs w:val="16"/>
          <w:u w:val="single" w:color="auto"/>
          <w:color w:val="auto"/>
        </w:rPr>
        <w:t>IT Systems</w:t>
      </w:r>
      <w:r>
        <w:rPr>
          <w:rFonts w:ascii="Arial" w:cs="Arial" w:eastAsia="Arial" w:hAnsi="Arial"/>
          <w:sz w:val="16"/>
          <w:szCs w:val="16"/>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 w:name="page19"/>
    <w:bookmarkEnd w:id="18"/>
    <w:p>
      <w:pPr>
        <w:ind w:left="4" w:right="160" w:hanging="4"/>
        <w:spacing w:after="0" w:line="342" w:lineRule="auto"/>
        <w:tabs>
          <w:tab w:leader="none" w:pos="39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by the Adviser and the Administrator</w:t>
      </w:r>
      <w:r>
        <w:rPr>
          <w:rFonts w:ascii="Arial" w:cs="Arial" w:eastAsia="Arial" w:hAnsi="Arial"/>
          <w:sz w:val="16"/>
          <w:szCs w:val="16"/>
          <w:color w:val="auto"/>
        </w:rPr>
        <w:t>. The Adviser and the Administrator, jointly and severally, represent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as of the date hereof, the Applicable Time and the Closing Time (as defined below), and agrees with each Underwriter, as follows:</w:t>
      </w:r>
    </w:p>
    <w:p>
      <w:pPr>
        <w:spacing w:after="0" w:line="124" w:lineRule="exact"/>
        <w:rPr>
          <w:sz w:val="20"/>
          <w:szCs w:val="20"/>
          <w:color w:val="auto"/>
        </w:rPr>
      </w:pPr>
    </w:p>
    <w:p>
      <w:pPr>
        <w:ind w:left="4" w:right="40" w:hanging="4"/>
        <w:spacing w:after="0" w:line="255" w:lineRule="auto"/>
        <w:tabs>
          <w:tab w:leader="none" w:pos="35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92" w:lineRule="exact"/>
        <w:rPr>
          <w:rFonts w:ascii="Arial" w:cs="Arial" w:eastAsia="Arial" w:hAnsi="Arial"/>
          <w:sz w:val="18"/>
          <w:szCs w:val="18"/>
          <w:color w:val="auto"/>
        </w:rPr>
      </w:pPr>
    </w:p>
    <w:p>
      <w:pPr>
        <w:ind w:left="4" w:right="40" w:hanging="4"/>
        <w:spacing w:after="0" w:line="272" w:lineRule="auto"/>
        <w:tabs>
          <w:tab w:leader="none" w:pos="40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Good Standing</w:t>
      </w:r>
      <w:r>
        <w:rPr>
          <w:rFonts w:ascii="Arial" w:cs="Arial" w:eastAsia="Arial" w:hAnsi="Arial"/>
          <w:sz w:val="17"/>
          <w:szCs w:val="17"/>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177" w:lineRule="exact"/>
        <w:rPr>
          <w:rFonts w:ascii="Arial" w:cs="Arial" w:eastAsia="Arial" w:hAnsi="Arial"/>
          <w:sz w:val="17"/>
          <w:szCs w:val="17"/>
          <w:color w:val="auto"/>
        </w:rPr>
      </w:pPr>
    </w:p>
    <w:p>
      <w:pPr>
        <w:ind w:left="4" w:right="80" w:hanging="4"/>
        <w:spacing w:after="0" w:line="257" w:lineRule="auto"/>
        <w:tabs>
          <w:tab w:leader="none" w:pos="45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87" w:lineRule="exact"/>
        <w:rPr>
          <w:rFonts w:ascii="Arial" w:cs="Arial" w:eastAsia="Arial" w:hAnsi="Arial"/>
          <w:sz w:val="18"/>
          <w:szCs w:val="18"/>
          <w:color w:val="auto"/>
        </w:rPr>
      </w:pPr>
    </w:p>
    <w:p>
      <w:pPr>
        <w:ind w:left="4" w:hanging="4"/>
        <w:spacing w:after="0" w:line="290" w:lineRule="auto"/>
        <w:tabs>
          <w:tab w:leader="none" w:pos="44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disclosed in the Registration Statement, the General Disclosure Package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Indenture, the Securities, the Investment Management Agreement or the Administration Agreement or the performance by the Adviser or the Administrator of its obligations hereunder or thereunder.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9" w:name="page20"/>
    <w:bookmarkEnd w:id="19"/>
    <w:p>
      <w:pPr>
        <w:ind w:left="4" w:right="40" w:hanging="4"/>
        <w:spacing w:after="0" w:line="271" w:lineRule="auto"/>
        <w:tabs>
          <w:tab w:leader="none" w:pos="39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and Defaults</w:t>
      </w:r>
      <w:r>
        <w:rPr>
          <w:rFonts w:ascii="Arial" w:cs="Arial" w:eastAsia="Arial" w:hAnsi="Arial"/>
          <w:sz w:val="17"/>
          <w:szCs w:val="17"/>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178" w:lineRule="exact"/>
        <w:rPr>
          <w:rFonts w:ascii="Arial" w:cs="Arial" w:eastAsia="Arial" w:hAnsi="Arial"/>
          <w:sz w:val="17"/>
          <w:szCs w:val="17"/>
          <w:color w:val="auto"/>
        </w:rPr>
      </w:pPr>
    </w:p>
    <w:p>
      <w:pPr>
        <w:ind w:left="4" w:right="20" w:hanging="4"/>
        <w:spacing w:after="0" w:line="286" w:lineRule="auto"/>
        <w:tabs>
          <w:tab w:leader="none" w:pos="44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delivery and performance of this Agreement, the performance of the Investment Management Agreement and the Administration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170" w:lineRule="exact"/>
        <w:rPr>
          <w:rFonts w:ascii="Arial" w:cs="Arial" w:eastAsia="Arial" w:hAnsi="Arial"/>
          <w:sz w:val="16"/>
          <w:szCs w:val="16"/>
          <w:color w:val="auto"/>
        </w:rPr>
      </w:pPr>
    </w:p>
    <w:p>
      <w:pPr>
        <w:ind w:left="484" w:hanging="484"/>
        <w:spacing w:after="0"/>
        <w:tabs>
          <w:tab w:leader="none" w:pos="48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Authorization of this Agreement</w:t>
      </w:r>
      <w:r>
        <w:rPr>
          <w:rFonts w:ascii="Arial" w:cs="Arial" w:eastAsia="Arial" w:hAnsi="Arial"/>
          <w:sz w:val="16"/>
          <w:szCs w:val="16"/>
          <w:color w:val="auto"/>
        </w:rPr>
        <w:t>. This Agreement has been duly authorized, executed and delivered by each of the Adviser and the Administrator.</w:t>
      </w:r>
    </w:p>
    <w:p>
      <w:pPr>
        <w:spacing w:after="0" w:line="248" w:lineRule="exact"/>
        <w:rPr>
          <w:rFonts w:ascii="Arial" w:cs="Arial" w:eastAsia="Arial" w:hAnsi="Arial"/>
          <w:sz w:val="16"/>
          <w:szCs w:val="16"/>
          <w:color w:val="auto"/>
        </w:rPr>
      </w:pPr>
    </w:p>
    <w:p>
      <w:pPr>
        <w:ind w:left="4" w:right="60" w:hanging="4"/>
        <w:spacing w:after="0" w:line="263" w:lineRule="auto"/>
        <w:tabs>
          <w:tab w:leader="none" w:pos="5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Investment Management Agreement and Administration Agreement</w:t>
      </w:r>
      <w:r>
        <w:rPr>
          <w:rFonts w:ascii="Arial" w:cs="Arial" w:eastAsia="Arial" w:hAnsi="Arial"/>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0" w:name="page21"/>
    <w:bookmarkEnd w:id="20"/>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84" w:lineRule="exact"/>
        <w:rPr>
          <w:sz w:val="20"/>
          <w:szCs w:val="20"/>
          <w:color w:val="auto"/>
        </w:rPr>
      </w:pPr>
    </w:p>
    <w:p>
      <w:pPr>
        <w:ind w:left="4" w:right="20" w:hanging="4"/>
        <w:spacing w:after="0" w:line="270" w:lineRule="auto"/>
        <w:tabs>
          <w:tab w:leader="none" w:pos="44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Indenture, the DTC Agreement, the General Disclosure Package, the Investment Management Agreement, the Administration Agreement or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Trust Indenture Act,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180" w:lineRule="exact"/>
        <w:rPr>
          <w:rFonts w:ascii="Arial" w:cs="Arial" w:eastAsia="Arial" w:hAnsi="Arial"/>
          <w:sz w:val="17"/>
          <w:szCs w:val="17"/>
          <w:color w:val="auto"/>
        </w:rPr>
      </w:pPr>
    </w:p>
    <w:p>
      <w:pPr>
        <w:ind w:left="4" w:right="300" w:hanging="4"/>
        <w:spacing w:after="0" w:line="311" w:lineRule="auto"/>
        <w:tabs>
          <w:tab w:leader="none" w:pos="39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Descriptions of Adviser and Administrator</w:t>
      </w:r>
      <w:r>
        <w:rPr>
          <w:rFonts w:ascii="Arial" w:cs="Arial" w:eastAsia="Arial" w:hAnsi="Arial"/>
          <w:sz w:val="16"/>
          <w:szCs w:val="16"/>
          <w:color w:val="auto"/>
        </w:rPr>
        <w:t>. The descriptions of the Adviser and the Administrator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48" w:lineRule="exact"/>
        <w:rPr>
          <w:rFonts w:ascii="Arial" w:cs="Arial" w:eastAsia="Arial" w:hAnsi="Arial"/>
          <w:sz w:val="16"/>
          <w:szCs w:val="16"/>
          <w:color w:val="auto"/>
        </w:rPr>
      </w:pPr>
    </w:p>
    <w:p>
      <w:pPr>
        <w:ind w:left="4" w:right="20" w:hanging="4"/>
        <w:spacing w:after="0" w:line="269" w:lineRule="auto"/>
        <w:tabs>
          <w:tab w:leader="none" w:pos="44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185" w:lineRule="exact"/>
        <w:rPr>
          <w:rFonts w:ascii="Arial" w:cs="Arial" w:eastAsia="Arial" w:hAnsi="Arial"/>
          <w:sz w:val="17"/>
          <w:szCs w:val="17"/>
          <w:color w:val="auto"/>
        </w:rPr>
      </w:pPr>
    </w:p>
    <w:p>
      <w:pPr>
        <w:ind w:left="4" w:hanging="4"/>
        <w:spacing w:after="0" w:line="286" w:lineRule="auto"/>
        <w:tabs>
          <w:tab w:leader="none" w:pos="49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Stabilization and Manipulation</w:t>
      </w:r>
      <w:r>
        <w:rPr>
          <w:rFonts w:ascii="Arial" w:cs="Arial" w:eastAsia="Arial" w:hAnsi="Arial"/>
          <w:sz w:val="17"/>
          <w:szCs w:val="17"/>
          <w:color w:val="auto"/>
        </w:rPr>
        <w:t>. Neither the Adviser nor the Administrator has taken, nor will take, directly or indirectly, without giving effect to any activities by the Underwriters, any action designed, or that would reasonably be expected, to cause or result in, or which constitutes, the stabilization or manipulation of the price of the Securities, other than activity permitted pursuant to Rule 10b-18 under the 1934 Act.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1" w:name="page22"/>
    <w:bookmarkEnd w:id="21"/>
    <w:p>
      <w:pPr>
        <w:ind w:left="4" w:right="100" w:hanging="4"/>
        <w:spacing w:after="0" w:line="289" w:lineRule="auto"/>
        <w:tabs>
          <w:tab w:leader="none" w:pos="54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 Act</w:t>
      </w:r>
      <w:r>
        <w:rPr>
          <w:rFonts w:ascii="Arial" w:cs="Arial" w:eastAsia="Arial" w:hAnsi="Arial"/>
          <w:sz w:val="16"/>
          <w:szCs w:val="16"/>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66" w:lineRule="exact"/>
        <w:rPr>
          <w:rFonts w:ascii="Arial" w:cs="Arial" w:eastAsia="Arial" w:hAnsi="Arial"/>
          <w:sz w:val="16"/>
          <w:szCs w:val="16"/>
          <w:color w:val="auto"/>
        </w:rPr>
      </w:pPr>
    </w:p>
    <w:p>
      <w:pPr>
        <w:ind w:left="4" w:right="40" w:hanging="4"/>
        <w:spacing w:after="0" w:line="275" w:lineRule="auto"/>
        <w:tabs>
          <w:tab w:leader="none" w:pos="53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176" w:lineRule="exact"/>
        <w:rPr>
          <w:rFonts w:ascii="Arial" w:cs="Arial" w:eastAsia="Arial" w:hAnsi="Arial"/>
          <w:sz w:val="17"/>
          <w:szCs w:val="17"/>
          <w:color w:val="auto"/>
        </w:rPr>
      </w:pPr>
    </w:p>
    <w:p>
      <w:pPr>
        <w:ind w:left="4" w:hanging="4"/>
        <w:spacing w:after="0" w:line="273" w:lineRule="auto"/>
        <w:tabs>
          <w:tab w:leader="none" w:pos="48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Crimea, Cuba, Iran, North Korea, and Syria).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177" w:lineRule="exact"/>
        <w:rPr>
          <w:rFonts w:ascii="Arial" w:cs="Arial" w:eastAsia="Arial" w:hAnsi="Arial"/>
          <w:sz w:val="17"/>
          <w:szCs w:val="17"/>
          <w:color w:val="auto"/>
        </w:rPr>
      </w:pPr>
    </w:p>
    <w:p>
      <w:pPr>
        <w:ind w:left="4" w:right="20" w:hanging="4"/>
        <w:spacing w:after="0" w:line="257" w:lineRule="auto"/>
        <w:tabs>
          <w:tab w:leader="none" w:pos="53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Key Employees</w:t>
      </w:r>
      <w:r>
        <w:rPr>
          <w:rFonts w:ascii="Arial" w:cs="Arial" w:eastAsia="Arial" w:hAnsi="Arial"/>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2" w:name="page23"/>
    <w:bookmarkEnd w:id="22"/>
    <w:p>
      <w:pPr>
        <w:ind w:left="4" w:right="60" w:hanging="4"/>
        <w:spacing w:after="0" w:line="279" w:lineRule="auto"/>
        <w:tabs>
          <w:tab w:leader="none" w:pos="58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Labor Disputes</w:t>
      </w:r>
      <w:r>
        <w:rPr>
          <w:rFonts w:ascii="Arial" w:cs="Arial" w:eastAsia="Arial" w:hAnsi="Arial"/>
          <w:sz w:val="17"/>
          <w:szCs w:val="17"/>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71" w:lineRule="exact"/>
        <w:rPr>
          <w:rFonts w:ascii="Arial" w:cs="Arial" w:eastAsia="Arial" w:hAnsi="Arial"/>
          <w:sz w:val="17"/>
          <w:szCs w:val="17"/>
          <w:color w:val="auto"/>
        </w:rPr>
      </w:pPr>
    </w:p>
    <w:p>
      <w:pPr>
        <w:ind w:left="4" w:right="20" w:hanging="4"/>
        <w:spacing w:after="0" w:line="271" w:lineRule="auto"/>
        <w:tabs>
          <w:tab w:leader="none" w:pos="63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178" w:lineRule="exact"/>
        <w:rPr>
          <w:rFonts w:ascii="Arial" w:cs="Arial" w:eastAsia="Arial" w:hAnsi="Arial"/>
          <w:sz w:val="17"/>
          <w:szCs w:val="17"/>
          <w:color w:val="auto"/>
        </w:rPr>
      </w:pPr>
    </w:p>
    <w:p>
      <w:pPr>
        <w:ind w:left="4" w:right="280" w:hanging="4"/>
        <w:spacing w:after="0" w:line="263" w:lineRule="auto"/>
        <w:tabs>
          <w:tab w:leader="none" w:pos="53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Financial Resources</w:t>
      </w:r>
      <w:r>
        <w:rPr>
          <w:rFonts w:ascii="Arial" w:cs="Arial" w:eastAsia="Arial" w:hAnsi="Arial"/>
          <w:sz w:val="18"/>
          <w:szCs w:val="18"/>
          <w:color w:val="auto"/>
        </w:rPr>
        <w:t>. Each of the Adviser and the Administrator has the financial resources available to it necessary for the performance of its services and obligations as contemplated by the Registration Statement, the General Disclosure Package, the Prospectus and the Investment Management Agreement.</w:t>
      </w:r>
    </w:p>
    <w:p>
      <w:pPr>
        <w:spacing w:after="0" w:line="184" w:lineRule="exact"/>
        <w:rPr>
          <w:sz w:val="20"/>
          <w:szCs w:val="20"/>
          <w:color w:val="auto"/>
        </w:rPr>
      </w:pPr>
    </w:p>
    <w:p>
      <w:pPr>
        <w:ind w:left="4" w:hanging="4"/>
        <w:spacing w:after="0" w:line="263" w:lineRule="auto"/>
        <w:tabs>
          <w:tab w:leader="none" w:pos="38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any of the Subsidiaries, the Adviser or the Administrator delivered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or to counsel for the Underwriters shall be deemed a representation and warranty by the Company, the Adviser or the Administrator, as applicable, to each Underwriter as to the matters covered thereby.</w:t>
      </w:r>
    </w:p>
    <w:p>
      <w:pPr>
        <w:spacing w:after="0" w:line="292"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117" w:lineRule="exact"/>
        <w:rPr>
          <w:sz w:val="20"/>
          <w:szCs w:val="20"/>
          <w:color w:val="auto"/>
        </w:rPr>
      </w:pPr>
    </w:p>
    <w:p>
      <w:pPr>
        <w:ind w:left="4" w:right="180" w:hanging="4"/>
        <w:spacing w:after="0" w:line="257" w:lineRule="auto"/>
        <w:tabs>
          <w:tab w:leader="none" w:pos="38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On the basis of the representations and warranties herein contained and subject to the terms and conditions herein set forth,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agrees to sell to each Underwriter, severally and not jointly, and each Underwriter, severally and not jointly, agrees to purchase from the Company, at the price (the “Purchase Price”) set forth in Schedule A, the aggregate principal amount of Securities set forth in Schedule A opposite the name of such Underwriter, plus any additional aggregate principal amount of Securities which such Underwriter may become obligated to purchase pursuant to the provisions of Section 10 hereof.</w:t>
      </w:r>
    </w:p>
    <w:p>
      <w:pPr>
        <w:spacing w:after="0" w:line="187" w:lineRule="exact"/>
        <w:rPr>
          <w:rFonts w:ascii="Arial" w:cs="Arial" w:eastAsia="Arial" w:hAnsi="Arial"/>
          <w:sz w:val="18"/>
          <w:szCs w:val="18"/>
          <w:color w:val="auto"/>
        </w:rPr>
      </w:pPr>
    </w:p>
    <w:p>
      <w:pPr>
        <w:ind w:left="4" w:right="260" w:hanging="4"/>
        <w:spacing w:after="0" w:line="275" w:lineRule="auto"/>
        <w:tabs>
          <w:tab w:leader="none" w:pos="394"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price for the Securities and delivery of the Securities, shall be made at the offices of Proskauer Rose LLP, 1001</w:t>
      </w:r>
      <w:r>
        <w:rPr>
          <w:rFonts w:ascii="Arial" w:cs="Arial" w:eastAsia="Arial" w:hAnsi="Arial"/>
          <w:sz w:val="17"/>
          <w:szCs w:val="17"/>
          <w:i w:val="1"/>
          <w:iCs w:val="1"/>
          <w:color w:val="auto"/>
        </w:rPr>
        <w:t xml:space="preserve"> </w:t>
      </w:r>
      <w:r>
        <w:rPr>
          <w:rFonts w:ascii="Arial" w:cs="Arial" w:eastAsia="Arial" w:hAnsi="Arial"/>
          <w:sz w:val="17"/>
          <w:szCs w:val="17"/>
          <w:color w:val="auto"/>
        </w:rPr>
        <w:t>Pennsylvania Ave., NW, Suite 600 South, Washington, D.C. 20004, or at such other place as shall be agreed upon by the Representatives and the Company, at 10:00 A.M. (New York City time) on the fifth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3" w:name="page24"/>
    <w:bookmarkEnd w:id="23"/>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price of the Securities shall be made to the Company by wire transfer of immediately available funds to a bank account designated by the Company against delivery to a Representative through the facilities of the Depositary Trust Company for the respective accounts of the Underwriters of the Securities to be purchased by them. It is understood that each Underwriter has authorized the Representatives, for its account, to accept delivery of, receipt for, and make payment of the purchase price for, the Securities that it has agreed to purchase. The Representatives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78" w:lineRule="exact"/>
        <w:rPr>
          <w:sz w:val="20"/>
          <w:szCs w:val="20"/>
          <w:color w:val="auto"/>
        </w:rPr>
      </w:pPr>
    </w:p>
    <w:p>
      <w:pPr>
        <w:ind w:left="4" w:right="180" w:hanging="4"/>
        <w:spacing w:after="0" w:line="259" w:lineRule="auto"/>
        <w:tabs>
          <w:tab w:leader="none" w:pos="38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Securities shall be transferred electronically at the Closing Time in such denominations and registered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names as the Representatives may request in writing at least one full business day before the Closing Time. The Securities will be made available for examining and packaging by the Representatives in the City of New York not later than 10:00 A.M. (New York City time) on the business day prior to the Closing Time.</w:t>
      </w:r>
    </w:p>
    <w:p>
      <w:pPr>
        <w:spacing w:after="0" w:line="187"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ind w:left="4" w:right="40" w:hanging="4"/>
        <w:spacing w:after="0" w:line="268" w:lineRule="auto"/>
        <w:tabs>
          <w:tab w:leader="none" w:pos="383"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Rule 430B, Rule 497 and Rule 424(b), and will notify each Representative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84" w:lineRule="exact"/>
        <w:rPr>
          <w:rFonts w:ascii="Arial" w:cs="Arial" w:eastAsia="Arial" w:hAnsi="Arial"/>
          <w:sz w:val="17"/>
          <w:szCs w:val="17"/>
          <w:color w:val="auto"/>
        </w:rPr>
      </w:pPr>
    </w:p>
    <w:p>
      <w:pPr>
        <w:ind w:left="4" w:right="40" w:hanging="4"/>
        <w:spacing w:after="0" w:line="277" w:lineRule="auto"/>
        <w:tabs>
          <w:tab w:leader="none" w:pos="39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Continued Compliance with Securities Laws</w:t>
      </w:r>
      <w:r>
        <w:rPr>
          <w:rFonts w:ascii="Arial" w:cs="Arial" w:eastAsia="Arial" w:hAnsi="Arial"/>
          <w:sz w:val="18"/>
          <w:szCs w:val="18"/>
          <w:color w:val="auto"/>
        </w:rPr>
        <w:t>. The Company will use its commercially reasonable efforts to comply with the 1933 Act and the 1933</w:t>
      </w:r>
      <w:r>
        <w:rPr>
          <w:rFonts w:ascii="Arial" w:cs="Arial" w:eastAsia="Arial" w:hAnsi="Arial"/>
          <w:sz w:val="18"/>
          <w:szCs w:val="18"/>
          <w:i w:val="1"/>
          <w:iCs w:val="1"/>
          <w:color w:val="auto"/>
        </w:rPr>
        <w:t xml:space="preserve"> </w:t>
      </w:r>
      <w:r>
        <w:rPr>
          <w:rFonts w:ascii="Arial" w:cs="Arial" w:eastAsia="Arial" w:hAnsi="Arial"/>
          <w:sz w:val="18"/>
          <w:szCs w:val="18"/>
          <w:color w:val="auto"/>
        </w:rPr>
        <w:t>Act Regulations so as to permit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4" w:name="page25"/>
    <w:bookmarkEnd w:id="24"/>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of the distribution of the Securities as contemplated in this Agreement and in the Registration Statement, the General Disclosure Package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shall give the Representatives notice of its intention to make any such filing from the Applicable Time to the Closing Time and shall furnish the Representatives with copies of any such documents a reasonable amount of time prior to such proposed filing or use, as the case may be.</w:t>
      </w:r>
    </w:p>
    <w:p>
      <w:pPr>
        <w:spacing w:after="0" w:line="174" w:lineRule="exact"/>
        <w:rPr>
          <w:sz w:val="20"/>
          <w:szCs w:val="20"/>
          <w:color w:val="auto"/>
        </w:rPr>
      </w:pPr>
    </w:p>
    <w:p>
      <w:pPr>
        <w:ind w:left="4" w:right="20" w:hanging="4"/>
        <w:spacing w:after="0" w:line="293" w:lineRule="auto"/>
        <w:tabs>
          <w:tab w:leader="none" w:pos="38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Delivery of Commission Filings</w:t>
      </w:r>
      <w:r>
        <w:rPr>
          <w:rFonts w:ascii="Arial" w:cs="Arial" w:eastAsia="Arial" w:hAnsi="Arial"/>
          <w:sz w:val="16"/>
          <w:szCs w:val="16"/>
          <w:color w:val="auto"/>
        </w:rPr>
        <w:t>. The Company has furnished or, upon written request of the Representatives, shall deliver to the Representatives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counsel for the Underwriters, without charge, conformed copies of the Registration Statement, as originally filed, and of each amendment thereto (including exhibits filed therewith) and conformed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ind w:left="4" w:right="20" w:hanging="4"/>
        <w:spacing w:after="0" w:line="273" w:lineRule="auto"/>
        <w:tabs>
          <w:tab w:leader="none" w:pos="394"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Company has delivered to each Underwriter, without charge, as many copies of each preliminary prospectus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reasonably requested, and the Company hereby consents to the use of such copies for purposes permitted by the 1933 Act. The Company will furnish to each Underwriter, without charge, during the period when a prospectus relating to the Securities is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25" w:name="page26"/>
    <w:bookmarkEnd w:id="25"/>
    <w:p>
      <w:pPr>
        <w:ind w:left="4" w:hanging="4"/>
        <w:spacing w:after="0" w:line="255" w:lineRule="auto"/>
        <w:tabs>
          <w:tab w:leader="none" w:pos="38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Qualifications</w:t>
      </w:r>
      <w:r>
        <w:rPr>
          <w:rFonts w:ascii="Arial" w:cs="Arial" w:eastAsia="Arial" w:hAnsi="Arial"/>
          <w:sz w:val="18"/>
          <w:szCs w:val="18"/>
          <w:color w:val="auto"/>
        </w:rPr>
        <w:t>. The Company will use its commercially reasonable efforts, in cooperation with the Underwriters, to qualify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offering and sale under the applicable securities laws of such states and other jurisdictions (domestic or foreign) as the Representatives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left="4" w:right="560" w:hanging="4"/>
        <w:spacing w:after="0" w:line="301" w:lineRule="auto"/>
        <w:tabs>
          <w:tab w:leader="none" w:pos="36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Rule 158</w:t>
      </w:r>
      <w:r>
        <w:rPr>
          <w:rFonts w:ascii="Arial" w:cs="Arial" w:eastAsia="Arial" w:hAnsi="Arial"/>
          <w:sz w:val="16"/>
          <w:szCs w:val="16"/>
          <w:color w:val="auto"/>
        </w:rPr>
        <w:t>. The Company will make generally available to its securityholders as soon as practicable an earnings statement that satisfies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57" w:lineRule="exact"/>
        <w:rPr>
          <w:rFonts w:ascii="Arial" w:cs="Arial" w:eastAsia="Arial" w:hAnsi="Arial"/>
          <w:sz w:val="16"/>
          <w:szCs w:val="16"/>
          <w:color w:val="auto"/>
        </w:rPr>
      </w:pPr>
    </w:p>
    <w:p>
      <w:pPr>
        <w:ind w:left="4" w:right="420" w:hanging="4"/>
        <w:spacing w:after="0" w:line="277" w:lineRule="auto"/>
        <w:tabs>
          <w:tab w:leader="none" w:pos="39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cooperate with the Representatives and use its commercially reasonable efforts to permit the offered Securities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DTC.</w:t>
      </w:r>
    </w:p>
    <w:p>
      <w:pPr>
        <w:spacing w:after="0" w:line="170" w:lineRule="exact"/>
        <w:rPr>
          <w:rFonts w:ascii="Arial" w:cs="Arial" w:eastAsia="Arial" w:hAnsi="Arial"/>
          <w:sz w:val="18"/>
          <w:szCs w:val="18"/>
          <w:color w:val="auto"/>
        </w:rPr>
      </w:pPr>
    </w:p>
    <w:p>
      <w:pPr>
        <w:ind w:left="4" w:right="160" w:hanging="4"/>
        <w:spacing w:after="0" w:line="291" w:lineRule="auto"/>
        <w:tabs>
          <w:tab w:leader="none" w:pos="39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Use of Proceeds; OFAC</w:t>
      </w:r>
      <w:r>
        <w:rPr>
          <w:rFonts w:ascii="Arial" w:cs="Arial" w:eastAsia="Arial" w:hAnsi="Arial"/>
          <w:sz w:val="16"/>
          <w:szCs w:val="16"/>
          <w:color w:val="auto"/>
        </w:rPr>
        <w:t>. The Company will use the net proceeds received by it from the sale of the Securities in the manner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General Disclosure Package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66" w:lineRule="exact"/>
        <w:rPr>
          <w:rFonts w:ascii="Arial" w:cs="Arial" w:eastAsia="Arial" w:hAnsi="Arial"/>
          <w:sz w:val="16"/>
          <w:szCs w:val="16"/>
          <w:color w:val="auto"/>
        </w:rPr>
      </w:pPr>
    </w:p>
    <w:p>
      <w:pPr>
        <w:ind w:left="4" w:right="60" w:hanging="4"/>
        <w:spacing w:after="0" w:line="272" w:lineRule="auto"/>
        <w:tabs>
          <w:tab w:leader="none" w:pos="354"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Clear Market</w:t>
      </w:r>
      <w:r>
        <w:rPr>
          <w:rFonts w:ascii="Arial" w:cs="Arial" w:eastAsia="Arial" w:hAnsi="Arial"/>
          <w:sz w:val="17"/>
          <w:szCs w:val="17"/>
          <w:color w:val="auto"/>
        </w:rPr>
        <w:t>. Through the Closing Time, the Company will not, without the prior written consent of the Representatives, (i) directly or indirectly,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offer, pledge, sell, contract to sell, sell any option or contract to purchase, purchase any option or contract to sell, grant any option, right or warrant to purchase or otherwise transfer or dispose of any debt securities issued or guaranteed by the Company or any securities convertible into or exercisable or exchangeable for debt securities issued or guaranteed by the Company or file any registration statement under the 1933 Act with respect to any of the foregoing or (ii) enter into any swap or any other agreement or any transaction that transfers, in whole or in part, directly or indirectly, the economic consequence of ownership of debt securities issued or guaranteed by the Company or any such other securities, without the prior written consent of the Representatives on behalf of the Underwriters, other than the Securities to be sold hereunder.</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6" w:name="page27"/>
    <w:bookmarkEnd w:id="26"/>
    <w:p>
      <w:pPr>
        <w:ind w:left="4" w:right="200" w:hanging="4"/>
        <w:spacing w:after="0" w:line="263" w:lineRule="auto"/>
        <w:tabs>
          <w:tab w:leader="none" w:pos="35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Requirements</w:t>
      </w:r>
      <w:r>
        <w:rPr>
          <w:rFonts w:ascii="Arial" w:cs="Arial" w:eastAsia="Arial" w:hAnsi="Arial"/>
          <w:sz w:val="18"/>
          <w:szCs w:val="18"/>
          <w:color w:val="auto"/>
        </w:rPr>
        <w:t>. The Company, during the period when a Prospectus relating to the Securities is required to be delivered under the 1933</w:t>
      </w:r>
      <w:r>
        <w:rPr>
          <w:rFonts w:ascii="Arial" w:cs="Arial" w:eastAsia="Arial" w:hAnsi="Arial"/>
          <w:sz w:val="18"/>
          <w:szCs w:val="18"/>
          <w:i w:val="1"/>
          <w:iCs w:val="1"/>
          <w:color w:val="auto"/>
        </w:rPr>
        <w:t xml:space="preserve"> </w:t>
      </w:r>
      <w:r>
        <w:rPr>
          <w:rFonts w:ascii="Arial" w:cs="Arial" w:eastAsia="Arial" w:hAnsi="Arial"/>
          <w:sz w:val="18"/>
          <w:szCs w:val="18"/>
          <w:color w:val="auto"/>
        </w:rPr>
        <w:t>Act, will file all documents required to be filed with the Commission pursuant to the 1934 Act within the time periods required by the 1934 Act and 1934 Act Regulations.</w:t>
      </w:r>
    </w:p>
    <w:p>
      <w:pPr>
        <w:spacing w:after="0" w:line="183" w:lineRule="exact"/>
        <w:rPr>
          <w:rFonts w:ascii="Arial" w:cs="Arial" w:eastAsia="Arial" w:hAnsi="Arial"/>
          <w:sz w:val="18"/>
          <w:szCs w:val="18"/>
          <w:color w:val="auto"/>
        </w:rPr>
      </w:pPr>
    </w:p>
    <w:p>
      <w:pPr>
        <w:ind w:left="4" w:right="20" w:hanging="4"/>
        <w:spacing w:after="0" w:line="259" w:lineRule="auto"/>
        <w:tabs>
          <w:tab w:leader="none" w:pos="39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Business Development Company Status</w:t>
      </w:r>
      <w:r>
        <w:rPr>
          <w:rFonts w:ascii="Arial" w:cs="Arial" w:eastAsia="Arial" w:hAnsi="Arial"/>
          <w:sz w:val="18"/>
          <w:szCs w:val="18"/>
          <w:color w:val="auto"/>
        </w:rPr>
        <w:t>. The Company, during the period of at least two years from the Closing Time,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86" w:lineRule="exact"/>
        <w:rPr>
          <w:rFonts w:ascii="Arial" w:cs="Arial" w:eastAsia="Arial" w:hAnsi="Arial"/>
          <w:sz w:val="18"/>
          <w:szCs w:val="18"/>
          <w:color w:val="auto"/>
        </w:rPr>
      </w:pPr>
    </w:p>
    <w:p>
      <w:pPr>
        <w:ind w:left="344" w:hanging="344"/>
        <w:spacing w:after="0"/>
        <w:tabs>
          <w:tab w:leader="none" w:pos="34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Regulated Investment Company Status</w:t>
      </w:r>
      <w:r>
        <w:rPr>
          <w:rFonts w:ascii="Arial" w:cs="Arial" w:eastAsia="Arial" w:hAnsi="Arial"/>
          <w:sz w:val="17"/>
          <w:szCs w:val="17"/>
          <w:color w:val="auto"/>
        </w:rPr>
        <w:t>. The Company will use its commercially reasonable efforts to maintain its qualification as a regulated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investment company under Subchapter M of the Code for each full fiscal year during which it is a business development company under the 1940 Act.</w:t>
      </w:r>
    </w:p>
    <w:p>
      <w:pPr>
        <w:spacing w:after="0" w:line="233" w:lineRule="exact"/>
        <w:rPr>
          <w:rFonts w:ascii="Arial" w:cs="Arial" w:eastAsia="Arial" w:hAnsi="Arial"/>
          <w:sz w:val="17"/>
          <w:szCs w:val="17"/>
          <w:color w:val="auto"/>
        </w:rPr>
      </w:pPr>
    </w:p>
    <w:p>
      <w:pPr>
        <w:ind w:left="4" w:right="200" w:hanging="4"/>
        <w:spacing w:after="0" w:line="259" w:lineRule="auto"/>
        <w:tabs>
          <w:tab w:leader="none" w:pos="44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to (i) test procedures and conduct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86" w:lineRule="exact"/>
        <w:rPr>
          <w:rFonts w:ascii="Arial" w:cs="Arial" w:eastAsia="Arial" w:hAnsi="Arial"/>
          <w:sz w:val="18"/>
          <w:szCs w:val="18"/>
          <w:color w:val="auto"/>
        </w:rPr>
      </w:pPr>
    </w:p>
    <w:p>
      <w:pPr>
        <w:ind w:left="4" w:hanging="4"/>
        <w:spacing w:after="0" w:line="288" w:lineRule="auto"/>
        <w:tabs>
          <w:tab w:leader="none" w:pos="394"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will use commercially reasonable efforts to establish and maintain a system of internal accounting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68" w:lineRule="exact"/>
        <w:rPr>
          <w:rFonts w:ascii="Arial" w:cs="Arial" w:eastAsia="Arial" w:hAnsi="Arial"/>
          <w:sz w:val="16"/>
          <w:szCs w:val="16"/>
          <w:color w:val="auto"/>
        </w:rPr>
      </w:pPr>
    </w:p>
    <w:p>
      <w:pPr>
        <w:ind w:left="4" w:hanging="4"/>
        <w:spacing w:after="0" w:line="257" w:lineRule="auto"/>
        <w:tabs>
          <w:tab w:leader="none" w:pos="39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will use commercially reasonable efforts to establish and employ disclosure controls and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4" w:right="499" w:bottom="1440" w:gutter="0" w:footer="0" w:header="0"/>
        </w:sectPr>
      </w:pPr>
    </w:p>
    <w:bookmarkStart w:id="27" w:name="page28"/>
    <w:bookmarkEnd w:id="27"/>
    <w:p>
      <w:pPr>
        <w:ind w:left="4" w:hanging="4"/>
        <w:spacing w:after="0" w:line="275" w:lineRule="auto"/>
        <w:tabs>
          <w:tab w:leader="none" w:pos="394"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Testing-the-Waters Materials</w:t>
      </w:r>
      <w:r>
        <w:rPr>
          <w:rFonts w:ascii="Arial" w:cs="Arial" w:eastAsia="Arial" w:hAnsi="Arial"/>
          <w:sz w:val="17"/>
          <w:szCs w:val="17"/>
          <w:color w:val="auto"/>
        </w:rPr>
        <w:t>. If at any time following the distribution of any Written Testing-the-Waters Communication there has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6" w:lineRule="exact"/>
        <w:rPr>
          <w:rFonts w:ascii="Arial" w:cs="Arial" w:eastAsia="Arial" w:hAnsi="Arial"/>
          <w:sz w:val="17"/>
          <w:szCs w:val="17"/>
          <w:color w:val="auto"/>
        </w:rPr>
      </w:pPr>
    </w:p>
    <w:p>
      <w:pPr>
        <w:ind w:left="4" w:right="80" w:hanging="4"/>
        <w:spacing w:after="0" w:line="291" w:lineRule="auto"/>
        <w:tabs>
          <w:tab w:leader="none" w:pos="394"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The Company represents and agrees that, without the prior consent of the Representatives (i) it will not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offering material other than the Registration Statement, the General Disclosure Package, the Prospectus or the information set forth on Schedule B hereto, and (ii) it has not made and will not make any offer relating to the Securities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274"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117" w:lineRule="exact"/>
        <w:rPr>
          <w:sz w:val="20"/>
          <w:szCs w:val="20"/>
          <w:color w:val="auto"/>
        </w:rPr>
      </w:pPr>
    </w:p>
    <w:p>
      <w:pPr>
        <w:ind w:left="384" w:hanging="384"/>
        <w:spacing w:after="0"/>
        <w:tabs>
          <w:tab w:leader="none" w:pos="38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 including</w:t>
      </w:r>
    </w:p>
    <w:p>
      <w:pPr>
        <w:spacing w:after="0" w:line="46" w:lineRule="exact"/>
        <w:rPr>
          <w:rFonts w:ascii="Arial" w:cs="Arial" w:eastAsia="Arial" w:hAnsi="Arial"/>
          <w:sz w:val="16"/>
          <w:szCs w:val="16"/>
          <w:color w:val="auto"/>
        </w:rPr>
      </w:pPr>
    </w:p>
    <w:p>
      <w:pPr>
        <w:ind w:left="4" w:hanging="4"/>
        <w:spacing w:after="0" w:line="285" w:lineRule="auto"/>
        <w:tabs>
          <w:tab w:leader="none" w:pos="2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each amendment thereto, (ii) the preparation, printing and delivery to the Underwriters of copies of each preliminary prospectus and the Prospectus and any amendments or supplements thereto, this Agreement, the Indenture, the DTC Agreement and such other documents as may be required in connection with the offering, purchase, sale, issuance or delivery of the Securities,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the Adviser’s and the Administrator’s counsel, accountants and other advisors, (v) the qualification of the Securities under securities laws in accordance with the provisions of Section 3(e) hereof, (vi) the fees and expenses of the Trustee for the Securities, (vii) the costs and expenses of the Company relating to investor presentations on any “road show” undertaken in connection with the marketing of the Securities, including without limitation, reasonable and documented expenses associated with the production of road show slides and graphics, fees and expenses of any consultants engaged in connection with the road show presentations, documented travel and lodging expenses of officers of the Company and any such consultants and (viii) the costs and expenses (including, without limitation, any damages or other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8" w:name="page29"/>
    <w:bookmarkEnd w:id="28"/>
    <w:p>
      <w:pPr>
        <w:ind w:left="4"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payable in connection with legal or contractual liability) associated with the reforming of any contracts for sale of the Securities made by the Underwriters caused by a breach of the representation contained in the second sentence of Section 1(a)(iv).</w:t>
      </w:r>
    </w:p>
    <w:p>
      <w:pPr>
        <w:spacing w:after="0" w:line="170" w:lineRule="exact"/>
        <w:rPr>
          <w:sz w:val="20"/>
          <w:szCs w:val="20"/>
          <w:color w:val="auto"/>
        </w:rPr>
      </w:pPr>
    </w:p>
    <w:p>
      <w:pPr>
        <w:ind w:left="4" w:right="60" w:hanging="4"/>
        <w:spacing w:after="0" w:line="263" w:lineRule="auto"/>
        <w:tabs>
          <w:tab w:leader="none" w:pos="39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Representatives in accordance with the provisions of Section 5 or Section 9(a)(i)</w:t>
      </w:r>
      <w:r>
        <w:rPr>
          <w:rFonts w:ascii="Arial" w:cs="Arial" w:eastAsia="Arial" w:hAnsi="Arial"/>
          <w:sz w:val="18"/>
          <w:szCs w:val="18"/>
          <w:i w:val="1"/>
          <w:iCs w:val="1"/>
          <w:color w:val="auto"/>
        </w:rPr>
        <w:t xml:space="preserve"> </w:t>
      </w:r>
      <w:r>
        <w:rPr>
          <w:rFonts w:ascii="Arial" w:cs="Arial" w:eastAsia="Arial" w:hAnsi="Arial"/>
          <w:sz w:val="18"/>
          <w:szCs w:val="18"/>
          <w:color w:val="auto"/>
        </w:rPr>
        <w:t>or (iii) hereof, the Company shall reimburse the Underwriters for all of their reasonable and documented out-of-pocket expenses, including the reasonable and documented fees and disbursements of counsel for the Underwriters.</w:t>
      </w:r>
    </w:p>
    <w:p>
      <w:pPr>
        <w:spacing w:after="0" w:line="184"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several Underwriters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57" w:lineRule="exact"/>
        <w:rPr>
          <w:sz w:val="20"/>
          <w:szCs w:val="20"/>
          <w:color w:val="auto"/>
        </w:rPr>
      </w:pPr>
    </w:p>
    <w:p>
      <w:pPr>
        <w:ind w:left="4" w:right="340" w:hanging="4"/>
        <w:spacing w:after="0" w:line="273" w:lineRule="auto"/>
        <w:tabs>
          <w:tab w:leader="none" w:pos="383"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Registration Statement</w:t>
      </w:r>
      <w:r>
        <w:rPr>
          <w:rFonts w:ascii="Arial" w:cs="Arial" w:eastAsia="Arial" w:hAnsi="Arial"/>
          <w:sz w:val="17"/>
          <w:szCs w:val="17"/>
          <w:color w:val="auto"/>
        </w:rPr>
        <w:t>. At the Closing Time, no stop order suspending the effectiveness of the Registration Statement or any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thereto has been issued under the 1933 Act, no order preventing or suspending the use of any preliminary prospectus,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177" w:lineRule="exact"/>
        <w:rPr>
          <w:rFonts w:ascii="Arial" w:cs="Arial" w:eastAsia="Arial" w:hAnsi="Arial"/>
          <w:sz w:val="17"/>
          <w:szCs w:val="17"/>
          <w:color w:val="auto"/>
        </w:rPr>
      </w:pPr>
    </w:p>
    <w:p>
      <w:pPr>
        <w:ind w:left="4" w:right="100" w:hanging="4"/>
        <w:spacing w:after="0" w:line="257" w:lineRule="auto"/>
        <w:tabs>
          <w:tab w:leader="none" w:pos="39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Opinions of Counsel for the Company, the Adviser and the Administrator</w:t>
      </w:r>
      <w:r>
        <w:rPr>
          <w:rFonts w:ascii="Arial" w:cs="Arial" w:eastAsia="Arial" w:hAnsi="Arial"/>
          <w:sz w:val="18"/>
          <w:szCs w:val="18"/>
          <w:color w:val="auto"/>
        </w:rPr>
        <w:t>. At the Closing Time, the Representatives shall have received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opinions, dated the Closing Time, of Dechert LLP, counsel for the Company, the Adviser and the Administrator, and of Venable LLP, counsel for the Company, in form and substance reasonably satisfactory to counsel for the Underwriters.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87" w:lineRule="exact"/>
        <w:rPr>
          <w:rFonts w:ascii="Arial" w:cs="Arial" w:eastAsia="Arial" w:hAnsi="Arial"/>
          <w:sz w:val="18"/>
          <w:szCs w:val="18"/>
          <w:color w:val="auto"/>
        </w:rPr>
      </w:pPr>
    </w:p>
    <w:p>
      <w:pPr>
        <w:ind w:left="4" w:hanging="4"/>
        <w:spacing w:after="0" w:line="259" w:lineRule="auto"/>
        <w:tabs>
          <w:tab w:leader="none" w:pos="383"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Opinion of Counsel for the Underwriters</w:t>
      </w:r>
      <w:r>
        <w:rPr>
          <w:rFonts w:ascii="Arial" w:cs="Arial" w:eastAsia="Arial" w:hAnsi="Arial"/>
          <w:sz w:val="18"/>
          <w:szCs w:val="18"/>
          <w:color w:val="auto"/>
        </w:rPr>
        <w:t>. At the Closing Time, the Representatives shall have received the favorable opinion, dated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Proskauer Rose LLP, counsel for the Underwriters.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294" w:lineRule="exact"/>
        <w:rPr>
          <w:rFonts w:ascii="Arial" w:cs="Arial" w:eastAsia="Arial" w:hAnsi="Arial"/>
          <w:sz w:val="18"/>
          <w:szCs w:val="18"/>
          <w:color w:val="auto"/>
        </w:rPr>
      </w:pPr>
    </w:p>
    <w:p>
      <w:pPr>
        <w:ind w:left="384" w:hanging="384"/>
        <w:spacing w:after="0"/>
        <w:tabs>
          <w:tab w:leader="none" w:pos="38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117" w:lineRule="exact"/>
        <w:rPr>
          <w:sz w:val="20"/>
          <w:szCs w:val="20"/>
          <w:color w:val="auto"/>
        </w:rPr>
      </w:pPr>
    </w:p>
    <w:p>
      <w:pPr>
        <w:ind w:left="4" w:right="860" w:hanging="4"/>
        <w:spacing w:after="0" w:line="342" w:lineRule="auto"/>
        <w:tabs>
          <w:tab w:leader="none" w:pos="3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 the Closing Time, there shall not have been, since the date hereof or since the respective dates as of which information is given in the Registration Statement, the General Disclosure Package or the Prospectus, any material adverse change in the business, properties,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9" w:name="page30"/>
    <w:bookmarkEnd w:id="29"/>
    <w:p>
      <w:pPr>
        <w:ind w:left="4"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financial condition, prospects or results of operations of the Company and the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(A) there has been no such material adverse change, (B) the representations and warranties of the Company in Section 1(a) of this Agreement are true and correct with the same force and effect as though expressly made at and as of the Closing Time, (C) the Company has complied with all agreements and satisfied all conditions on its part to be performed or satisfied at or prior to the Closing Time, and (D)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65" w:lineRule="exact"/>
        <w:rPr>
          <w:sz w:val="20"/>
          <w:szCs w:val="20"/>
          <w:color w:val="auto"/>
        </w:rPr>
      </w:pPr>
    </w:p>
    <w:p>
      <w:pPr>
        <w:ind w:left="4" w:right="40" w:hanging="4"/>
        <w:spacing w:after="0" w:line="254" w:lineRule="auto"/>
        <w:tabs>
          <w:tab w:leader="none" w:pos="3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Closing Time, there shall not have been, since the date hereof or since the respective dates as of which information is given in the Prospectus, an Adviser/Administrator Material Adverse Effect, and the Representatives shall have received certificates of the managing member of each of the Adviser and the Administrator, dated the Closing Time, to the effect that (A) there has been no such Adviser/Administrator Material Adverse Effect with respect to the Adviser or the Administrator, as applicable, (B) the representations and warranties of the Adviser or the Administrator, as applicable, in Section 1(b) of this Agreement are true and correct with the same force and effect as though expressly made at and as of the Closing Time and (C) the Adviser or the Administrator, as applicable, has complied with all agreements and satisfied all conditions on their part to be performed or satisfied at or prior to the Closing Time.</w:t>
      </w:r>
    </w:p>
    <w:p>
      <w:pPr>
        <w:spacing w:after="0" w:line="195" w:lineRule="exact"/>
        <w:rPr>
          <w:sz w:val="20"/>
          <w:szCs w:val="20"/>
          <w:color w:val="auto"/>
        </w:rPr>
      </w:pPr>
    </w:p>
    <w:p>
      <w:pPr>
        <w:ind w:left="4" w:right="100" w:hanging="4"/>
        <w:spacing w:after="0" w:line="257" w:lineRule="auto"/>
        <w:tabs>
          <w:tab w:leader="none" w:pos="383"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RSM US LLP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Company’s financial statements and certain financial information included or incorporated by reference in the Registration Statement, the General Disclosure Package and the Prospectus.</w:t>
      </w:r>
    </w:p>
    <w:p>
      <w:pPr>
        <w:spacing w:after="0" w:line="187" w:lineRule="exact"/>
        <w:rPr>
          <w:rFonts w:ascii="Arial" w:cs="Arial" w:eastAsia="Arial" w:hAnsi="Arial"/>
          <w:sz w:val="18"/>
          <w:szCs w:val="18"/>
          <w:color w:val="auto"/>
        </w:rPr>
      </w:pPr>
    </w:p>
    <w:p>
      <w:pPr>
        <w:ind w:left="4" w:hanging="4"/>
        <w:spacing w:after="0" w:line="263" w:lineRule="auto"/>
        <w:tabs>
          <w:tab w:leader="none" w:pos="36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RSM US LLP a letter, dated as of the Closing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effect that they reaffirm the statements made in the letter furnished pursuant to subsection (e) of this Section, except that the specified date referred to shall be a date not more than three business days prior to the Closing Time.</w:t>
      </w:r>
    </w:p>
    <w:p>
      <w:pPr>
        <w:spacing w:after="0" w:line="183" w:lineRule="exact"/>
        <w:rPr>
          <w:rFonts w:ascii="Arial" w:cs="Arial" w:eastAsia="Arial" w:hAnsi="Arial"/>
          <w:sz w:val="18"/>
          <w:szCs w:val="18"/>
          <w:color w:val="auto"/>
        </w:rPr>
      </w:pPr>
    </w:p>
    <w:p>
      <w:pPr>
        <w:ind w:left="4" w:right="20" w:hanging="4"/>
        <w:spacing w:after="0" w:line="277" w:lineRule="auto"/>
        <w:tabs>
          <w:tab w:leader="none" w:pos="39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Fourth Supplemental Indenture and Securities</w:t>
      </w:r>
      <w:r>
        <w:rPr>
          <w:rFonts w:ascii="Arial" w:cs="Arial" w:eastAsia="Arial" w:hAnsi="Arial"/>
          <w:sz w:val="18"/>
          <w:szCs w:val="18"/>
          <w:color w:val="auto"/>
        </w:rPr>
        <w:t>. At or prior to the Closing Time, the Company and the Trustee shall have executed and delivered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Supplemental Indenture and the Securities.</w:t>
      </w:r>
    </w:p>
    <w:p>
      <w:pPr>
        <w:spacing w:after="0" w:line="170" w:lineRule="exact"/>
        <w:rPr>
          <w:rFonts w:ascii="Arial" w:cs="Arial" w:eastAsia="Arial" w:hAnsi="Arial"/>
          <w:sz w:val="18"/>
          <w:szCs w:val="18"/>
          <w:color w:val="auto"/>
        </w:rPr>
      </w:pPr>
    </w:p>
    <w:p>
      <w:pPr>
        <w:ind w:left="4" w:right="620" w:hanging="4"/>
        <w:spacing w:after="0" w:line="342" w:lineRule="auto"/>
        <w:tabs>
          <w:tab w:leader="none" w:pos="394"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Maintenance of Rating</w:t>
      </w:r>
      <w:r>
        <w:rPr>
          <w:rFonts w:ascii="Arial" w:cs="Arial" w:eastAsia="Arial" w:hAnsi="Arial"/>
          <w:sz w:val="16"/>
          <w:szCs w:val="16"/>
          <w:color w:val="auto"/>
        </w:rPr>
        <w:t>. Since the execution of this Agreement, there shall not have been any decrease in or withdrawal of the rating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the Company or any of its Subsidiaries by any “nationally recognized statistical rating organization” (as defined in Section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0" w:name="page31"/>
    <w:bookmarkEnd w:id="30"/>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3(a)(62) of the 1934 Act) or any notice given of any intended or potential decrease in or withdrawal of any such rating or of a possible change in any such rating that does not indicate the direction of the possible change.</w:t>
      </w:r>
    </w:p>
    <w:p>
      <w:pPr>
        <w:spacing w:after="0" w:line="170" w:lineRule="exact"/>
        <w:rPr>
          <w:sz w:val="20"/>
          <w:szCs w:val="20"/>
          <w:color w:val="auto"/>
        </w:rPr>
      </w:pPr>
    </w:p>
    <w:p>
      <w:pPr>
        <w:ind w:left="4" w:hanging="4"/>
        <w:spacing w:after="0" w:line="275" w:lineRule="auto"/>
        <w:tabs>
          <w:tab w:leader="none" w:pos="354"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counsel for the Underwriters shall have been furnished with such documents and opinions as they may</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Representatives and counsel for the Underwriters.</w:t>
      </w:r>
    </w:p>
    <w:p>
      <w:pPr>
        <w:spacing w:after="0" w:line="176" w:lineRule="exact"/>
        <w:rPr>
          <w:rFonts w:ascii="Arial" w:cs="Arial" w:eastAsia="Arial" w:hAnsi="Arial"/>
          <w:sz w:val="17"/>
          <w:szCs w:val="17"/>
          <w:color w:val="auto"/>
        </w:rPr>
      </w:pPr>
    </w:p>
    <w:p>
      <w:pPr>
        <w:ind w:left="4" w:right="200" w:hanging="4"/>
        <w:spacing w:after="0" w:line="259" w:lineRule="auto"/>
        <w:tabs>
          <w:tab w:leader="none" w:pos="35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may be terminated by the Representatives by notice to the Company at any time at or prior to Closing Time, and such termination shall be without liability of any party to any other party except as provided in Section 4 and except that Sections 1, 6, 7, 8, 14, 15 and 16 survive any such termination and remain in full force and effect.</w:t>
      </w:r>
    </w:p>
    <w:p>
      <w:pPr>
        <w:spacing w:after="0" w:line="295"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jc w:val="both"/>
        <w:ind w:left="4" w:right="40" w:hanging="4"/>
        <w:spacing w:after="0" w:line="259" w:lineRule="auto"/>
        <w:tabs>
          <w:tab w:leader="none" w:pos="38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 the Adviser and the Administrator</w:t>
      </w:r>
      <w:r>
        <w:rPr>
          <w:rFonts w:ascii="Arial" w:cs="Arial" w:eastAsia="Arial" w:hAnsi="Arial"/>
          <w:sz w:val="18"/>
          <w:szCs w:val="18"/>
          <w:color w:val="auto"/>
        </w:rPr>
        <w:t>. The Company, the Adviser and the Administrator, severally</w:t>
      </w:r>
      <w:r>
        <w:rPr>
          <w:rFonts w:ascii="Arial" w:cs="Arial" w:eastAsia="Arial" w:hAnsi="Arial"/>
          <w:sz w:val="18"/>
          <w:szCs w:val="18"/>
          <w:i w:val="1"/>
          <w:iCs w:val="1"/>
          <w:color w:val="auto"/>
        </w:rPr>
        <w:t xml:space="preserve"> </w:t>
      </w:r>
      <w:r>
        <w:rPr>
          <w:rFonts w:ascii="Arial" w:cs="Arial" w:eastAsia="Arial" w:hAnsi="Arial"/>
          <w:sz w:val="18"/>
          <w:szCs w:val="18"/>
          <w:color w:val="auto"/>
        </w:rPr>
        <w:t>and not jointly, agree to indemnify and 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187" w:lineRule="exact"/>
        <w:rPr>
          <w:sz w:val="20"/>
          <w:szCs w:val="20"/>
          <w:color w:val="auto"/>
        </w:rPr>
      </w:pPr>
    </w:p>
    <w:p>
      <w:pPr>
        <w:ind w:left="4" w:right="20" w:hanging="4"/>
        <w:spacing w:after="0" w:line="288" w:lineRule="auto"/>
        <w:tabs>
          <w:tab w:leader="none" w:pos="35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preliminary prospectus, Issuer Free Writing Prospectus, the Prospectus, any Marketing Materials, any Written Testing-the-Waters Communication or the General Disclosure Package of a material fact necessary in order to make the statements therein, in the light of the circumstances under which they were made, not misleading;</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1" w:name="page32"/>
    <w:bookmarkEnd w:id="31"/>
    <w:p>
      <w:pPr>
        <w:ind w:left="4" w:right="160" w:hanging="4"/>
        <w:spacing w:after="0" w:line="259" w:lineRule="auto"/>
        <w:tabs>
          <w:tab w:leader="none" w:pos="404"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186" w:lineRule="exact"/>
        <w:rPr>
          <w:rFonts w:ascii="Arial" w:cs="Arial" w:eastAsia="Arial" w:hAnsi="Arial"/>
          <w:sz w:val="18"/>
          <w:szCs w:val="18"/>
          <w:color w:val="auto"/>
        </w:rPr>
      </w:pPr>
    </w:p>
    <w:p>
      <w:pPr>
        <w:ind w:left="4" w:hanging="4"/>
        <w:spacing w:after="0" w:line="289" w:lineRule="auto"/>
        <w:tabs>
          <w:tab w:leader="none" w:pos="45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reasonably incurred and documented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any preliminary prospectus, the General Disclosure Package or the Prospectus (or any amendment or supplement thereto) in reliance upon and in conformity with the Underwriter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66" w:lineRule="exact"/>
        <w:rPr>
          <w:sz w:val="20"/>
          <w:szCs w:val="20"/>
          <w:color w:val="auto"/>
        </w:rPr>
      </w:pPr>
    </w:p>
    <w:p>
      <w:pPr>
        <w:ind w:left="4" w:right="60" w:hanging="4"/>
        <w:spacing w:after="0" w:line="291" w:lineRule="auto"/>
        <w:tabs>
          <w:tab w:leader="none" w:pos="39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Officers, Adviser and Administrator</w:t>
      </w:r>
      <w:r>
        <w:rPr>
          <w:rFonts w:ascii="Arial" w:cs="Arial" w:eastAsia="Arial" w:hAnsi="Arial"/>
          <w:sz w:val="16"/>
          <w:szCs w:val="16"/>
          <w:color w:val="auto"/>
        </w:rPr>
        <w:t>. Each Underwriter, severally and not jointly, agrees to indemnify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the General Disclosure Package, any Issuer Free Writing Prospectus or the Prospectus (or any amendment or supplement thereto) in reliance upon and in conformity with the Underwriter Information.</w:t>
      </w:r>
    </w:p>
    <w:p>
      <w:pPr>
        <w:spacing w:after="0" w:line="166" w:lineRule="exact"/>
        <w:rPr>
          <w:rFonts w:ascii="Arial" w:cs="Arial" w:eastAsia="Arial" w:hAnsi="Arial"/>
          <w:sz w:val="16"/>
          <w:szCs w:val="16"/>
          <w:color w:val="auto"/>
        </w:rPr>
      </w:pPr>
    </w:p>
    <w:p>
      <w:pPr>
        <w:ind w:left="4" w:hanging="4"/>
        <w:spacing w:after="0" w:line="271" w:lineRule="auto"/>
        <w:tabs>
          <w:tab w:leader="none" w:pos="383"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as promptly as reasonably practicable to each indemnifying party of</w:t>
      </w:r>
      <w:r>
        <w:rPr>
          <w:rFonts w:ascii="Arial" w:cs="Arial" w:eastAsia="Arial" w:hAnsi="Arial"/>
          <w:sz w:val="17"/>
          <w:szCs w:val="17"/>
          <w:i w:val="1"/>
          <w:iCs w:val="1"/>
          <w:color w:val="auto"/>
        </w:rPr>
        <w:t xml:space="preserve"> </w:t>
      </w:r>
      <w:r>
        <w:rPr>
          <w:rFonts w:ascii="Arial" w:cs="Arial" w:eastAsia="Arial" w:hAnsi="Arial"/>
          <w:sz w:val="17"/>
          <w:szCs w:val="17"/>
          <w:color w:val="auto"/>
        </w:rPr>
        <w:t>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32" w:name="page33"/>
    <w:bookmarkEnd w:id="32"/>
    <w:p>
      <w:pPr>
        <w:ind w:left="4"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w:t>
      </w:r>
    </w:p>
    <w:p>
      <w:pPr>
        <w:spacing w:after="0" w:line="4" w:lineRule="exact"/>
        <w:rPr>
          <w:sz w:val="20"/>
          <w:szCs w:val="20"/>
          <w:color w:val="auto"/>
        </w:rPr>
      </w:pPr>
    </w:p>
    <w:p>
      <w:pPr>
        <w:ind w:left="224" w:hanging="224"/>
        <w:spacing w:after="0"/>
        <w:tabs>
          <w:tab w:leader="none" w:pos="224"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an unconditional release of each indemnified party from all liability arising out of such litigation, investigation, proceeding or claim and</w:t>
      </w:r>
    </w:p>
    <w:p>
      <w:pPr>
        <w:spacing w:after="0" w:line="20" w:lineRule="exact"/>
        <w:rPr>
          <w:rFonts w:ascii="Arial" w:cs="Arial" w:eastAsia="Arial" w:hAnsi="Arial"/>
          <w:sz w:val="17"/>
          <w:szCs w:val="17"/>
          <w:color w:val="auto"/>
        </w:rPr>
      </w:pPr>
    </w:p>
    <w:p>
      <w:pPr>
        <w:ind w:left="264" w:hanging="264"/>
        <w:spacing w:after="0"/>
        <w:tabs>
          <w:tab w:leader="none" w:pos="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211" w:lineRule="exact"/>
        <w:rPr>
          <w:sz w:val="20"/>
          <w:szCs w:val="20"/>
          <w:color w:val="auto"/>
        </w:rPr>
      </w:pPr>
    </w:p>
    <w:p>
      <w:pPr>
        <w:ind w:left="4" w:hanging="4"/>
        <w:spacing w:after="0" w:line="255" w:lineRule="auto"/>
        <w:tabs>
          <w:tab w:leader="none" w:pos="39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 reimburse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Underwriters,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Section 6(a).</w:t>
      </w:r>
    </w:p>
    <w:p>
      <w:pPr>
        <w:spacing w:after="0" w:line="185"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The relative benefits received by the Company, the Adviser and the Administrator,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3" w:name="page34"/>
    <w:bookmarkEnd w:id="33"/>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fault of the Company, the Adviser and the Administrator,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Underwriters and the parties’ relative intent, knowledge, access to information and opportunity to correct or prevent such statement or omission.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the Adviser, the Administrator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The Underwriters’ respective obligations to contribute pursuant to this Section 7 are several in proportion to the aggregate principal amount of Securities set forth opposite their respective names in Schedule A hereto and not joint.</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 w:name="page35"/>
    <w:bookmarkEnd w:id="34"/>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any of the Subsidiaries, the Adviser or the Administrator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292"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117" w:lineRule="exact"/>
        <w:rPr>
          <w:sz w:val="20"/>
          <w:szCs w:val="20"/>
          <w:color w:val="auto"/>
        </w:rPr>
      </w:pPr>
    </w:p>
    <w:p>
      <w:pPr>
        <w:ind w:left="4" w:hanging="4"/>
        <w:spacing w:after="0" w:line="268" w:lineRule="auto"/>
        <w:tabs>
          <w:tab w:leader="none" w:pos="38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 (i) if there</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in the judgment of the Representatives, since the time of execution of this Agreement or since the respective dates as of which information is given in the Registration Statement, the General Disclosure Package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the preliminary prospectus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(iii) if trading in any securities of the Company has been suspended or materially limited by the Commission or The New York Stock Exchange,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9" w:lineRule="exact"/>
        <w:rPr>
          <w:rFonts w:ascii="Arial" w:cs="Arial" w:eastAsia="Arial" w:hAnsi="Arial"/>
          <w:sz w:val="17"/>
          <w:szCs w:val="17"/>
          <w:color w:val="auto"/>
        </w:rPr>
      </w:pPr>
    </w:p>
    <w:p>
      <w:pPr>
        <w:jc w:val="center"/>
        <w:ind w:left="4" w:right="40" w:hanging="4"/>
        <w:spacing w:after="0" w:line="342" w:lineRule="auto"/>
        <w:tabs>
          <w:tab w:leader="none" w:pos="394"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provided in Section 4 hereof, provided that Sections 1, 6, 7, 8, 14, 15 and 16 shall survive such termination and remain in full force and effect.</w:t>
      </w:r>
    </w:p>
    <w:p>
      <w:pPr>
        <w:spacing w:after="0" w:line="124"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to purchase the Securities which it or they are obligated to purchase under this Agreement (the “Defaulted Securities”), the non-defaulting Underwriters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non-defaulting Underwriters shall not have completed such arrangements within such 24-hour period, then if the aggregate principal amount of Defaulted Securities does not exceed 10% of the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5" w:name="page36"/>
    <w:bookmarkEnd w:id="35"/>
    <w:p>
      <w:pPr>
        <w:ind w:left="4"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principal amount of Securities to be purchased, each of the non-defaulting Underwriters shall be obligated, severally and not jointly, to purchase the full amount thereof in the proportions that their respective underwriting obligations hereunder bear to the underwriting obligations of all non-defaulting Underwriters, or if the aggregate principal amount of Defaulted Securities exceeds 10% of the aggregate principal amount of Securities to be purchased, this Agreement shall terminate without liability on the part of any non-defaulting Underwriter.</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(i) the non-defaulting Underwriters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Raymond James &amp; Associates, Inc. at Raymond James &amp; Associates, Inc., 880 Carillon Parkway, St. Petersburg, Florida 33716, facsimile no. (901) 579-4891 and (727) 567-8750, Attention: Larry M. Herman, Managing Director/Financial Services Investment Banking and Thomas Donegan, General Counsel/Global Equities &amp; Investment Banking; Keefe, Bruyette &amp; Woods, Inc., 787 Seventh Avenue, Fourth Floor, New York, New York 10019 Facsimile: (212) 581-1592 Attention: Capital Markets; and Truist Securities, Inc., 3333 Peachtree Road NE, Atlanta, Georgia 30326 Facsimile: (404) 926-5027 Attention: Investment Grade Capital Markets, with a copy (which shall not constitute notice) to Proskauer Rose LLP at 1001 Pennsylvania Ave., NW, Suite 600 South, Washington, D.C. 20004, Attention: William Tuttle. Notices to the Company, the Adviser and the Administrator shall be directed to them at 590 Madison Avenue, 15th Floor, New York, NY 10022, facsimile no. (212) 905-1075, Attention: Arthur Penn.</w:t>
      </w:r>
    </w:p>
    <w:p>
      <w:pPr>
        <w:spacing w:after="0" w:line="18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the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w:t>
      </w:r>
    </w:p>
    <w:p>
      <w:pPr>
        <w:spacing w:after="0" w:line="1" w:lineRule="exact"/>
        <w:rPr>
          <w:sz w:val="20"/>
          <w:szCs w:val="20"/>
          <w:color w:val="auto"/>
        </w:rPr>
      </w:pPr>
    </w:p>
    <w:p>
      <w:pPr>
        <w:ind w:left="5424" w:right="2020" w:hanging="5424"/>
        <w:spacing w:after="0" w:line="433" w:lineRule="auto"/>
        <w:tabs>
          <w:tab w:leader="none" w:pos="2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Underwriters and their respective affiliates may be engaged in a broad range of transactions that involve interests that 32</w:t>
      </w:r>
    </w:p>
    <w:p>
      <w:pPr>
        <w:sectPr>
          <w:pgSz w:w="11900" w:h="16838" w:orient="portrait"/>
          <w:cols w:equalWidth="0" w:num="1">
            <w:col w:w="11004"/>
          </w:cols>
          <w:pgMar w:left="436" w:top="274" w:right="459" w:bottom="1440" w:gutter="0" w:footer="0" w:header="0"/>
        </w:sectPr>
      </w:pPr>
    </w:p>
    <w:bookmarkStart w:id="36" w:name="page37"/>
    <w:bookmarkEnd w:id="36"/>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each inure to the benefit of and be binding upon the Underwriters, the Company, the Adviser, the Administrator and their respective successors. Nothing expressed or mentioned in this Agreement is intended or shall be construed to give any person, firm or corporation, other than the Underwriters, the Company, the Adviser and the Administrator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the Adviser and the Administrator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Trial by Jury</w:t>
      </w:r>
      <w:r>
        <w:rPr>
          <w:rFonts w:ascii="Arial" w:cs="Arial" w:eastAsia="Arial" w:hAnsi="Arial"/>
          <w:sz w:val="17"/>
          <w:szCs w:val="17"/>
          <w:color w:val="auto"/>
        </w:rPr>
        <w:t>. The Company (on its behalf and, to the extent permitted by applicable law, on behalf of its stockholders and affiliates), the Adviser, the Administrator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7" w:name="page38"/>
    <w:bookmarkEnd w:id="37"/>
    <w:p>
      <w:pPr>
        <w:ind w:left="4"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33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117" w:lineRule="exact"/>
        <w:rPr>
          <w:sz w:val="20"/>
          <w:szCs w:val="20"/>
          <w:color w:val="auto"/>
        </w:rPr>
      </w:pPr>
    </w:p>
    <w:p>
      <w:pPr>
        <w:ind w:left="4" w:right="60" w:firstLine="436"/>
        <w:spacing w:after="0" w:line="259" w:lineRule="auto"/>
        <w:tabs>
          <w:tab w:leader="none" w:pos="8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4" w:right="20" w:firstLine="436"/>
        <w:spacing w:after="0" w:line="259" w:lineRule="auto"/>
        <w:tabs>
          <w:tab w:leader="none" w:pos="83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4" w:firstLine="436"/>
        <w:spacing w:after="0" w:line="285" w:lineRule="auto"/>
        <w:tabs>
          <w:tab w:leader="none" w:pos="824"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 purposes of this Section 20,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Company, the Adviser and the Administrator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  Managing Member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Larry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Larry Herman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Al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 Laufenberg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Nordlinger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Nordlinger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19"/>
          </w:cols>
          <w:pgMar w:left="440" w:top="274" w:right="1440" w:bottom="1440" w:gutter="0" w:footer="0" w:header="0"/>
        </w:sectPr>
      </w:pPr>
    </w:p>
    <w:bookmarkStart w:id="40" w:name="page41"/>
    <w:bookmarkEnd w:id="40"/>
    <w:p>
      <w:pPr>
        <w:ind w:left="492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184" w:hanging="184"/>
        <w:spacing w:after="0"/>
        <w:tabs>
          <w:tab w:leader="none" w:pos="1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initial offering price for the Securities shall be 99.443% of the aggregate principal amount thereof.</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Purchase Price for the Securities to be paid by the several Underwriters shall be 97.443% of the aggregate principal amount thereof.</w:t>
      </w:r>
    </w:p>
    <w:p>
      <w:pPr>
        <w:spacing w:after="0" w:line="254"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0" w:type="dxa"/>
            <w:vAlign w:val="bottom"/>
          </w:tcPr>
          <w:p>
            <w:pPr>
              <w:spacing w:after="0"/>
              <w:rPr>
                <w:sz w:val="1"/>
                <w:szCs w:val="1"/>
                <w:color w:val="auto"/>
              </w:rPr>
            </w:pPr>
          </w:p>
        </w:tc>
      </w:tr>
      <w:tr>
        <w:trPr>
          <w:trHeight w:val="158"/>
        </w:trPr>
        <w:tc>
          <w:tcPr>
            <w:tcW w:w="472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0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Raymond James &amp; Associates, Inc.</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Compass Point Research &amp; Trading, LLC</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150,000,000</w:t>
            </w:r>
          </w:p>
        </w:tc>
        <w:tc>
          <w:tcPr>
            <w:tcW w:w="0" w:type="dxa"/>
            <w:vAlign w:val="bottom"/>
          </w:tcPr>
          <w:p>
            <w:pPr>
              <w:spacing w:after="0"/>
              <w:rPr>
                <w:sz w:val="1"/>
                <w:szCs w:val="1"/>
                <w:color w:val="auto"/>
              </w:rPr>
            </w:pPr>
          </w:p>
        </w:tc>
      </w:tr>
    </w:tbl>
    <w:p>
      <w:pPr>
        <w:sectPr>
          <w:pgSz w:w="11900" w:h="16838" w:orient="portrait"/>
          <w:cols w:equalWidth="0" w:num="1">
            <w:col w:w="10023"/>
          </w:cols>
          <w:pgMar w:left="436" w:top="270" w:right="1440" w:bottom="1440" w:gutter="0" w:footer="0" w:header="0"/>
        </w:sectPr>
      </w:pPr>
    </w:p>
    <w:bookmarkStart w:id="41" w:name="page42"/>
    <w:bookmarkEnd w:id="41"/>
    <w:p>
      <w:pPr>
        <w:ind w:left="4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Investor Presentation (April 2021) for the quarter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Bloomberg “New Issue Announcement” filed with the Commission on April 14, 2021 pursuant to Rule 497(a) (as a Rule 482ad)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Bloomberg “New Issue Announcement” filed with the Commission on April 14, 2021 pursuant to Rule 497(a) (as a Rule 482ad)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Pricing Press Release filed with the Commission on April 14, 2021 pursuant to Rule 497(a) (as a Rule 482ad)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 sheet containing the terms of the Securities, substantially in the form of Annex A hereto.</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0" w:right="1440" w:bottom="1440" w:gutter="0" w:footer="0" w:header="0"/>
        </w:sectPr>
      </w:pPr>
    </w:p>
    <w:bookmarkStart w:id="42" w:name="page43"/>
    <w:bookmarkEnd w:id="42"/>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II, LLC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II LP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Alabama Holdings Inc.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Cascade Environmental Holdings, LLC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CI (GALLS) Prime Investment Holdings, LLC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ecoserve, LLC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Investment Holdings, LLC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PNNT New Gulf Resources, LLC (Delaware)</w:t>
      </w:r>
    </w:p>
    <w:p>
      <w:pPr>
        <w:sectPr>
          <w:pgSz w:w="11900" w:h="16838" w:orient="portrait"/>
          <w:cols w:equalWidth="0" w:num="1">
            <w:col w:w="10019"/>
          </w:cols>
          <w:pgMar w:left="440" w:top="27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April 14,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14, 2021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30,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333-230014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Notes due 2026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14, 2021</w:t>
      </w:r>
    </w:p>
    <w:p>
      <w:pPr>
        <w:spacing w:after="0" w:line="21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4.50% Notes due 2026 and should only be read together with the preliminary prospectus supplement dated April 14, 2021, together with the accompanying prospectus dated January 30,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8"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PennantPark Investment Corporation (“PNNT”)</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4.50% Notes due 2026</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Rating (Egan-Jones)*:</w:t>
      </w:r>
      <w:r>
        <w:rPr>
          <w:sz w:val="20"/>
          <w:szCs w:val="20"/>
          <w:color w:val="auto"/>
        </w:rPr>
        <w:tab/>
      </w:r>
      <w:r>
        <w:rPr>
          <w:rFonts w:ascii="Arial" w:cs="Arial" w:eastAsia="Arial" w:hAnsi="Arial"/>
          <w:sz w:val="17"/>
          <w:szCs w:val="17"/>
          <w:color w:val="auto"/>
        </w:rPr>
        <w:t>BBB</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Aggregate Principal Amount Offered:</w:t>
      </w:r>
      <w:r>
        <w:rPr>
          <w:sz w:val="20"/>
          <w:szCs w:val="20"/>
          <w:color w:val="auto"/>
        </w:rPr>
        <w:tab/>
      </w:r>
      <w:r>
        <w:rPr>
          <w:rFonts w:ascii="Arial" w:cs="Arial" w:eastAsia="Arial" w:hAnsi="Arial"/>
          <w:sz w:val="16"/>
          <w:szCs w:val="16"/>
          <w:color w:val="auto"/>
        </w:rPr>
        <w:t>$150,000,000</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May 1, 2026</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7"/>
          <w:szCs w:val="17"/>
          <w:color w:val="auto"/>
        </w:rPr>
        <w:t>April 14, 2021</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7"/>
          <w:szCs w:val="17"/>
          <w:color w:val="auto"/>
        </w:rPr>
        <w:t>April 21, 2021 (T+5)</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PNNT expects to use the net proceeds from this offering to reduce outstanding obligations under its</w:t>
      </w:r>
    </w:p>
    <w:p>
      <w:pPr>
        <w:spacing w:after="0" w:line="23" w:lineRule="exact"/>
        <w:rPr>
          <w:sz w:val="20"/>
          <w:szCs w:val="20"/>
          <w:color w:val="auto"/>
        </w:rPr>
      </w:pPr>
    </w:p>
    <w:p>
      <w:pPr>
        <w:ind w:left="3640" w:right="160"/>
        <w:spacing w:after="0" w:line="260" w:lineRule="auto"/>
        <w:rPr>
          <w:sz w:val="20"/>
          <w:szCs w:val="20"/>
          <w:color w:val="auto"/>
        </w:rPr>
      </w:pPr>
      <w:r>
        <w:rPr>
          <w:rFonts w:ascii="Arial" w:cs="Arial" w:eastAsia="Arial" w:hAnsi="Arial"/>
          <w:sz w:val="18"/>
          <w:szCs w:val="18"/>
          <w:color w:val="auto"/>
        </w:rPr>
        <w:t>multi-currency, senior secured revolving credit facility with Truist Bank, to invest in new or existing portfolio companies or for other general corporate or strategic purposes.</w:t>
      </w:r>
    </w:p>
    <w:p>
      <w:pPr>
        <w:sectPr>
          <w:pgSz w:w="11900" w:h="16838" w:orient="portrait"/>
          <w:cols w:equalWidth="0" w:num="1">
            <w:col w:w="11020"/>
          </w:cols>
          <w:pgMar w:left="440" w:top="270" w:right="4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Notes will be issued at a price of 99.443% of their principal amount, plus accrued interest, if any, from April 21, 2021</w:t>
      </w:r>
    </w:p>
    <w:p>
      <w:pPr>
        <w:spacing w:after="0" w:line="62" w:lineRule="exact"/>
        <w:rPr>
          <w:sz w:val="20"/>
          <w:szCs w:val="20"/>
          <w:color w:val="auto"/>
        </w:rPr>
      </w:pPr>
    </w:p>
    <w:p>
      <w:pPr>
        <w:sectPr>
          <w:pgSz w:w="11900" w:h="16838" w:orient="portrait"/>
          <w:cols w:equalWidth="0" w:num="2">
            <w:col w:w="2920" w:space="720"/>
            <w:col w:w="7380"/>
          </w:cols>
          <w:pgMar w:left="440" w:top="270" w:right="439" w:bottom="1440" w:gutter="0" w:footer="0" w:header="0"/>
          <w:type w:val="continuous"/>
        </w:sectPr>
      </w:pPr>
    </w:p>
    <w:p>
      <w:pPr>
        <w:spacing w:after="0"/>
        <w:tabs>
          <w:tab w:leader="none" w:pos="362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6"/>
          <w:szCs w:val="16"/>
          <w:color w:val="auto"/>
        </w:rPr>
        <w:t>0.75% due March 31, 2026</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Benchmark Treasury Price and Yield:</w:t>
      </w:r>
      <w:r>
        <w:rPr>
          <w:sz w:val="20"/>
          <w:szCs w:val="20"/>
          <w:color w:val="auto"/>
        </w:rPr>
        <w:tab/>
      </w:r>
      <w:r>
        <w:rPr>
          <w:rFonts w:ascii="Arial" w:cs="Arial" w:eastAsia="Arial" w:hAnsi="Arial"/>
          <w:sz w:val="16"/>
          <w:szCs w:val="16"/>
          <w:color w:val="auto"/>
        </w:rPr>
        <w:t>99-15+/ 0.856%</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6"/>
          <w:szCs w:val="16"/>
          <w:color w:val="auto"/>
        </w:rPr>
        <w:t>+377 basis points</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Yield to Maturity:</w:t>
      </w:r>
      <w:r>
        <w:rPr>
          <w:sz w:val="20"/>
          <w:szCs w:val="20"/>
          <w:color w:val="auto"/>
        </w:rPr>
        <w:tab/>
      </w:r>
      <w:r>
        <w:rPr>
          <w:rFonts w:ascii="Arial" w:cs="Arial" w:eastAsia="Arial" w:hAnsi="Arial"/>
          <w:sz w:val="16"/>
          <w:szCs w:val="16"/>
          <w:color w:val="auto"/>
        </w:rPr>
        <w:t>4.625%</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Coupon (Interest Rate):</w:t>
      </w:r>
      <w:r>
        <w:rPr>
          <w:sz w:val="20"/>
          <w:szCs w:val="20"/>
          <w:color w:val="auto"/>
        </w:rPr>
        <w:tab/>
      </w:r>
      <w:r>
        <w:rPr>
          <w:rFonts w:ascii="Arial" w:cs="Arial" w:eastAsia="Arial" w:hAnsi="Arial"/>
          <w:sz w:val="16"/>
          <w:szCs w:val="16"/>
          <w:color w:val="auto"/>
        </w:rPr>
        <w:t>4.50%</w:t>
      </w:r>
    </w:p>
    <w:p>
      <w:pPr>
        <w:spacing w:after="0" w:line="117"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May 1 and November 1, commencing November 1, 2021</w:t>
      </w:r>
    </w:p>
    <w:p>
      <w:pPr>
        <w:sectPr>
          <w:pgSz w:w="11900" w:h="16838" w:orient="portrait"/>
          <w:cols w:equalWidth="0" w:num="1">
            <w:col w:w="11020"/>
          </w:cols>
          <w:pgMar w:left="440" w:top="270" w:right="439" w:bottom="1440" w:gutter="0" w:footer="0" w:header="0"/>
          <w:type w:val="continuous"/>
        </w:sectPr>
      </w:pPr>
    </w:p>
    <w:bookmarkStart w:id="44" w:name="page45"/>
    <w:bookmarkEnd w:id="44"/>
    <w:p>
      <w:pPr>
        <w:ind w:left="4"/>
        <w:spacing w:after="0" w:line="277" w:lineRule="auto"/>
        <w:rPr>
          <w:sz w:val="20"/>
          <w:szCs w:val="20"/>
          <w:color w:val="auto"/>
        </w:rPr>
      </w:pPr>
      <w:r>
        <w:rPr>
          <w:rFonts w:ascii="Arial" w:cs="Arial" w:eastAsia="Arial" w:hAnsi="Arial"/>
          <w:sz w:val="18"/>
          <w:szCs w:val="18"/>
          <w:color w:val="auto"/>
        </w:rPr>
        <w:t>Offer to Purchase upon a Change of Control Repurchase Event</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If a Change of Control Repurchase Event (as defined in the Preliminary Prospectus) occurs prior to maturity, unless PNNT has exercised its right to redeem the Notes in full, holders of the Notes will have the right, at their option, to require PNNT to repurchase for cash some or all of the Notes at a repurchase price equal to 100% of the principal amount of the Notes being repurchased, plus accrued and unpaid interest to, but not including,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-932815</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184" w:space="460"/>
            <w:col w:w="7380"/>
          </w:cols>
          <w:pgMar w:left="436" w:top="490" w:right="439" w:bottom="1440" w:gutter="0" w:footer="0" w:header="0"/>
        </w:sectPr>
      </w:pPr>
    </w:p>
    <w:p>
      <w:pPr>
        <w:ind w:left="4"/>
        <w:spacing w:after="0"/>
        <w:tabs>
          <w:tab w:leader="none" w:pos="3624" w:val="left"/>
        </w:tabs>
        <w:rPr>
          <w:sz w:val="20"/>
          <w:szCs w:val="20"/>
          <w:color w:val="auto"/>
        </w:rPr>
      </w:pPr>
      <w:r>
        <w:rPr>
          <w:rFonts w:ascii="Arial" w:cs="Arial" w:eastAsia="Arial" w:hAnsi="Arial"/>
          <w:sz w:val="18"/>
          <w:szCs w:val="18"/>
          <w:color w:val="auto"/>
        </w:rPr>
        <w:t>Make-Whole Redemption:</w:t>
      </w:r>
      <w:r>
        <w:rPr>
          <w:sz w:val="20"/>
          <w:szCs w:val="20"/>
          <w:color w:val="auto"/>
        </w:rPr>
        <w:tab/>
      </w:r>
      <w:r>
        <w:rPr>
          <w:rFonts w:ascii="Arial" w:cs="Arial" w:eastAsia="Arial" w:hAnsi="Arial"/>
          <w:sz w:val="16"/>
          <w:szCs w:val="16"/>
          <w:color w:val="auto"/>
        </w:rPr>
        <w:t>Equal to the greater of the following amounts:</w:t>
      </w:r>
    </w:p>
    <w:p>
      <w:pPr>
        <w:spacing w:after="0" w:line="131" w:lineRule="exact"/>
        <w:rPr>
          <w:sz w:val="20"/>
          <w:szCs w:val="20"/>
          <w:color w:val="auto"/>
        </w:rPr>
      </w:pPr>
    </w:p>
    <w:p>
      <w:pPr>
        <w:ind w:left="3744"/>
        <w:spacing w:after="0"/>
        <w:tabs>
          <w:tab w:leader="none" w:pos="3964" w:val="left"/>
        </w:tabs>
        <w:rPr>
          <w:sz w:val="20"/>
          <w:szCs w:val="20"/>
          <w:color w:val="auto"/>
        </w:rPr>
      </w:pPr>
      <w:r>
        <w:rPr>
          <w:rFonts w:ascii="Arial" w:cs="Arial" w:eastAsia="Arial" w:hAnsi="Arial"/>
          <w:sz w:val="18"/>
          <w:szCs w:val="18"/>
          <w:color w:val="auto"/>
        </w:rPr>
        <w:t>•</w:t>
        <w:tab/>
        <w:t>100% of the principal amount of the Notes to be redeemed, or</w:t>
      </w:r>
    </w:p>
    <w:p>
      <w:pPr>
        <w:spacing w:after="0" w:line="131" w:lineRule="exact"/>
        <w:rPr>
          <w:sz w:val="20"/>
          <w:szCs w:val="20"/>
          <w:color w:val="auto"/>
        </w:rPr>
      </w:pPr>
    </w:p>
    <w:p>
      <w:pPr>
        <w:ind w:left="3744"/>
        <w:spacing w:after="0"/>
        <w:tabs>
          <w:tab w:leader="none" w:pos="3964" w:val="left"/>
        </w:tabs>
        <w:rPr>
          <w:sz w:val="20"/>
          <w:szCs w:val="20"/>
          <w:color w:val="auto"/>
        </w:rPr>
      </w:pPr>
      <w:r>
        <w:rPr>
          <w:rFonts w:ascii="Arial" w:cs="Arial" w:eastAsia="Arial" w:hAnsi="Arial"/>
          <w:sz w:val="17"/>
          <w:szCs w:val="17"/>
          <w:color w:val="auto"/>
        </w:rPr>
        <w:t>•</w:t>
        <w:tab/>
        <w:t>the sum of the present values of the remaining scheduled payments of principal and interest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(exclusive of accrued and unpaid interest to the date of redemption) on the Notes to be redeemed,</w:t>
      </w:r>
    </w:p>
    <w:p>
      <w:pPr>
        <w:spacing w:after="0" w:line="9" w:lineRule="exact"/>
        <w:rPr>
          <w:sz w:val="20"/>
          <w:szCs w:val="20"/>
          <w:color w:val="auto"/>
        </w:rPr>
      </w:pPr>
    </w:p>
    <w:p>
      <w:pPr>
        <w:ind w:left="4004"/>
        <w:spacing w:after="0"/>
        <w:rPr>
          <w:sz w:val="20"/>
          <w:szCs w:val="20"/>
          <w:color w:val="auto"/>
        </w:rPr>
      </w:pPr>
      <w:r>
        <w:rPr>
          <w:rFonts w:ascii="Arial" w:cs="Arial" w:eastAsia="Arial" w:hAnsi="Arial"/>
          <w:sz w:val="16"/>
          <w:szCs w:val="16"/>
          <w:color w:val="auto"/>
        </w:rPr>
        <w:t>discounted to the redemption date on a semi-annual basis (assuming a 360-day year consisting of</w:t>
      </w:r>
    </w:p>
    <w:p>
      <w:pPr>
        <w:spacing w:after="0" w:line="32" w:lineRule="exact"/>
        <w:rPr>
          <w:sz w:val="20"/>
          <w:szCs w:val="20"/>
          <w:color w:val="auto"/>
        </w:rPr>
      </w:pPr>
    </w:p>
    <w:p>
      <w:pPr>
        <w:ind w:left="4004"/>
        <w:spacing w:after="0"/>
        <w:rPr>
          <w:sz w:val="20"/>
          <w:szCs w:val="20"/>
          <w:color w:val="auto"/>
        </w:rPr>
      </w:pPr>
      <w:r>
        <w:rPr>
          <w:rFonts w:ascii="Arial" w:cs="Arial" w:eastAsia="Arial" w:hAnsi="Arial"/>
          <w:sz w:val="18"/>
          <w:szCs w:val="18"/>
          <w:color w:val="auto"/>
        </w:rPr>
        <w:t>twelve 30-day months) using the applicable Treasury Rate plus 50 basis points,</w:t>
      </w:r>
    </w:p>
    <w:p>
      <w:pPr>
        <w:spacing w:after="0" w:line="116" w:lineRule="exact"/>
        <w:rPr>
          <w:sz w:val="20"/>
          <w:szCs w:val="20"/>
          <w:color w:val="auto"/>
        </w:rPr>
      </w:pPr>
    </w:p>
    <w:p>
      <w:pPr>
        <w:ind w:left="3644" w:right="100"/>
        <w:spacing w:after="0" w:line="257" w:lineRule="auto"/>
        <w:rPr>
          <w:sz w:val="20"/>
          <w:szCs w:val="20"/>
          <w:color w:val="auto"/>
        </w:rPr>
      </w:pPr>
      <w:r>
        <w:rPr>
          <w:rFonts w:ascii="Arial" w:cs="Arial" w:eastAsia="Arial" w:hAnsi="Arial"/>
          <w:sz w:val="18"/>
          <w:szCs w:val="18"/>
          <w:color w:val="auto"/>
        </w:rPr>
        <w:t xml:space="preserve">plus, in each case, accrued and unpaid interest to the redemption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PNNT redeems any Notes on or after February 1, 2026 (the date falling three months prior to the maturity date of the Notes), the redemption price for the Notes will be equal to 100% of the principal amount of the Notes to be redeemed, plus accrued and unpaid interest, if any, to, but excluding, the date of redemption</w:t>
      </w:r>
    </w:p>
    <w:p>
      <w:pPr>
        <w:spacing w:after="0" w:line="93"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Denomination:</w:t>
      </w:r>
      <w:r>
        <w:rPr>
          <w:sz w:val="20"/>
          <w:szCs w:val="20"/>
          <w:color w:val="auto"/>
        </w:rPr>
        <w:tab/>
      </w: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708062 AC8</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ISIN:</w:t>
      </w:r>
      <w:r>
        <w:rPr>
          <w:sz w:val="20"/>
          <w:szCs w:val="20"/>
          <w:color w:val="auto"/>
        </w:rPr>
        <w:tab/>
      </w:r>
      <w:r>
        <w:rPr>
          <w:rFonts w:ascii="Arial" w:cs="Arial" w:eastAsia="Arial" w:hAnsi="Arial"/>
          <w:sz w:val="18"/>
          <w:szCs w:val="18"/>
          <w:color w:val="auto"/>
        </w:rPr>
        <w:t>US708062AC82</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Underwriting Discount</w:t>
      </w:r>
      <w:r>
        <w:rPr>
          <w:sz w:val="20"/>
          <w:szCs w:val="20"/>
          <w:color w:val="auto"/>
        </w:rPr>
        <w:tab/>
      </w:r>
      <w:r>
        <w:rPr>
          <w:rFonts w:ascii="Arial" w:cs="Arial" w:eastAsia="Arial" w:hAnsi="Arial"/>
          <w:sz w:val="16"/>
          <w:szCs w:val="16"/>
          <w:color w:val="auto"/>
        </w:rPr>
        <w:t>2.00%</w:t>
      </w:r>
    </w:p>
    <w:p>
      <w:pPr>
        <w:spacing w:after="0" w:line="117"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Raymond James &amp; Associates, Inc.</w:t>
      </w:r>
    </w:p>
    <w:p>
      <w:pPr>
        <w:spacing w:after="0" w:line="23"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J.P. Morgan Securities LLC</w:t>
      </w:r>
    </w:p>
    <w:p>
      <w:pPr>
        <w:spacing w:after="0" w:line="116" w:lineRule="exact"/>
        <w:rPr>
          <w:sz w:val="20"/>
          <w:szCs w:val="20"/>
          <w:color w:val="auto"/>
        </w:rPr>
      </w:pPr>
    </w:p>
    <w:p>
      <w:pPr>
        <w:ind w:left="4"/>
        <w:spacing w:after="0"/>
        <w:tabs>
          <w:tab w:leader="none" w:pos="3624"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Compass Point Research &amp; Trading, LLC</w:t>
      </w:r>
    </w:p>
    <w:p>
      <w:pPr>
        <w:spacing w:after="0" w:line="23"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Capital One Securities, Inc.</w:t>
      </w:r>
    </w:p>
    <w:p>
      <w:pPr>
        <w:spacing w:after="0" w:line="251"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ind w:left="424" w:right="20" w:hanging="424"/>
        <w:spacing w:after="0" w:line="270"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PNNT expects that delivery of the Notes will be made to investors on or about April 21, 2021, which will be the fifth business day following the date of pricing of the notes (such settlement cycle being herein referred to as “T+5”). Under Rule 15c6-1 under the Securities Exchange Act of 1934, as amended, trades in the secondary market generally are required to settle in two business days, unless the parties to any such trade expressly agree otherwise. Accordingly, purchasers who wish to trade notes on any date prior to the second business day before delivery, by virtue of the fact that the notes initially will settle T+5, to specify an alternate settlement cycle at the time of any such trade to prevent a failed settlement. Purchasers of notes who wish to trade notes prior to their date of delivery should consult their own advisor.</w:t>
      </w:r>
    </w:p>
    <w:p>
      <w:pPr>
        <w:spacing w:after="0" w:line="174" w:lineRule="exact"/>
        <w:rPr>
          <w:sz w:val="20"/>
          <w:szCs w:val="20"/>
          <w:color w:val="auto"/>
        </w:rPr>
      </w:pPr>
    </w:p>
    <w:p>
      <w:pPr>
        <w:ind w:left="4" w:right="14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PNNT before investing. The preliminary prospectus supplement, dated April 14, 2021, and the accompanying prospectus, dated January 30, 2020, each of which has been filed with the Securities and Exchange Commission (the “SEC”), contain this and other information about PNNT and should be read carefully before investing.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490" w:right="439" w:bottom="1440" w:gutter="0" w:footer="0" w:header="0"/>
          <w:type w:val="continuous"/>
        </w:sectPr>
      </w:pPr>
    </w:p>
    <w:bookmarkStart w:id="45" w:name="page46"/>
    <w:bookmarkEnd w:id="45"/>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in the Preliminary Prospectus and in this pricing term sheet is not complete and may be changed. The Preliminary Prospectus and this pricing term sheet are not offers to sell any securities of PNNT and are not soliciting an offer to buy such securities in any state or jurisdiction where such offer and sale is not permitted.</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PNNT’s shelf registration statement is on file and has been declared effective by the SEC. The offering may be made only by means of a preliminary prospectus supplement and an accompanying prospectus. Before you invest, you should read the preliminary prospectus supplement, dated April 14, 2021, the accompanying prospectus dated, January 30, 2020 and other documents PNNT has filed with the SEC for more complete information about PNNT and this offering. You may obtain these documents for free by visiting EDGAR on the SEC web 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Alternatively, PNNT, any underwriter or any dealer participating in the offering will arrange to send you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supplement and accompanying prospectus if you request it from any of the following: Raymond James &amp; Associates, Inc., 880 Carillon Parkway, St. Petersburg, FL 33716, email: prospectus@raymondjames.com, telephone: 800-248-8863; Keefe, Bruyette &amp; Woods, </w:t>
      </w:r>
      <w:r>
        <w:rPr>
          <w:rFonts w:ascii="Arial" w:cs="Arial" w:eastAsia="Arial" w:hAnsi="Arial"/>
          <w:sz w:val="16"/>
          <w:szCs w:val="16"/>
          <w:b w:val="1"/>
          <w:bCs w:val="1"/>
          <w:i w:val="1"/>
          <w:iCs w:val="1"/>
          <w:color w:val="auto"/>
        </w:rPr>
        <w:t>A Stifel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Attn: Prospectus Department, 787 Seventh Avenue, Fourth Floor, New York, NY 10019, telephone: 1-800-966-1559, facsimile: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1-212-581-1592 or email: USCapitalMarkets@kbw.com; and Truist Securities Inc., Attn: Prospectus Department, 303 Peachtree Road, Atlanta,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 30308, telephone: 1-800-685-4786 or email: TSIDocs@Truist.com.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1"/>
    </w:lvl>
  </w:abstractNum>
  <w:abstractNum w:abstractNumId="2">
    <w:nsid w:val="2CA88611"/>
    <w:multiLevelType w:val="hybridMultilevel"/>
    <w:lvl w:ilvl="0">
      <w:lvlJc w:val="left"/>
      <w:lvlText w:val="%1"/>
      <w:numFmt w:val="lowerLetter"/>
      <w:start w:val="1"/>
    </w:lvl>
    <w:lvl w:ilvl="1">
      <w:lvlJc w:val="left"/>
      <w:lvlText w:val="(%2)"/>
      <w:numFmt w:val="lowerLetter"/>
      <w:start w:val="1"/>
    </w:lvl>
  </w:abstractNum>
  <w:abstractNum w:abstractNumId="3">
    <w:nsid w:val="836C40E"/>
    <w:multiLevelType w:val="hybridMultilevel"/>
    <w:lvl w:ilvl="0">
      <w:lvlJc w:val="left"/>
      <w:lvlText w:val="(%1)"/>
      <w:numFmt w:val="lowerLetter"/>
      <w:start w:val="9"/>
    </w:lvl>
    <w:lvl w:ilvl="1">
      <w:lvlJc w:val="left"/>
      <w:lvlText w:val="%2"/>
      <w:numFmt w:val="lowerLetter"/>
      <w:start w:val="1"/>
    </w:lvl>
  </w:abstractNum>
  <w:abstractNum w:abstractNumId="4">
    <w:nsid w:val="2901D82"/>
    <w:multiLevelType w:val="hybridMultilevel"/>
    <w:lvl w:ilvl="0">
      <w:lvlJc w:val="left"/>
      <w:lvlText w:val="(%1)"/>
      <w:numFmt w:val="lowerRoman"/>
      <w:start w:val="2"/>
    </w:lvl>
  </w:abstractNum>
  <w:abstractNum w:abstractNumId="5">
    <w:nsid w:val="3A95F874"/>
    <w:multiLevelType w:val="hybridMultilevel"/>
    <w:lvl w:ilvl="0">
      <w:lvlJc w:val="left"/>
      <w:lvlText w:val="(%1)"/>
      <w:numFmt w:val="lowerRoman"/>
      <w:start w:val="3"/>
    </w:lvl>
  </w:abstractNum>
  <w:abstractNum w:abstractNumId="6">
    <w:nsid w:val="8138641"/>
    <w:multiLevelType w:val="hybridMultilevel"/>
    <w:lvl w:ilvl="0">
      <w:lvlJc w:val="left"/>
      <w:lvlText w:val="(%1)"/>
      <w:numFmt w:val="lowerRoman"/>
      <w:start w:val="5"/>
    </w:lvl>
  </w:abstractNum>
  <w:abstractNum w:abstractNumId="7">
    <w:nsid w:val="1E7FF521"/>
    <w:multiLevelType w:val="hybridMultilevel"/>
    <w:lvl w:ilvl="0">
      <w:lvlJc w:val="left"/>
      <w:lvlText w:val="(%1)"/>
      <w:numFmt w:val="lowerRoman"/>
      <w:start w:val="6"/>
    </w:lvl>
  </w:abstractNum>
  <w:abstractNum w:abstractNumId="8">
    <w:nsid w:val="7C3DBD3D"/>
    <w:multiLevelType w:val="hybridMultilevel"/>
    <w:lvl w:ilvl="0">
      <w:lvlJc w:val="left"/>
      <w:lvlText w:val="(%1)"/>
      <w:numFmt w:val="lowerRoman"/>
      <w:start w:val="10"/>
    </w:lvl>
  </w:abstractNum>
  <w:abstractNum w:abstractNumId="9">
    <w:nsid w:val="737B8DDC"/>
    <w:multiLevelType w:val="hybridMultilevel"/>
    <w:lvl w:ilvl="0">
      <w:lvlJc w:val="left"/>
      <w:lvlText w:val="(%1)"/>
      <w:numFmt w:val="lowerRoman"/>
      <w:start w:val="13"/>
    </w:lvl>
    <w:lvl w:ilvl="1">
      <w:lvlJc w:val="left"/>
      <w:lvlText w:val="(%2)"/>
      <w:numFmt w:val="lowerLetter"/>
      <w:start w:val="1"/>
    </w:lvl>
    <w:lvl w:ilvl="2">
      <w:lvlJc w:val="left"/>
      <w:lvlText w:val="(%3)"/>
      <w:numFmt w:val="lowerRoman"/>
      <w:start w:val="1"/>
    </w:lvl>
  </w:abstractNum>
  <w:abstractNum w:abstractNumId="10">
    <w:nsid w:val="6CEAF087"/>
    <w:multiLevelType w:val="hybridMultilevel"/>
    <w:lvl w:ilvl="0">
      <w:lvlJc w:val="left"/>
      <w:lvlText w:val="(%1)"/>
      <w:numFmt w:val="lowerRoman"/>
      <w:start w:val="15"/>
    </w:lvl>
  </w:abstractNum>
  <w:abstractNum w:abstractNumId="11">
    <w:nsid w:val="22221A70"/>
    <w:multiLevelType w:val="hybridMultilevel"/>
    <w:lvl w:ilvl="0">
      <w:lvlJc w:val="left"/>
      <w:lvlText w:val="(%1)"/>
      <w:numFmt w:val="lowerRoman"/>
      <w:start w:val="18"/>
    </w:lvl>
  </w:abstractNum>
  <w:abstractNum w:abstractNumId="12">
    <w:nsid w:val="4516DDE9"/>
    <w:multiLevelType w:val="hybridMultilevel"/>
    <w:lvl w:ilvl="0">
      <w:lvlJc w:val="left"/>
      <w:lvlText w:val="(%1)"/>
      <w:numFmt w:val="lowerRoman"/>
      <w:start w:val="22"/>
    </w:lvl>
  </w:abstractNum>
  <w:abstractNum w:abstractNumId="13">
    <w:nsid w:val="3006C83E"/>
    <w:multiLevelType w:val="hybridMultilevel"/>
    <w:lvl w:ilvl="0">
      <w:lvlJc w:val="left"/>
      <w:lvlText w:val="(%1)"/>
      <w:numFmt w:val="lowerRoman"/>
      <w:start w:val="26"/>
    </w:lvl>
  </w:abstractNum>
  <w:abstractNum w:abstractNumId="14">
    <w:nsid w:val="614FD4A1"/>
    <w:multiLevelType w:val="hybridMultilevel"/>
    <w:lvl w:ilvl="0">
      <w:lvlJc w:val="left"/>
      <w:lvlText w:val="(%1)"/>
      <w:numFmt w:val="lowerRoman"/>
      <w:start w:val="30"/>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lowerRoman"/>
      <w:start w:val="33"/>
    </w:lvl>
  </w:abstractNum>
  <w:abstractNum w:abstractNumId="17">
    <w:nsid w:val="440BADFC"/>
    <w:multiLevelType w:val="hybridMultilevel"/>
    <w:lvl w:ilvl="0">
      <w:lvlJc w:val="left"/>
      <w:lvlText w:val="(%1)"/>
      <w:numFmt w:val="lowerRoman"/>
      <w:start w:val="35"/>
    </w:lvl>
  </w:abstractNum>
  <w:abstractNum w:abstractNumId="18">
    <w:nsid w:val="5072367"/>
    <w:multiLevelType w:val="hybridMultilevel"/>
    <w:lvl w:ilvl="0">
      <w:lvlJc w:val="left"/>
      <w:lvlText w:val="(%1)"/>
      <w:numFmt w:val="lowerLetter"/>
      <w:start w:val="2"/>
    </w:lvl>
  </w:abstractNum>
  <w:abstractNum w:abstractNumId="19">
    <w:nsid w:val="3804823E"/>
    <w:multiLevelType w:val="hybridMultilevel"/>
    <w:lvl w:ilvl="0">
      <w:lvlJc w:val="left"/>
      <w:lvlText w:val="(%1)"/>
      <w:numFmt w:val="lowerRoman"/>
      <w:start w:val="1"/>
    </w:lvl>
  </w:abstractNum>
  <w:abstractNum w:abstractNumId="20">
    <w:nsid w:val="77465F01"/>
    <w:multiLevelType w:val="hybridMultilevel"/>
    <w:lvl w:ilvl="0">
      <w:lvlJc w:val="left"/>
      <w:lvlText w:val="(%1)"/>
      <w:numFmt w:val="lowerRoman"/>
      <w:start w:val="5"/>
    </w:lvl>
  </w:abstractNum>
  <w:abstractNum w:abstractNumId="21">
    <w:nsid w:val="7724C67E"/>
    <w:multiLevelType w:val="hybridMultilevel"/>
    <w:lvl w:ilvl="0">
      <w:lvlJc w:val="left"/>
      <w:lvlText w:val="(%1)"/>
      <w:numFmt w:val="lowerRoman"/>
      <w:start w:val="9"/>
    </w:lvl>
  </w:abstractNum>
  <w:abstractNum w:abstractNumId="22">
    <w:nsid w:val="5C482A97"/>
    <w:multiLevelType w:val="hybridMultilevel"/>
    <w:lvl w:ilvl="0">
      <w:lvlJc w:val="left"/>
      <w:lvlText w:val="(%1)"/>
      <w:numFmt w:val="lowerRoman"/>
      <w:start w:val="13"/>
    </w:lvl>
  </w:abstractNum>
  <w:abstractNum w:abstractNumId="23">
    <w:nsid w:val="2463B9EA"/>
    <w:multiLevelType w:val="hybridMultilevel"/>
    <w:lvl w:ilvl="0">
      <w:lvlJc w:val="left"/>
      <w:lvlText w:val="(%1)"/>
      <w:numFmt w:val="lowerRoman"/>
      <w:start w:val="17"/>
    </w:lvl>
  </w:abstractNum>
  <w:abstractNum w:abstractNumId="24">
    <w:nsid w:val="5E884ADC"/>
    <w:multiLevelType w:val="hybridMultilevel"/>
    <w:lvl w:ilvl="0">
      <w:lvlJc w:val="left"/>
      <w:lvlText w:val="(%1)"/>
      <w:numFmt w:val="lowerLetter"/>
      <w:start w:val="3"/>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3"/>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1)"/>
      <w:numFmt w:val="lowerLetter"/>
      <w:start w:val="5"/>
    </w:lvl>
  </w:abstractNum>
  <w:abstractNum w:abstractNumId="30">
    <w:nsid w:val="70A64E2A"/>
    <w:multiLevelType w:val="hybridMultilevel"/>
    <w:lvl w:ilvl="0">
      <w:lvlJc w:val="left"/>
      <w:lvlText w:val="(%1)"/>
      <w:numFmt w:val="lowerLetter"/>
      <w:start w:val="10"/>
    </w:lvl>
  </w:abstractNum>
  <w:abstractNum w:abstractNumId="31">
    <w:nsid w:val="6A2342EC"/>
    <w:multiLevelType w:val="hybridMultilevel"/>
    <w:lvl w:ilvl="0">
      <w:lvlJc w:val="left"/>
      <w:lvlText w:val="(%1)"/>
      <w:numFmt w:val="lowerLetter"/>
      <w:start w:val="16"/>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9"/>
    </w:lvl>
  </w:abstractNum>
  <w:abstractNum w:abstractNumId="34">
    <w:nsid w:val="725A06FB"/>
    <w:multiLevelType w:val="hybridMultilevel"/>
    <w:lvl w:ilvl="0">
      <w:lvlJc w:val="left"/>
      <w:lvlText w:val="(%1)"/>
      <w:numFmt w:val="lowerLetter"/>
      <w:start w:val="2"/>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Roman"/>
      <w:start w:val="1"/>
    </w:lvl>
  </w:abstractNum>
  <w:abstractNum w:abstractNumId="37">
    <w:nsid w:val="7A6D8D3C"/>
    <w:multiLevelType w:val="hybridMultilevel"/>
    <w:lvl w:ilvl="0">
      <w:lvlJc w:val="left"/>
      <w:lvlText w:val="(%1)"/>
      <w:numFmt w:val="lowerRoman"/>
      <w:start w:val="2"/>
    </w:lvl>
  </w:abstractNum>
  <w:abstractNum w:abstractNumId="38">
    <w:nsid w:val="4B588F54"/>
    <w:multiLevelType w:val="hybridMultilevel"/>
    <w:lvl w:ilvl="0">
      <w:lvlJc w:val="left"/>
      <w:lvlText w:val="(%1)"/>
      <w:numFmt w:val="lowerLetter"/>
      <w:start w:val="5"/>
    </w:lvl>
  </w:abstractNum>
  <w:abstractNum w:abstractNumId="39">
    <w:nsid w:val="542289EC"/>
    <w:multiLevelType w:val="hybridMultilevel"/>
    <w:lvl w:ilvl="0">
      <w:lvlJc w:val="left"/>
      <w:lvlText w:val="(%1)"/>
      <w:numFmt w:val="lowerLetter"/>
      <w:start w:val="9"/>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1)"/>
      <w:numFmt w:val="lowerRoman"/>
      <w:start w:val="2"/>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lowerRoman"/>
      <w:start w:val="1"/>
    </w:lvl>
  </w:abstractNum>
  <w:abstractNum w:abstractNumId="45">
    <w:nsid w:val="579478FE"/>
    <w:multiLevelType w:val="hybridMultilevel"/>
    <w:lvl w:ilvl="0">
      <w:lvlJc w:val="left"/>
      <w:lvlText w:val="(%1)"/>
      <w:numFmt w:val="lowerLetter"/>
      <w:start w:val="4"/>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4"/>
    </w:lvl>
  </w:abstractNum>
  <w:abstractNum w:abstractNumId="48">
    <w:nsid w:val="1BA026FA"/>
    <w:multiLevelType w:val="hybridMultilevel"/>
    <w:lvl w:ilvl="0">
      <w:lvlJc w:val="left"/>
      <w:lvlText w:val="%1"/>
      <w:numFmt w:val="lowerLetter"/>
      <w:start w:val="1"/>
    </w:lvl>
    <w:lvl w:ilvl="1">
      <w:lvlJc w:val="left"/>
      <w:lvlText w:val="(%2)"/>
      <w:numFmt w:val="lowerLetter"/>
      <w:start w:val="1"/>
    </w:lvl>
  </w:abstractNum>
  <w:abstractNum w:abstractNumId="49">
    <w:nsid w:val="79A1DEAA"/>
    <w:multiLevelType w:val="hybridMultilevel"/>
    <w:lvl w:ilvl="0">
      <w:lvlJc w:val="left"/>
      <w:lvlText w:val="(%1)"/>
      <w:numFmt w:val="lowerLetter"/>
      <w:start w:val="9"/>
    </w:lvl>
    <w:lvl w:ilvl="1">
      <w:lvlJc w:val="left"/>
      <w:lvlText w:val="%2"/>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2021-04-20T15:34:50Z</dcterms:created>
  <dcterms:modified xsi:type="dcterms:W3CDTF">2021-04-20T15:34:50Z</dcterms:modified>
</cp:coreProperties>
</file>