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May 5, 2021</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Investment Corporation</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814-00736</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20-8250744</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0" w:lineRule="exact"/>
        <w:rPr>
          <w:sz w:val="24"/>
          <w:szCs w:val="24"/>
          <w:color w:val="auto"/>
        </w:rPr>
      </w:pPr>
    </w:p>
    <w:p>
      <w:pPr>
        <w:spacing w:after="0" w:line="22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505"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760" w:type="dxa"/>
        <w:tblCellMar>
          <w:top w:w="0" w:type="dxa"/>
          <w:left w:w="0" w:type="dxa"/>
          <w:bottom w:w="0" w:type="dxa"/>
          <w:right w:w="0" w:type="dxa"/>
        </w:tblCellMar>
      </w:tblPr>
      <w:tr>
        <w:trPr>
          <w:trHeight w:val="220"/>
        </w:trPr>
        <w:tc>
          <w:tcPr>
            <w:tcW w:w="3700" w:type="dxa"/>
            <w:vAlign w:val="bottom"/>
          </w:tcPr>
          <w:p>
            <w:pPr>
              <w:jc w:val="center"/>
              <w:ind w:right="490"/>
              <w:spacing w:after="0"/>
              <w:rPr>
                <w:sz w:val="20"/>
                <w:szCs w:val="20"/>
                <w:color w:val="auto"/>
              </w:rPr>
            </w:pPr>
            <w:r>
              <w:rPr>
                <w:rFonts w:ascii="Arial" w:cs="Arial" w:eastAsia="Arial" w:hAnsi="Arial"/>
                <w:sz w:val="18"/>
                <w:szCs w:val="18"/>
                <w:b w:val="1"/>
                <w:bCs w:val="1"/>
                <w:color w:val="auto"/>
                <w:w w:val="89"/>
              </w:rPr>
              <w:t>Title of Each Class</w:t>
            </w:r>
          </w:p>
        </w:tc>
        <w:tc>
          <w:tcPr>
            <w:tcW w:w="2420" w:type="dxa"/>
            <w:vAlign w:val="bottom"/>
          </w:tcPr>
          <w:p>
            <w:pPr>
              <w:jc w:val="center"/>
              <w:ind w:left="50"/>
              <w:spacing w:after="0"/>
              <w:rPr>
                <w:sz w:val="20"/>
                <w:szCs w:val="20"/>
                <w:color w:val="auto"/>
              </w:rPr>
            </w:pPr>
            <w:r>
              <w:rPr>
                <w:rFonts w:ascii="Arial" w:cs="Arial" w:eastAsia="Arial" w:hAnsi="Arial"/>
                <w:sz w:val="18"/>
                <w:szCs w:val="18"/>
                <w:b w:val="1"/>
                <w:bCs w:val="1"/>
                <w:color w:val="auto"/>
                <w:w w:val="91"/>
              </w:rPr>
              <w:t>Trading Symbol(s)</w:t>
            </w:r>
          </w:p>
        </w:tc>
        <w:tc>
          <w:tcPr>
            <w:tcW w:w="3940" w:type="dxa"/>
            <w:vAlign w:val="bottom"/>
          </w:tcPr>
          <w:p>
            <w:pPr>
              <w:jc w:val="center"/>
              <w:ind w:left="330"/>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16"/>
        </w:trPr>
        <w:tc>
          <w:tcPr>
            <w:tcW w:w="3700" w:type="dxa"/>
            <w:vAlign w:val="bottom"/>
          </w:tcPr>
          <w:p>
            <w:pPr>
              <w:jc w:val="center"/>
              <w:ind w:right="490"/>
              <w:spacing w:after="0"/>
              <w:rPr>
                <w:sz w:val="20"/>
                <w:szCs w:val="20"/>
                <w:color w:val="auto"/>
              </w:rPr>
            </w:pPr>
            <w:r>
              <w:rPr>
                <w:rFonts w:ascii="Arial" w:cs="Arial" w:eastAsia="Arial" w:hAnsi="Arial"/>
                <w:sz w:val="18"/>
                <w:szCs w:val="18"/>
                <w:color w:val="auto"/>
                <w:w w:val="89"/>
              </w:rPr>
              <w:t>Common Stock, par value $0.001 per share</w:t>
            </w:r>
          </w:p>
        </w:tc>
        <w:tc>
          <w:tcPr>
            <w:tcW w:w="2420" w:type="dxa"/>
            <w:vAlign w:val="bottom"/>
          </w:tcPr>
          <w:p>
            <w:pPr>
              <w:jc w:val="center"/>
              <w:ind w:left="70"/>
              <w:spacing w:after="0"/>
              <w:rPr>
                <w:sz w:val="20"/>
                <w:szCs w:val="20"/>
                <w:color w:val="auto"/>
              </w:rPr>
            </w:pPr>
            <w:r>
              <w:rPr>
                <w:rFonts w:ascii="Arial" w:cs="Arial" w:eastAsia="Arial" w:hAnsi="Arial"/>
                <w:sz w:val="18"/>
                <w:szCs w:val="18"/>
                <w:color w:val="auto"/>
                <w:w w:val="93"/>
              </w:rPr>
              <w:t>PNNT</w:t>
            </w:r>
          </w:p>
        </w:tc>
        <w:tc>
          <w:tcPr>
            <w:tcW w:w="3940" w:type="dxa"/>
            <w:vAlign w:val="bottom"/>
          </w:tcPr>
          <w:p>
            <w:pPr>
              <w:jc w:val="center"/>
              <w:ind w:left="310"/>
              <w:spacing w:after="0"/>
              <w:rPr>
                <w:sz w:val="20"/>
                <w:szCs w:val="20"/>
                <w:color w:val="auto"/>
              </w:rPr>
            </w:pPr>
            <w:r>
              <w:rPr>
                <w:rFonts w:ascii="Arial" w:cs="Arial" w:eastAsia="Arial" w:hAnsi="Arial"/>
                <w:sz w:val="18"/>
                <w:szCs w:val="18"/>
                <w:color w:val="auto"/>
                <w:w w:val="91"/>
              </w:rPr>
              <w:t>The Nasdaq Stock Market LLC</w:t>
            </w:r>
          </w:p>
        </w:tc>
      </w:tr>
      <w:tr>
        <w:trPr>
          <w:trHeight w:val="230"/>
        </w:trPr>
        <w:tc>
          <w:tcPr>
            <w:tcW w:w="3700" w:type="dxa"/>
            <w:vAlign w:val="bottom"/>
          </w:tcPr>
          <w:p>
            <w:pPr>
              <w:jc w:val="center"/>
              <w:ind w:right="490"/>
              <w:spacing w:after="0"/>
              <w:rPr>
                <w:sz w:val="20"/>
                <w:szCs w:val="20"/>
                <w:color w:val="auto"/>
              </w:rPr>
            </w:pPr>
            <w:r>
              <w:rPr>
                <w:rFonts w:ascii="Arial" w:cs="Arial" w:eastAsia="Arial" w:hAnsi="Arial"/>
                <w:sz w:val="18"/>
                <w:szCs w:val="18"/>
                <w:color w:val="auto"/>
                <w:w w:val="89"/>
              </w:rPr>
              <w:t>5.50% Notes due 2024</w:t>
            </w:r>
          </w:p>
        </w:tc>
        <w:tc>
          <w:tcPr>
            <w:tcW w:w="2420" w:type="dxa"/>
            <w:vAlign w:val="bottom"/>
          </w:tcPr>
          <w:p>
            <w:pPr>
              <w:jc w:val="center"/>
              <w:ind w:left="50"/>
              <w:spacing w:after="0"/>
              <w:rPr>
                <w:sz w:val="20"/>
                <w:szCs w:val="20"/>
                <w:color w:val="auto"/>
              </w:rPr>
            </w:pPr>
            <w:r>
              <w:rPr>
                <w:rFonts w:ascii="Arial" w:cs="Arial" w:eastAsia="Arial" w:hAnsi="Arial"/>
                <w:sz w:val="18"/>
                <w:szCs w:val="18"/>
                <w:color w:val="auto"/>
                <w:w w:val="95"/>
              </w:rPr>
              <w:t>PNNTG</w:t>
            </w:r>
          </w:p>
        </w:tc>
        <w:tc>
          <w:tcPr>
            <w:tcW w:w="3940" w:type="dxa"/>
            <w:vAlign w:val="bottom"/>
          </w:tcPr>
          <w:p>
            <w:pPr>
              <w:jc w:val="center"/>
              <w:ind w:left="310"/>
              <w:spacing w:after="0"/>
              <w:rPr>
                <w:sz w:val="20"/>
                <w:szCs w:val="20"/>
                <w:color w:val="auto"/>
              </w:rPr>
            </w:pPr>
            <w:r>
              <w:rPr>
                <w:rFonts w:ascii="Arial" w:cs="Arial" w:eastAsia="Arial" w:hAnsi="Arial"/>
                <w:sz w:val="18"/>
                <w:szCs w:val="18"/>
                <w:color w:val="auto"/>
                <w:w w:val="91"/>
              </w:rPr>
              <w:t>The Nasdaq Stock Market LLC</w:t>
            </w:r>
          </w:p>
        </w:tc>
      </w:tr>
    </w:tbl>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252095</wp:posOffset>
            </wp:positionV>
            <wp:extent cx="713613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May 5, 2021, PennantPark Investment Corporation, or the Company, issued a press release announcing its financial results for the second fiscal quarter ended March 31, 2021. A copy of the press release is furnished as Exhibit 99.1 to this report pursuant to Item 2.02 on Form 8-K and Regulation FD.</w:t>
      </w:r>
    </w:p>
    <w:p>
      <w:pPr>
        <w:spacing w:after="0" w:line="12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 For information concerning the COVID-19 pandemic and its impact on the Company’s business and operating results, see the Company’s Quarterly Report on Form 10-Q for the quarter ended March 31, 2021, including “Item 2. Management's Discussion and Analysis of Financial Condition and Results of Operations – COVID-19 Developments”.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as well as changes in the economy and risks associated with possible disruption in the Company’s operations or the economy generally due to terrorism, natural disasters or pandemics such as COVID-19.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4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PennantPark Investment Corporation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4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40" w:hanging="592"/>
        <w:spacing w:after="0" w:line="250" w:lineRule="auto"/>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820" w:hanging="592"/>
        <w:spacing w:after="0" w:line="250" w:lineRule="auto"/>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PennantPark Investment Corporation dated May 5,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5000" w:type="dxa"/>
            <w:vAlign w:val="bottom"/>
            <w:gridSpan w:val="3"/>
          </w:tcPr>
          <w:p>
            <w:pPr>
              <w:ind w:left="2060"/>
              <w:spacing w:after="0"/>
              <w:rPr>
                <w:sz w:val="20"/>
                <w:szCs w:val="20"/>
                <w:color w:val="auto"/>
              </w:rPr>
            </w:pPr>
            <w:r>
              <w:rPr>
                <w:rFonts w:ascii="Arial" w:cs="Arial" w:eastAsia="Arial" w:hAnsi="Arial"/>
                <w:sz w:val="18"/>
                <w:szCs w:val="18"/>
                <w:b w:val="1"/>
                <w:bCs w:val="1"/>
                <w:color w:val="auto"/>
                <w:w w:val="91"/>
              </w:rPr>
              <w:t>PennantPark Investment Corporation</w:t>
            </w:r>
          </w:p>
        </w:tc>
      </w:tr>
      <w:tr>
        <w:trPr>
          <w:trHeight w:val="608"/>
        </w:trPr>
        <w:tc>
          <w:tcPr>
            <w:tcW w:w="3400" w:type="dxa"/>
            <w:vAlign w:val="bottom"/>
          </w:tcPr>
          <w:p>
            <w:pPr>
              <w:spacing w:after="0"/>
              <w:rPr>
                <w:sz w:val="20"/>
                <w:szCs w:val="20"/>
                <w:color w:val="auto"/>
              </w:rPr>
            </w:pPr>
            <w:r>
              <w:rPr>
                <w:rFonts w:ascii="Arial" w:cs="Arial" w:eastAsia="Arial" w:hAnsi="Arial"/>
                <w:sz w:val="18"/>
                <w:szCs w:val="18"/>
                <w:color w:val="auto"/>
              </w:rPr>
              <w:t>Date: May 5, 2021</w:t>
            </w:r>
          </w:p>
        </w:tc>
        <w:tc>
          <w:tcPr>
            <w:tcW w:w="5000" w:type="dxa"/>
            <w:vAlign w:val="bottom"/>
            <w:gridSpan w:val="3"/>
          </w:tcPr>
          <w:p>
            <w:pPr>
              <w:ind w:left="2060"/>
              <w:spacing w:after="0"/>
              <w:rPr>
                <w:sz w:val="20"/>
                <w:szCs w:val="20"/>
                <w:color w:val="auto"/>
              </w:rPr>
            </w:pPr>
            <w:r>
              <w:rPr>
                <w:rFonts w:ascii="Arial" w:cs="Arial" w:eastAsia="Arial" w:hAnsi="Arial"/>
                <w:sz w:val="18"/>
                <w:szCs w:val="18"/>
                <w:color w:val="auto"/>
              </w:rPr>
              <w:t>By: /s/ Aviv Efrat</w:t>
            </w:r>
          </w:p>
        </w:tc>
      </w:tr>
      <w:tr>
        <w:trPr>
          <w:trHeight w:val="222"/>
        </w:trPr>
        <w:tc>
          <w:tcPr>
            <w:tcW w:w="34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300" w:type="dxa"/>
            <w:vAlign w:val="bottom"/>
          </w:tcPr>
          <w:p>
            <w:pPr>
              <w:spacing w:after="0"/>
              <w:rPr>
                <w:sz w:val="19"/>
                <w:szCs w:val="19"/>
                <w:color w:val="auto"/>
              </w:rPr>
            </w:pPr>
          </w:p>
        </w:tc>
      </w:tr>
      <w:tr>
        <w:trPr>
          <w:trHeight w:val="230"/>
        </w:trPr>
        <w:tc>
          <w:tcPr>
            <w:tcW w:w="34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w w:val="93"/>
              </w:rPr>
              <w:t>Chief Financial Officer &amp; Treasurer</w:t>
            </w:r>
          </w:p>
        </w:tc>
      </w:tr>
    </w:tbl>
    <w:p>
      <w:pPr>
        <w:sectPr>
          <w:pgSz w:w="11900" w:h="16838" w:orient="portrait"/>
          <w:cols w:equalWidth="0" w:num="1">
            <w:col w:w="10900"/>
          </w:cols>
          <w:pgMar w:left="320" w:top="337" w:right="679" w:bottom="1440" w:gutter="0" w:footer="0" w:header="0"/>
        </w:sectPr>
      </w:pPr>
    </w:p>
    <w:bookmarkStart w:id="3" w:name="page4"/>
    <w:bookmarkEnd w:id="3"/>
    <w:p>
      <w:pPr>
        <w:spacing w:after="0" w:line="62"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Investment Corporation Announces Financial Results for the Quarter Ended March 31, 2021</w:t>
      </w:r>
    </w:p>
    <w:p>
      <w:pPr>
        <w:spacing w:after="0" w:line="212"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NEW YORK, May 05, 2021 (GLOBE NEWSWIRE) -- PennantPark Investment Corporation (NASDAQ: PNNT) announced today financial results for the second fiscal quarter ended March 31, 2021.</w:t>
      </w:r>
    </w:p>
    <w:p>
      <w:pPr>
        <w:spacing w:after="0" w:line="200" w:lineRule="exact"/>
        <w:rPr>
          <w:sz w:val="20"/>
          <w:szCs w:val="20"/>
          <w:color w:val="auto"/>
        </w:rPr>
      </w:pP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76"/>
        </w:trPr>
        <w:tc>
          <w:tcPr>
            <w:tcW w:w="7160" w:type="dxa"/>
            <w:vAlign w:val="bottom"/>
          </w:tcPr>
          <w:p>
            <w:pPr>
              <w:spacing w:after="0"/>
              <w:rPr>
                <w:sz w:val="20"/>
                <w:szCs w:val="20"/>
                <w:color w:val="auto"/>
              </w:rPr>
            </w:pPr>
            <w:r>
              <w:rPr>
                <w:rFonts w:ascii="Arial" w:cs="Arial" w:eastAsia="Arial" w:hAnsi="Arial"/>
                <w:sz w:val="22"/>
                <w:szCs w:val="22"/>
                <w:b w:val="1"/>
                <w:bCs w:val="1"/>
                <w:color w:val="auto"/>
              </w:rPr>
              <w:t>HIGHLIGHTS</w:t>
            </w:r>
          </w:p>
        </w:tc>
        <w:tc>
          <w:tcPr>
            <w:tcW w:w="27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7160" w:type="dxa"/>
            <w:vAlign w:val="bottom"/>
          </w:tcPr>
          <w:p>
            <w:pPr>
              <w:spacing w:after="0"/>
              <w:rPr>
                <w:sz w:val="20"/>
                <w:szCs w:val="20"/>
                <w:color w:val="auto"/>
              </w:rPr>
            </w:pPr>
            <w:r>
              <w:rPr>
                <w:rFonts w:ascii="Arial" w:cs="Arial" w:eastAsia="Arial" w:hAnsi="Arial"/>
                <w:sz w:val="22"/>
                <w:szCs w:val="22"/>
                <w:color w:val="auto"/>
              </w:rPr>
              <w:t>Quarter ended March 31, 2021</w:t>
            </w:r>
          </w:p>
        </w:tc>
        <w:tc>
          <w:tcPr>
            <w:tcW w:w="27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7160" w:type="dxa"/>
            <w:vAlign w:val="bottom"/>
          </w:tcPr>
          <w:p>
            <w:pPr>
              <w:spacing w:after="0"/>
              <w:rPr>
                <w:sz w:val="20"/>
                <w:szCs w:val="20"/>
                <w:color w:val="auto"/>
              </w:rPr>
            </w:pPr>
            <w:r>
              <w:rPr>
                <w:rFonts w:ascii="Arial" w:cs="Arial" w:eastAsia="Arial" w:hAnsi="Arial"/>
                <w:sz w:val="22"/>
                <w:szCs w:val="22"/>
                <w:color w:val="auto"/>
              </w:rPr>
              <w:t>($ in millions, except per share amounts)</w:t>
            </w:r>
          </w:p>
        </w:tc>
        <w:tc>
          <w:tcPr>
            <w:tcW w:w="27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4"/>
        </w:trPr>
        <w:tc>
          <w:tcPr>
            <w:tcW w:w="7160" w:type="dxa"/>
            <w:vAlign w:val="bottom"/>
          </w:tcPr>
          <w:p>
            <w:pPr>
              <w:spacing w:after="0"/>
              <w:rPr>
                <w:sz w:val="20"/>
                <w:szCs w:val="20"/>
                <w:color w:val="auto"/>
              </w:rPr>
            </w:pPr>
            <w:r>
              <w:rPr>
                <w:rFonts w:ascii="Arial" w:cs="Arial" w:eastAsia="Arial" w:hAnsi="Arial"/>
                <w:sz w:val="22"/>
                <w:szCs w:val="22"/>
                <w:color w:val="auto"/>
              </w:rPr>
              <w:t>Assets and Liabilities:</w:t>
            </w:r>
          </w:p>
        </w:tc>
        <w:tc>
          <w:tcPr>
            <w:tcW w:w="27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320"/>
        </w:trPr>
        <w:tc>
          <w:tcPr>
            <w:tcW w:w="7160" w:type="dxa"/>
            <w:vAlign w:val="bottom"/>
          </w:tcPr>
          <w:p>
            <w:pPr>
              <w:ind w:left="120"/>
              <w:spacing w:after="0" w:line="319" w:lineRule="exact"/>
              <w:rPr>
                <w:sz w:val="20"/>
                <w:szCs w:val="20"/>
                <w:color w:val="auto"/>
              </w:rPr>
            </w:pPr>
            <w:r>
              <w:rPr>
                <w:rFonts w:ascii="Arial" w:cs="Arial" w:eastAsia="Arial" w:hAnsi="Arial"/>
                <w:sz w:val="22"/>
                <w:szCs w:val="22"/>
                <w:color w:val="auto"/>
              </w:rPr>
              <w:t xml:space="preserve">Investment portfolio </w:t>
            </w:r>
            <w:r>
              <w:rPr>
                <w:rFonts w:ascii="Arial" w:cs="Arial" w:eastAsia="Arial" w:hAnsi="Arial"/>
                <w:sz w:val="35"/>
                <w:szCs w:val="35"/>
                <w:color w:val="auto"/>
                <w:vertAlign w:val="superscript"/>
              </w:rPr>
              <w:t>(1)</w:t>
            </w:r>
          </w:p>
        </w:tc>
        <w:tc>
          <w:tcPr>
            <w:tcW w:w="2720" w:type="dxa"/>
            <w:vAlign w:val="bottom"/>
          </w:tcPr>
          <w:p>
            <w:pPr>
              <w:jc w:val="right"/>
              <w:ind w:right="472"/>
              <w:spacing w:after="0"/>
              <w:rPr>
                <w:sz w:val="20"/>
                <w:szCs w:val="20"/>
                <w:color w:val="auto"/>
              </w:rPr>
            </w:pPr>
            <w:r>
              <w:rPr>
                <w:rFonts w:ascii="Arial" w:cs="Arial" w:eastAsia="Arial" w:hAnsi="Arial"/>
                <w:sz w:val="22"/>
                <w:szCs w:val="22"/>
                <w:color w:val="auto"/>
              </w:rPr>
              <w:t>$</w:t>
            </w:r>
          </w:p>
        </w:tc>
        <w:tc>
          <w:tcPr>
            <w:tcW w:w="1240" w:type="dxa"/>
            <w:vAlign w:val="bottom"/>
          </w:tcPr>
          <w:p>
            <w:pPr>
              <w:jc w:val="right"/>
              <w:spacing w:after="0"/>
              <w:rPr>
                <w:sz w:val="20"/>
                <w:szCs w:val="20"/>
                <w:color w:val="auto"/>
              </w:rPr>
            </w:pPr>
            <w:r>
              <w:rPr>
                <w:rFonts w:ascii="Arial" w:cs="Arial" w:eastAsia="Arial" w:hAnsi="Arial"/>
                <w:sz w:val="22"/>
                <w:szCs w:val="22"/>
                <w:color w:val="auto"/>
              </w:rPr>
              <w:t>1,175.2</w:t>
            </w:r>
          </w:p>
        </w:tc>
      </w:tr>
      <w:tr>
        <w:trPr>
          <w:trHeight w:val="270"/>
        </w:trPr>
        <w:tc>
          <w:tcPr>
            <w:tcW w:w="7160" w:type="dxa"/>
            <w:vAlign w:val="bottom"/>
          </w:tcPr>
          <w:p>
            <w:pPr>
              <w:ind w:left="120"/>
              <w:spacing w:after="0"/>
              <w:rPr>
                <w:sz w:val="20"/>
                <w:szCs w:val="20"/>
                <w:color w:val="auto"/>
              </w:rPr>
            </w:pPr>
            <w:r>
              <w:rPr>
                <w:rFonts w:ascii="Arial" w:cs="Arial" w:eastAsia="Arial" w:hAnsi="Arial"/>
                <w:sz w:val="22"/>
                <w:szCs w:val="22"/>
                <w:color w:val="auto"/>
              </w:rPr>
              <w:t>PSLF investment portfolio</w:t>
            </w:r>
          </w:p>
        </w:tc>
        <w:tc>
          <w:tcPr>
            <w:tcW w:w="2720" w:type="dxa"/>
            <w:vAlign w:val="bottom"/>
          </w:tcPr>
          <w:p>
            <w:pPr>
              <w:jc w:val="right"/>
              <w:ind w:right="472"/>
              <w:spacing w:after="0"/>
              <w:rPr>
                <w:sz w:val="20"/>
                <w:szCs w:val="20"/>
                <w:color w:val="auto"/>
              </w:rPr>
            </w:pPr>
            <w:r>
              <w:rPr>
                <w:rFonts w:ascii="Arial" w:cs="Arial" w:eastAsia="Arial" w:hAnsi="Arial"/>
                <w:sz w:val="22"/>
                <w:szCs w:val="22"/>
                <w:color w:val="auto"/>
              </w:rPr>
              <w:t>$</w:t>
            </w:r>
          </w:p>
        </w:tc>
        <w:tc>
          <w:tcPr>
            <w:tcW w:w="1240" w:type="dxa"/>
            <w:vAlign w:val="bottom"/>
          </w:tcPr>
          <w:p>
            <w:pPr>
              <w:jc w:val="right"/>
              <w:spacing w:after="0"/>
              <w:rPr>
                <w:sz w:val="20"/>
                <w:szCs w:val="20"/>
                <w:color w:val="auto"/>
              </w:rPr>
            </w:pPr>
            <w:r>
              <w:rPr>
                <w:rFonts w:ascii="Arial" w:cs="Arial" w:eastAsia="Arial" w:hAnsi="Arial"/>
                <w:sz w:val="22"/>
                <w:szCs w:val="22"/>
                <w:color w:val="auto"/>
              </w:rPr>
              <w:t>381.7</w:t>
            </w:r>
          </w:p>
        </w:tc>
      </w:tr>
      <w:tr>
        <w:trPr>
          <w:trHeight w:val="270"/>
        </w:trPr>
        <w:tc>
          <w:tcPr>
            <w:tcW w:w="7160" w:type="dxa"/>
            <w:vAlign w:val="bottom"/>
          </w:tcPr>
          <w:p>
            <w:pPr>
              <w:ind w:left="120"/>
              <w:spacing w:after="0"/>
              <w:rPr>
                <w:sz w:val="20"/>
                <w:szCs w:val="20"/>
                <w:color w:val="auto"/>
              </w:rPr>
            </w:pPr>
            <w:r>
              <w:rPr>
                <w:rFonts w:ascii="Arial" w:cs="Arial" w:eastAsia="Arial" w:hAnsi="Arial"/>
                <w:sz w:val="22"/>
                <w:szCs w:val="22"/>
                <w:color w:val="auto"/>
              </w:rPr>
              <w:t>Net assets</w:t>
            </w:r>
          </w:p>
        </w:tc>
        <w:tc>
          <w:tcPr>
            <w:tcW w:w="2720" w:type="dxa"/>
            <w:vAlign w:val="bottom"/>
          </w:tcPr>
          <w:p>
            <w:pPr>
              <w:jc w:val="right"/>
              <w:ind w:right="472"/>
              <w:spacing w:after="0"/>
              <w:rPr>
                <w:sz w:val="20"/>
                <w:szCs w:val="20"/>
                <w:color w:val="auto"/>
              </w:rPr>
            </w:pPr>
            <w:r>
              <w:rPr>
                <w:rFonts w:ascii="Arial" w:cs="Arial" w:eastAsia="Arial" w:hAnsi="Arial"/>
                <w:sz w:val="22"/>
                <w:szCs w:val="22"/>
                <w:color w:val="auto"/>
              </w:rPr>
              <w:t>$</w:t>
            </w:r>
          </w:p>
        </w:tc>
        <w:tc>
          <w:tcPr>
            <w:tcW w:w="1240" w:type="dxa"/>
            <w:vAlign w:val="bottom"/>
          </w:tcPr>
          <w:p>
            <w:pPr>
              <w:jc w:val="right"/>
              <w:spacing w:after="0"/>
              <w:rPr>
                <w:sz w:val="20"/>
                <w:szCs w:val="20"/>
                <w:color w:val="auto"/>
              </w:rPr>
            </w:pPr>
            <w:r>
              <w:rPr>
                <w:rFonts w:ascii="Arial" w:cs="Arial" w:eastAsia="Arial" w:hAnsi="Arial"/>
                <w:sz w:val="22"/>
                <w:szCs w:val="22"/>
                <w:color w:val="auto"/>
              </w:rPr>
              <w:t>619.2</w:t>
            </w:r>
          </w:p>
        </w:tc>
      </w:tr>
      <w:tr>
        <w:trPr>
          <w:trHeight w:val="270"/>
        </w:trPr>
        <w:tc>
          <w:tcPr>
            <w:tcW w:w="7160" w:type="dxa"/>
            <w:vAlign w:val="bottom"/>
          </w:tcPr>
          <w:p>
            <w:pPr>
              <w:ind w:left="120"/>
              <w:spacing w:after="0"/>
              <w:rPr>
                <w:sz w:val="20"/>
                <w:szCs w:val="20"/>
                <w:color w:val="auto"/>
              </w:rPr>
            </w:pPr>
            <w:r>
              <w:rPr>
                <w:rFonts w:ascii="Arial" w:cs="Arial" w:eastAsia="Arial" w:hAnsi="Arial"/>
                <w:sz w:val="22"/>
                <w:szCs w:val="22"/>
                <w:color w:val="auto"/>
              </w:rPr>
              <w:t>GAAP net asset value per share</w:t>
            </w:r>
          </w:p>
        </w:tc>
        <w:tc>
          <w:tcPr>
            <w:tcW w:w="2720" w:type="dxa"/>
            <w:vAlign w:val="bottom"/>
          </w:tcPr>
          <w:p>
            <w:pPr>
              <w:jc w:val="right"/>
              <w:ind w:right="472"/>
              <w:spacing w:after="0"/>
              <w:rPr>
                <w:sz w:val="20"/>
                <w:szCs w:val="20"/>
                <w:color w:val="auto"/>
              </w:rPr>
            </w:pPr>
            <w:r>
              <w:rPr>
                <w:rFonts w:ascii="Arial" w:cs="Arial" w:eastAsia="Arial" w:hAnsi="Arial"/>
                <w:sz w:val="22"/>
                <w:szCs w:val="22"/>
                <w:color w:val="auto"/>
              </w:rPr>
              <w:t>$</w:t>
            </w:r>
          </w:p>
        </w:tc>
        <w:tc>
          <w:tcPr>
            <w:tcW w:w="1240" w:type="dxa"/>
            <w:vAlign w:val="bottom"/>
          </w:tcPr>
          <w:p>
            <w:pPr>
              <w:jc w:val="right"/>
              <w:spacing w:after="0"/>
              <w:rPr>
                <w:sz w:val="20"/>
                <w:szCs w:val="20"/>
                <w:color w:val="auto"/>
              </w:rPr>
            </w:pPr>
            <w:r>
              <w:rPr>
                <w:rFonts w:ascii="Arial" w:cs="Arial" w:eastAsia="Arial" w:hAnsi="Arial"/>
                <w:sz w:val="22"/>
                <w:szCs w:val="22"/>
                <w:color w:val="auto"/>
              </w:rPr>
              <w:t>9.24</w:t>
            </w:r>
          </w:p>
        </w:tc>
      </w:tr>
      <w:tr>
        <w:trPr>
          <w:trHeight w:val="274"/>
        </w:trPr>
        <w:tc>
          <w:tcPr>
            <w:tcW w:w="7160" w:type="dxa"/>
            <w:vAlign w:val="bottom"/>
          </w:tcPr>
          <w:p>
            <w:pPr>
              <w:ind w:left="120"/>
              <w:spacing w:after="0"/>
              <w:rPr>
                <w:sz w:val="20"/>
                <w:szCs w:val="20"/>
                <w:color w:val="auto"/>
              </w:rPr>
            </w:pPr>
            <w:r>
              <w:rPr>
                <w:rFonts w:ascii="Arial" w:cs="Arial" w:eastAsia="Arial" w:hAnsi="Arial"/>
                <w:sz w:val="22"/>
                <w:szCs w:val="22"/>
                <w:color w:val="auto"/>
              </w:rPr>
              <w:t>Quarterly increase in GAAP net asset value per share</w:t>
            </w:r>
          </w:p>
        </w:tc>
        <w:tc>
          <w:tcPr>
            <w:tcW w:w="27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5.2%</w:t>
            </w:r>
          </w:p>
        </w:tc>
      </w:tr>
      <w:tr>
        <w:trPr>
          <w:trHeight w:val="327"/>
        </w:trPr>
        <w:tc>
          <w:tcPr>
            <w:tcW w:w="7160" w:type="dxa"/>
            <w:vAlign w:val="bottom"/>
          </w:tcPr>
          <w:p>
            <w:pPr>
              <w:ind w:left="120"/>
              <w:spacing w:after="0" w:line="326" w:lineRule="exact"/>
              <w:rPr>
                <w:sz w:val="20"/>
                <w:szCs w:val="20"/>
                <w:color w:val="auto"/>
              </w:rPr>
            </w:pPr>
            <w:r>
              <w:rPr>
                <w:rFonts w:ascii="Arial" w:cs="Arial" w:eastAsia="Arial" w:hAnsi="Arial"/>
                <w:sz w:val="22"/>
                <w:szCs w:val="22"/>
                <w:color w:val="auto"/>
              </w:rPr>
              <w:t xml:space="preserve">Adjusted net asset value per share </w:t>
            </w:r>
            <w:r>
              <w:rPr>
                <w:rFonts w:ascii="Arial" w:cs="Arial" w:eastAsia="Arial" w:hAnsi="Arial"/>
                <w:sz w:val="35"/>
                <w:szCs w:val="35"/>
                <w:color w:val="auto"/>
                <w:vertAlign w:val="superscript"/>
              </w:rPr>
              <w:t>(2)</w:t>
            </w:r>
          </w:p>
        </w:tc>
        <w:tc>
          <w:tcPr>
            <w:tcW w:w="2720" w:type="dxa"/>
            <w:vAlign w:val="bottom"/>
          </w:tcPr>
          <w:p>
            <w:pPr>
              <w:jc w:val="right"/>
              <w:ind w:right="472"/>
              <w:spacing w:after="0"/>
              <w:rPr>
                <w:sz w:val="20"/>
                <w:szCs w:val="20"/>
                <w:color w:val="auto"/>
              </w:rPr>
            </w:pPr>
            <w:r>
              <w:rPr>
                <w:rFonts w:ascii="Arial" w:cs="Arial" w:eastAsia="Arial" w:hAnsi="Arial"/>
                <w:sz w:val="22"/>
                <w:szCs w:val="22"/>
                <w:color w:val="auto"/>
              </w:rPr>
              <w:t>$</w:t>
            </w:r>
          </w:p>
        </w:tc>
        <w:tc>
          <w:tcPr>
            <w:tcW w:w="1240" w:type="dxa"/>
            <w:vAlign w:val="bottom"/>
          </w:tcPr>
          <w:p>
            <w:pPr>
              <w:jc w:val="right"/>
              <w:spacing w:after="0"/>
              <w:rPr>
                <w:sz w:val="20"/>
                <w:szCs w:val="20"/>
                <w:color w:val="auto"/>
              </w:rPr>
            </w:pPr>
            <w:r>
              <w:rPr>
                <w:rFonts w:ascii="Arial" w:cs="Arial" w:eastAsia="Arial" w:hAnsi="Arial"/>
                <w:sz w:val="22"/>
                <w:szCs w:val="22"/>
                <w:color w:val="auto"/>
              </w:rPr>
              <w:t>9.20</w:t>
            </w:r>
          </w:p>
        </w:tc>
      </w:tr>
      <w:tr>
        <w:trPr>
          <w:trHeight w:val="471"/>
        </w:trPr>
        <w:tc>
          <w:tcPr>
            <w:tcW w:w="7160" w:type="dxa"/>
            <w:vAlign w:val="bottom"/>
          </w:tcPr>
          <w:p>
            <w:pPr>
              <w:ind w:left="120"/>
              <w:spacing w:after="0"/>
              <w:rPr>
                <w:sz w:val="20"/>
                <w:szCs w:val="20"/>
                <w:color w:val="auto"/>
              </w:rPr>
            </w:pPr>
            <w:r>
              <w:rPr>
                <w:rFonts w:ascii="Arial" w:cs="Arial" w:eastAsia="Arial" w:hAnsi="Arial"/>
                <w:sz w:val="22"/>
                <w:szCs w:val="22"/>
                <w:color w:val="auto"/>
              </w:rPr>
              <w:t xml:space="preserve">Quarterly increase in adjusted net asset value per share </w:t>
            </w:r>
            <w:r>
              <w:rPr>
                <w:rFonts w:ascii="Arial" w:cs="Arial" w:eastAsia="Arial" w:hAnsi="Arial"/>
                <w:sz w:val="35"/>
                <w:szCs w:val="35"/>
                <w:color w:val="auto"/>
                <w:vertAlign w:val="superscript"/>
              </w:rPr>
              <w:t>(2)</w:t>
            </w:r>
          </w:p>
        </w:tc>
        <w:tc>
          <w:tcPr>
            <w:tcW w:w="27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386"/>
        </w:trPr>
        <w:tc>
          <w:tcPr>
            <w:tcW w:w="7160" w:type="dxa"/>
            <w:vAlign w:val="bottom"/>
          </w:tcPr>
          <w:p>
            <w:pPr>
              <w:ind w:left="260"/>
              <w:spacing w:after="0"/>
              <w:rPr>
                <w:sz w:val="20"/>
                <w:szCs w:val="20"/>
                <w:color w:val="auto"/>
              </w:rPr>
            </w:pPr>
            <w:r>
              <w:rPr>
                <w:rFonts w:ascii="Arial" w:cs="Arial" w:eastAsia="Arial" w:hAnsi="Arial"/>
                <w:sz w:val="22"/>
                <w:szCs w:val="22"/>
                <w:color w:val="auto"/>
              </w:rPr>
              <w:t>Credit Facility</w:t>
            </w:r>
          </w:p>
        </w:tc>
        <w:tc>
          <w:tcPr>
            <w:tcW w:w="2720" w:type="dxa"/>
            <w:vAlign w:val="bottom"/>
          </w:tcPr>
          <w:p>
            <w:pPr>
              <w:jc w:val="right"/>
              <w:ind w:right="472"/>
              <w:spacing w:after="0"/>
              <w:rPr>
                <w:sz w:val="20"/>
                <w:szCs w:val="20"/>
                <w:color w:val="auto"/>
              </w:rPr>
            </w:pPr>
            <w:r>
              <w:rPr>
                <w:rFonts w:ascii="Arial" w:cs="Arial" w:eastAsia="Arial" w:hAnsi="Arial"/>
                <w:sz w:val="22"/>
                <w:szCs w:val="22"/>
                <w:color w:val="auto"/>
              </w:rPr>
              <w:t>$</w:t>
            </w:r>
          </w:p>
        </w:tc>
        <w:tc>
          <w:tcPr>
            <w:tcW w:w="1240" w:type="dxa"/>
            <w:vAlign w:val="bottom"/>
          </w:tcPr>
          <w:p>
            <w:pPr>
              <w:jc w:val="right"/>
              <w:spacing w:after="0"/>
              <w:rPr>
                <w:sz w:val="20"/>
                <w:szCs w:val="20"/>
                <w:color w:val="auto"/>
              </w:rPr>
            </w:pPr>
            <w:r>
              <w:rPr>
                <w:rFonts w:ascii="Arial" w:cs="Arial" w:eastAsia="Arial" w:hAnsi="Arial"/>
                <w:sz w:val="22"/>
                <w:szCs w:val="22"/>
                <w:color w:val="auto"/>
              </w:rPr>
              <w:t>372.9</w:t>
            </w:r>
          </w:p>
        </w:tc>
      </w:tr>
      <w:tr>
        <w:trPr>
          <w:trHeight w:val="270"/>
        </w:trPr>
        <w:tc>
          <w:tcPr>
            <w:tcW w:w="7160" w:type="dxa"/>
            <w:vAlign w:val="bottom"/>
          </w:tcPr>
          <w:p>
            <w:pPr>
              <w:ind w:left="260"/>
              <w:spacing w:after="0"/>
              <w:rPr>
                <w:sz w:val="20"/>
                <w:szCs w:val="20"/>
                <w:color w:val="auto"/>
              </w:rPr>
            </w:pPr>
            <w:r>
              <w:rPr>
                <w:rFonts w:ascii="Arial" w:cs="Arial" w:eastAsia="Arial" w:hAnsi="Arial"/>
                <w:sz w:val="22"/>
                <w:szCs w:val="22"/>
                <w:color w:val="auto"/>
              </w:rPr>
              <w:t>2024 Notes</w:t>
            </w:r>
          </w:p>
        </w:tc>
        <w:tc>
          <w:tcPr>
            <w:tcW w:w="2720" w:type="dxa"/>
            <w:vAlign w:val="bottom"/>
          </w:tcPr>
          <w:p>
            <w:pPr>
              <w:jc w:val="right"/>
              <w:ind w:right="472"/>
              <w:spacing w:after="0"/>
              <w:rPr>
                <w:sz w:val="20"/>
                <w:szCs w:val="20"/>
                <w:color w:val="auto"/>
              </w:rPr>
            </w:pPr>
            <w:r>
              <w:rPr>
                <w:rFonts w:ascii="Arial" w:cs="Arial" w:eastAsia="Arial" w:hAnsi="Arial"/>
                <w:sz w:val="22"/>
                <w:szCs w:val="22"/>
                <w:color w:val="auto"/>
              </w:rPr>
              <w:t>$</w:t>
            </w:r>
          </w:p>
        </w:tc>
        <w:tc>
          <w:tcPr>
            <w:tcW w:w="1240" w:type="dxa"/>
            <w:vAlign w:val="bottom"/>
          </w:tcPr>
          <w:p>
            <w:pPr>
              <w:jc w:val="right"/>
              <w:spacing w:after="0"/>
              <w:rPr>
                <w:sz w:val="20"/>
                <w:szCs w:val="20"/>
                <w:color w:val="auto"/>
              </w:rPr>
            </w:pPr>
            <w:r>
              <w:rPr>
                <w:rFonts w:ascii="Arial" w:cs="Arial" w:eastAsia="Arial" w:hAnsi="Arial"/>
                <w:sz w:val="22"/>
                <w:szCs w:val="22"/>
                <w:color w:val="auto"/>
              </w:rPr>
              <w:t>84.2</w:t>
            </w:r>
          </w:p>
        </w:tc>
      </w:tr>
      <w:tr>
        <w:trPr>
          <w:trHeight w:val="270"/>
        </w:trPr>
        <w:tc>
          <w:tcPr>
            <w:tcW w:w="7160" w:type="dxa"/>
            <w:vAlign w:val="bottom"/>
          </w:tcPr>
          <w:p>
            <w:pPr>
              <w:ind w:left="260"/>
              <w:spacing w:after="0"/>
              <w:rPr>
                <w:sz w:val="20"/>
                <w:szCs w:val="20"/>
                <w:color w:val="auto"/>
              </w:rPr>
            </w:pPr>
            <w:r>
              <w:rPr>
                <w:rFonts w:ascii="Arial" w:cs="Arial" w:eastAsia="Arial" w:hAnsi="Arial"/>
                <w:sz w:val="22"/>
                <w:szCs w:val="22"/>
                <w:color w:val="auto"/>
              </w:rPr>
              <w:t>SBA Debentures</w:t>
            </w:r>
          </w:p>
        </w:tc>
        <w:tc>
          <w:tcPr>
            <w:tcW w:w="2720" w:type="dxa"/>
            <w:vAlign w:val="bottom"/>
          </w:tcPr>
          <w:p>
            <w:pPr>
              <w:jc w:val="right"/>
              <w:ind w:right="472"/>
              <w:spacing w:after="0"/>
              <w:rPr>
                <w:sz w:val="20"/>
                <w:szCs w:val="20"/>
                <w:color w:val="auto"/>
              </w:rPr>
            </w:pPr>
            <w:r>
              <w:rPr>
                <w:rFonts w:ascii="Arial" w:cs="Arial" w:eastAsia="Arial" w:hAnsi="Arial"/>
                <w:sz w:val="22"/>
                <w:szCs w:val="22"/>
                <w:color w:val="auto"/>
              </w:rPr>
              <w:t>$</w:t>
            </w:r>
          </w:p>
        </w:tc>
        <w:tc>
          <w:tcPr>
            <w:tcW w:w="1240" w:type="dxa"/>
            <w:vAlign w:val="bottom"/>
          </w:tcPr>
          <w:p>
            <w:pPr>
              <w:jc w:val="right"/>
              <w:spacing w:after="0"/>
              <w:rPr>
                <w:sz w:val="20"/>
                <w:szCs w:val="20"/>
                <w:color w:val="auto"/>
              </w:rPr>
            </w:pPr>
            <w:r>
              <w:rPr>
                <w:rFonts w:ascii="Arial" w:cs="Arial" w:eastAsia="Arial" w:hAnsi="Arial"/>
                <w:sz w:val="22"/>
                <w:szCs w:val="22"/>
                <w:color w:val="auto"/>
              </w:rPr>
              <w:t>106.1</w:t>
            </w:r>
          </w:p>
        </w:tc>
      </w:tr>
      <w:tr>
        <w:trPr>
          <w:trHeight w:val="274"/>
        </w:trPr>
        <w:tc>
          <w:tcPr>
            <w:tcW w:w="7160" w:type="dxa"/>
            <w:vAlign w:val="bottom"/>
          </w:tcPr>
          <w:p>
            <w:pPr>
              <w:ind w:left="120"/>
              <w:spacing w:after="0"/>
              <w:rPr>
                <w:sz w:val="20"/>
                <w:szCs w:val="20"/>
                <w:color w:val="auto"/>
              </w:rPr>
            </w:pPr>
            <w:r>
              <w:rPr>
                <w:rFonts w:ascii="Arial" w:cs="Arial" w:eastAsia="Arial" w:hAnsi="Arial"/>
                <w:sz w:val="22"/>
                <w:szCs w:val="22"/>
                <w:color w:val="auto"/>
              </w:rPr>
              <w:t>Regulatory Debt to Equity</w:t>
            </w:r>
          </w:p>
        </w:tc>
        <w:tc>
          <w:tcPr>
            <w:tcW w:w="27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0.75x</w:t>
            </w:r>
          </w:p>
        </w:tc>
      </w:tr>
      <w:tr>
        <w:trPr>
          <w:trHeight w:val="327"/>
        </w:trPr>
        <w:tc>
          <w:tcPr>
            <w:tcW w:w="7160" w:type="dxa"/>
            <w:vAlign w:val="bottom"/>
          </w:tcPr>
          <w:p>
            <w:pPr>
              <w:ind w:left="120"/>
              <w:spacing w:after="0" w:line="326" w:lineRule="exact"/>
              <w:rPr>
                <w:sz w:val="20"/>
                <w:szCs w:val="20"/>
                <w:color w:val="auto"/>
              </w:rPr>
            </w:pPr>
            <w:r>
              <w:rPr>
                <w:rFonts w:ascii="Arial" w:cs="Arial" w:eastAsia="Arial" w:hAnsi="Arial"/>
                <w:sz w:val="22"/>
                <w:szCs w:val="22"/>
                <w:color w:val="auto"/>
              </w:rPr>
              <w:t xml:space="preserve">Regulatory Net Debt to Equity </w:t>
            </w:r>
            <w:r>
              <w:rPr>
                <w:rFonts w:ascii="Arial" w:cs="Arial" w:eastAsia="Arial" w:hAnsi="Arial"/>
                <w:sz w:val="35"/>
                <w:szCs w:val="35"/>
                <w:color w:val="auto"/>
                <w:vertAlign w:val="superscript"/>
              </w:rPr>
              <w:t>(3)</w:t>
            </w:r>
          </w:p>
        </w:tc>
        <w:tc>
          <w:tcPr>
            <w:tcW w:w="27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0.69x</w:t>
            </w:r>
          </w:p>
        </w:tc>
      </w:tr>
      <w:tr>
        <w:trPr>
          <w:trHeight w:val="471"/>
        </w:trPr>
        <w:tc>
          <w:tcPr>
            <w:tcW w:w="7160" w:type="dxa"/>
            <w:vAlign w:val="bottom"/>
          </w:tcPr>
          <w:p>
            <w:pPr>
              <w:ind w:left="120"/>
              <w:spacing w:after="0"/>
              <w:rPr>
                <w:sz w:val="20"/>
                <w:szCs w:val="20"/>
                <w:color w:val="auto"/>
              </w:rPr>
            </w:pPr>
            <w:r>
              <w:rPr>
                <w:rFonts w:ascii="Arial" w:cs="Arial" w:eastAsia="Arial" w:hAnsi="Arial"/>
                <w:sz w:val="22"/>
                <w:szCs w:val="22"/>
                <w:color w:val="auto"/>
              </w:rPr>
              <w:t xml:space="preserve">GAAP Net Debt to Equity </w:t>
            </w:r>
            <w:r>
              <w:rPr>
                <w:rFonts w:ascii="Arial" w:cs="Arial" w:eastAsia="Arial" w:hAnsi="Arial"/>
                <w:sz w:val="35"/>
                <w:szCs w:val="35"/>
                <w:color w:val="auto"/>
                <w:vertAlign w:val="superscript"/>
              </w:rPr>
              <w:t>(4)</w:t>
            </w:r>
          </w:p>
        </w:tc>
        <w:tc>
          <w:tcPr>
            <w:tcW w:w="27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0.85x</w:t>
            </w:r>
          </w:p>
        </w:tc>
      </w:tr>
      <w:tr>
        <w:trPr>
          <w:trHeight w:val="390"/>
        </w:trPr>
        <w:tc>
          <w:tcPr>
            <w:tcW w:w="7160" w:type="dxa"/>
            <w:vAlign w:val="bottom"/>
          </w:tcPr>
          <w:p>
            <w:pPr>
              <w:ind w:left="120"/>
              <w:spacing w:after="0"/>
              <w:rPr>
                <w:sz w:val="20"/>
                <w:szCs w:val="20"/>
                <w:color w:val="auto"/>
              </w:rPr>
            </w:pPr>
            <w:r>
              <w:rPr>
                <w:rFonts w:ascii="Arial" w:cs="Arial" w:eastAsia="Arial" w:hAnsi="Arial"/>
                <w:sz w:val="22"/>
                <w:szCs w:val="22"/>
                <w:color w:val="auto"/>
              </w:rPr>
              <w:t>Yield on debt investments at quarter-end</w:t>
            </w:r>
          </w:p>
        </w:tc>
        <w:tc>
          <w:tcPr>
            <w:tcW w:w="27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9.3%</w:t>
            </w:r>
          </w:p>
        </w:tc>
      </w:tr>
      <w:tr>
        <w:trPr>
          <w:trHeight w:val="536"/>
        </w:trPr>
        <w:tc>
          <w:tcPr>
            <w:tcW w:w="7160" w:type="dxa"/>
            <w:vAlign w:val="bottom"/>
          </w:tcPr>
          <w:p>
            <w:pPr>
              <w:spacing w:after="0"/>
              <w:rPr>
                <w:sz w:val="20"/>
                <w:szCs w:val="20"/>
                <w:color w:val="auto"/>
              </w:rPr>
            </w:pPr>
            <w:r>
              <w:rPr>
                <w:rFonts w:ascii="Arial" w:cs="Arial" w:eastAsia="Arial" w:hAnsi="Arial"/>
                <w:sz w:val="22"/>
                <w:szCs w:val="22"/>
                <w:color w:val="auto"/>
              </w:rPr>
              <w:t>Operating Results:</w:t>
            </w:r>
          </w:p>
        </w:tc>
        <w:tc>
          <w:tcPr>
            <w:tcW w:w="27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7160" w:type="dxa"/>
            <w:vAlign w:val="bottom"/>
          </w:tcPr>
          <w:p>
            <w:pPr>
              <w:ind w:left="120"/>
              <w:spacing w:after="0"/>
              <w:rPr>
                <w:sz w:val="20"/>
                <w:szCs w:val="20"/>
                <w:color w:val="auto"/>
              </w:rPr>
            </w:pPr>
            <w:r>
              <w:rPr>
                <w:rFonts w:ascii="Arial" w:cs="Arial" w:eastAsia="Arial" w:hAnsi="Arial"/>
                <w:sz w:val="22"/>
                <w:szCs w:val="22"/>
                <w:color w:val="auto"/>
              </w:rPr>
              <w:t>Net investment income</w:t>
            </w:r>
          </w:p>
        </w:tc>
        <w:tc>
          <w:tcPr>
            <w:tcW w:w="2720" w:type="dxa"/>
            <w:vAlign w:val="bottom"/>
          </w:tcPr>
          <w:p>
            <w:pPr>
              <w:jc w:val="right"/>
              <w:ind w:right="472"/>
              <w:spacing w:after="0"/>
              <w:rPr>
                <w:sz w:val="20"/>
                <w:szCs w:val="20"/>
                <w:color w:val="auto"/>
              </w:rPr>
            </w:pPr>
            <w:r>
              <w:rPr>
                <w:rFonts w:ascii="Arial" w:cs="Arial" w:eastAsia="Arial" w:hAnsi="Arial"/>
                <w:sz w:val="22"/>
                <w:szCs w:val="22"/>
                <w:color w:val="auto"/>
              </w:rPr>
              <w:t>$</w:t>
            </w:r>
          </w:p>
        </w:tc>
        <w:tc>
          <w:tcPr>
            <w:tcW w:w="1240" w:type="dxa"/>
            <w:vAlign w:val="bottom"/>
          </w:tcPr>
          <w:p>
            <w:pPr>
              <w:jc w:val="right"/>
              <w:spacing w:after="0"/>
              <w:rPr>
                <w:sz w:val="20"/>
                <w:szCs w:val="20"/>
                <w:color w:val="auto"/>
              </w:rPr>
            </w:pPr>
            <w:r>
              <w:rPr>
                <w:rFonts w:ascii="Arial" w:cs="Arial" w:eastAsia="Arial" w:hAnsi="Arial"/>
                <w:sz w:val="22"/>
                <w:szCs w:val="22"/>
                <w:color w:val="auto"/>
              </w:rPr>
              <w:t>8.8</w:t>
            </w:r>
          </w:p>
        </w:tc>
      </w:tr>
      <w:tr>
        <w:trPr>
          <w:trHeight w:val="270"/>
        </w:trPr>
        <w:tc>
          <w:tcPr>
            <w:tcW w:w="7160" w:type="dxa"/>
            <w:vAlign w:val="bottom"/>
          </w:tcPr>
          <w:p>
            <w:pPr>
              <w:ind w:left="120"/>
              <w:spacing w:after="0"/>
              <w:rPr>
                <w:sz w:val="20"/>
                <w:szCs w:val="20"/>
                <w:color w:val="auto"/>
              </w:rPr>
            </w:pPr>
            <w:r>
              <w:rPr>
                <w:rFonts w:ascii="Arial" w:cs="Arial" w:eastAsia="Arial" w:hAnsi="Arial"/>
                <w:sz w:val="22"/>
                <w:szCs w:val="22"/>
                <w:color w:val="auto"/>
              </w:rPr>
              <w:t>Net investment income per share</w:t>
            </w:r>
          </w:p>
        </w:tc>
        <w:tc>
          <w:tcPr>
            <w:tcW w:w="2720" w:type="dxa"/>
            <w:vAlign w:val="bottom"/>
          </w:tcPr>
          <w:p>
            <w:pPr>
              <w:jc w:val="right"/>
              <w:ind w:right="472"/>
              <w:spacing w:after="0"/>
              <w:rPr>
                <w:sz w:val="20"/>
                <w:szCs w:val="20"/>
                <w:color w:val="auto"/>
              </w:rPr>
            </w:pPr>
            <w:r>
              <w:rPr>
                <w:rFonts w:ascii="Arial" w:cs="Arial" w:eastAsia="Arial" w:hAnsi="Arial"/>
                <w:sz w:val="22"/>
                <w:szCs w:val="22"/>
                <w:color w:val="auto"/>
              </w:rPr>
              <w:t>$</w:t>
            </w:r>
          </w:p>
        </w:tc>
        <w:tc>
          <w:tcPr>
            <w:tcW w:w="1240" w:type="dxa"/>
            <w:vAlign w:val="bottom"/>
          </w:tcPr>
          <w:p>
            <w:pPr>
              <w:jc w:val="right"/>
              <w:spacing w:after="0"/>
              <w:rPr>
                <w:sz w:val="20"/>
                <w:szCs w:val="20"/>
                <w:color w:val="auto"/>
              </w:rPr>
            </w:pPr>
            <w:r>
              <w:rPr>
                <w:rFonts w:ascii="Arial" w:cs="Arial" w:eastAsia="Arial" w:hAnsi="Arial"/>
                <w:sz w:val="22"/>
                <w:szCs w:val="22"/>
                <w:color w:val="auto"/>
              </w:rPr>
              <w:t>0.13</w:t>
            </w:r>
          </w:p>
        </w:tc>
      </w:tr>
      <w:tr>
        <w:trPr>
          <w:trHeight w:val="274"/>
        </w:trPr>
        <w:tc>
          <w:tcPr>
            <w:tcW w:w="7160" w:type="dxa"/>
            <w:vAlign w:val="bottom"/>
          </w:tcPr>
          <w:p>
            <w:pPr>
              <w:ind w:left="120"/>
              <w:spacing w:after="0"/>
              <w:rPr>
                <w:sz w:val="20"/>
                <w:szCs w:val="20"/>
                <w:color w:val="auto"/>
              </w:rPr>
            </w:pPr>
            <w:r>
              <w:rPr>
                <w:rFonts w:ascii="Arial" w:cs="Arial" w:eastAsia="Arial" w:hAnsi="Arial"/>
                <w:sz w:val="22"/>
                <w:szCs w:val="22"/>
                <w:color w:val="auto"/>
              </w:rPr>
              <w:t>Distributions declared per share</w:t>
            </w:r>
          </w:p>
        </w:tc>
        <w:tc>
          <w:tcPr>
            <w:tcW w:w="2720" w:type="dxa"/>
            <w:vAlign w:val="bottom"/>
          </w:tcPr>
          <w:p>
            <w:pPr>
              <w:jc w:val="right"/>
              <w:ind w:right="472"/>
              <w:spacing w:after="0"/>
              <w:rPr>
                <w:sz w:val="20"/>
                <w:szCs w:val="20"/>
                <w:color w:val="auto"/>
              </w:rPr>
            </w:pPr>
            <w:r>
              <w:rPr>
                <w:rFonts w:ascii="Arial" w:cs="Arial" w:eastAsia="Arial" w:hAnsi="Arial"/>
                <w:sz w:val="22"/>
                <w:szCs w:val="22"/>
                <w:color w:val="auto"/>
              </w:rPr>
              <w:t>$</w:t>
            </w:r>
          </w:p>
        </w:tc>
        <w:tc>
          <w:tcPr>
            <w:tcW w:w="1240" w:type="dxa"/>
            <w:vAlign w:val="bottom"/>
          </w:tcPr>
          <w:p>
            <w:pPr>
              <w:jc w:val="right"/>
              <w:spacing w:after="0"/>
              <w:rPr>
                <w:sz w:val="20"/>
                <w:szCs w:val="20"/>
                <w:color w:val="auto"/>
              </w:rPr>
            </w:pPr>
            <w:r>
              <w:rPr>
                <w:rFonts w:ascii="Arial" w:cs="Arial" w:eastAsia="Arial" w:hAnsi="Arial"/>
                <w:sz w:val="22"/>
                <w:szCs w:val="22"/>
                <w:color w:val="auto"/>
              </w:rPr>
              <w:t>0.12</w:t>
            </w:r>
          </w:p>
        </w:tc>
      </w:tr>
      <w:tr>
        <w:trPr>
          <w:trHeight w:val="536"/>
        </w:trPr>
        <w:tc>
          <w:tcPr>
            <w:tcW w:w="7160" w:type="dxa"/>
            <w:vAlign w:val="bottom"/>
          </w:tcPr>
          <w:p>
            <w:pPr>
              <w:spacing w:after="0"/>
              <w:rPr>
                <w:sz w:val="20"/>
                <w:szCs w:val="20"/>
                <w:color w:val="auto"/>
              </w:rPr>
            </w:pPr>
            <w:r>
              <w:rPr>
                <w:rFonts w:ascii="Arial" w:cs="Arial" w:eastAsia="Arial" w:hAnsi="Arial"/>
                <w:sz w:val="22"/>
                <w:szCs w:val="22"/>
                <w:color w:val="auto"/>
              </w:rPr>
              <w:t>Portfolio Activity:</w:t>
            </w:r>
          </w:p>
        </w:tc>
        <w:tc>
          <w:tcPr>
            <w:tcW w:w="27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7160" w:type="dxa"/>
            <w:vAlign w:val="bottom"/>
          </w:tcPr>
          <w:p>
            <w:pPr>
              <w:ind w:left="120"/>
              <w:spacing w:after="0"/>
              <w:rPr>
                <w:sz w:val="20"/>
                <w:szCs w:val="20"/>
                <w:color w:val="auto"/>
              </w:rPr>
            </w:pPr>
            <w:r>
              <w:rPr>
                <w:rFonts w:ascii="Arial" w:cs="Arial" w:eastAsia="Arial" w:hAnsi="Arial"/>
                <w:sz w:val="22"/>
                <w:szCs w:val="22"/>
                <w:color w:val="auto"/>
              </w:rPr>
              <w:t>Purchases of investments</w:t>
            </w:r>
          </w:p>
        </w:tc>
        <w:tc>
          <w:tcPr>
            <w:tcW w:w="2720" w:type="dxa"/>
            <w:vAlign w:val="bottom"/>
          </w:tcPr>
          <w:p>
            <w:pPr>
              <w:jc w:val="right"/>
              <w:ind w:right="472"/>
              <w:spacing w:after="0"/>
              <w:rPr>
                <w:sz w:val="20"/>
                <w:szCs w:val="20"/>
                <w:color w:val="auto"/>
              </w:rPr>
            </w:pPr>
            <w:r>
              <w:rPr>
                <w:rFonts w:ascii="Arial" w:cs="Arial" w:eastAsia="Arial" w:hAnsi="Arial"/>
                <w:sz w:val="22"/>
                <w:szCs w:val="22"/>
                <w:color w:val="auto"/>
              </w:rPr>
              <w:t>$</w:t>
            </w:r>
          </w:p>
        </w:tc>
        <w:tc>
          <w:tcPr>
            <w:tcW w:w="1240" w:type="dxa"/>
            <w:vAlign w:val="bottom"/>
          </w:tcPr>
          <w:p>
            <w:pPr>
              <w:jc w:val="right"/>
              <w:spacing w:after="0"/>
              <w:rPr>
                <w:sz w:val="20"/>
                <w:szCs w:val="20"/>
                <w:color w:val="auto"/>
              </w:rPr>
            </w:pPr>
            <w:r>
              <w:rPr>
                <w:rFonts w:ascii="Arial" w:cs="Arial" w:eastAsia="Arial" w:hAnsi="Arial"/>
                <w:sz w:val="22"/>
                <w:szCs w:val="22"/>
                <w:color w:val="auto"/>
              </w:rPr>
              <w:t>74.8</w:t>
            </w:r>
          </w:p>
        </w:tc>
      </w:tr>
      <w:tr>
        <w:trPr>
          <w:trHeight w:val="274"/>
        </w:trPr>
        <w:tc>
          <w:tcPr>
            <w:tcW w:w="7160" w:type="dxa"/>
            <w:vAlign w:val="bottom"/>
          </w:tcPr>
          <w:p>
            <w:pPr>
              <w:ind w:left="120"/>
              <w:spacing w:after="0"/>
              <w:rPr>
                <w:sz w:val="20"/>
                <w:szCs w:val="20"/>
                <w:color w:val="auto"/>
              </w:rPr>
            </w:pPr>
            <w:r>
              <w:rPr>
                <w:rFonts w:ascii="Arial" w:cs="Arial" w:eastAsia="Arial" w:hAnsi="Arial"/>
                <w:sz w:val="22"/>
                <w:szCs w:val="22"/>
                <w:color w:val="auto"/>
              </w:rPr>
              <w:t>Sales and repayments of investments</w:t>
            </w:r>
          </w:p>
        </w:tc>
        <w:tc>
          <w:tcPr>
            <w:tcW w:w="2720" w:type="dxa"/>
            <w:vAlign w:val="bottom"/>
          </w:tcPr>
          <w:p>
            <w:pPr>
              <w:jc w:val="right"/>
              <w:ind w:right="472"/>
              <w:spacing w:after="0"/>
              <w:rPr>
                <w:sz w:val="20"/>
                <w:szCs w:val="20"/>
                <w:color w:val="auto"/>
              </w:rPr>
            </w:pPr>
            <w:r>
              <w:rPr>
                <w:rFonts w:ascii="Arial" w:cs="Arial" w:eastAsia="Arial" w:hAnsi="Arial"/>
                <w:sz w:val="22"/>
                <w:szCs w:val="22"/>
                <w:color w:val="auto"/>
              </w:rPr>
              <w:t>$</w:t>
            </w:r>
          </w:p>
        </w:tc>
        <w:tc>
          <w:tcPr>
            <w:tcW w:w="1240" w:type="dxa"/>
            <w:vAlign w:val="bottom"/>
          </w:tcPr>
          <w:p>
            <w:pPr>
              <w:jc w:val="right"/>
              <w:spacing w:after="0"/>
              <w:rPr>
                <w:sz w:val="20"/>
                <w:szCs w:val="20"/>
                <w:color w:val="auto"/>
              </w:rPr>
            </w:pPr>
            <w:r>
              <w:rPr>
                <w:rFonts w:ascii="Arial" w:cs="Arial" w:eastAsia="Arial" w:hAnsi="Arial"/>
                <w:sz w:val="22"/>
                <w:szCs w:val="22"/>
                <w:color w:val="auto"/>
              </w:rPr>
              <w:t>65.0</w:t>
            </w:r>
          </w:p>
        </w:tc>
      </w:tr>
      <w:tr>
        <w:trPr>
          <w:trHeight w:val="536"/>
        </w:trPr>
        <w:tc>
          <w:tcPr>
            <w:tcW w:w="7160" w:type="dxa"/>
            <w:vAlign w:val="bottom"/>
          </w:tcPr>
          <w:p>
            <w:pPr>
              <w:ind w:left="120"/>
              <w:spacing w:after="0"/>
              <w:rPr>
                <w:sz w:val="20"/>
                <w:szCs w:val="20"/>
                <w:color w:val="auto"/>
              </w:rPr>
            </w:pPr>
            <w:r>
              <w:rPr>
                <w:rFonts w:ascii="Arial" w:cs="Arial" w:eastAsia="Arial" w:hAnsi="Arial"/>
                <w:sz w:val="22"/>
                <w:szCs w:val="22"/>
                <w:color w:val="auto"/>
              </w:rPr>
              <w:t>Number of new portfolio companies invested</w:t>
            </w:r>
          </w:p>
        </w:tc>
        <w:tc>
          <w:tcPr>
            <w:tcW w:w="27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270"/>
        </w:trPr>
        <w:tc>
          <w:tcPr>
            <w:tcW w:w="7160" w:type="dxa"/>
            <w:vAlign w:val="bottom"/>
          </w:tcPr>
          <w:p>
            <w:pPr>
              <w:ind w:left="120"/>
              <w:spacing w:after="0"/>
              <w:rPr>
                <w:sz w:val="20"/>
                <w:szCs w:val="20"/>
                <w:color w:val="auto"/>
              </w:rPr>
            </w:pPr>
            <w:r>
              <w:rPr>
                <w:rFonts w:ascii="Arial" w:cs="Arial" w:eastAsia="Arial" w:hAnsi="Arial"/>
                <w:sz w:val="22"/>
                <w:szCs w:val="22"/>
                <w:color w:val="auto"/>
              </w:rPr>
              <w:t>Number of existing portfolio companies invested</w:t>
            </w:r>
          </w:p>
        </w:tc>
        <w:tc>
          <w:tcPr>
            <w:tcW w:w="27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274"/>
        </w:trPr>
        <w:tc>
          <w:tcPr>
            <w:tcW w:w="7160" w:type="dxa"/>
            <w:vAlign w:val="bottom"/>
          </w:tcPr>
          <w:p>
            <w:pPr>
              <w:ind w:left="120"/>
              <w:spacing w:after="0"/>
              <w:rPr>
                <w:sz w:val="20"/>
                <w:szCs w:val="20"/>
                <w:color w:val="auto"/>
              </w:rPr>
            </w:pPr>
            <w:r>
              <w:rPr>
                <w:rFonts w:ascii="Arial" w:cs="Arial" w:eastAsia="Arial" w:hAnsi="Arial"/>
                <w:sz w:val="22"/>
                <w:szCs w:val="22"/>
                <w:color w:val="auto"/>
              </w:rPr>
              <w:t>Number of ending portfolio companies</w:t>
            </w:r>
          </w:p>
        </w:tc>
        <w:tc>
          <w:tcPr>
            <w:tcW w:w="27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83</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22"/>
          <w:szCs w:val="22"/>
          <w:color w:val="auto"/>
        </w:rPr>
        <w:t>______________</w:t>
      </w:r>
    </w:p>
    <w:p>
      <w:pPr>
        <w:spacing w:after="0" w:line="8" w:lineRule="exact"/>
        <w:rPr>
          <w:sz w:val="20"/>
          <w:szCs w:val="20"/>
          <w:color w:val="auto"/>
        </w:rPr>
      </w:pPr>
    </w:p>
    <w:p>
      <w:pPr>
        <w:ind w:right="20" w:firstLine="8"/>
        <w:spacing w:after="0" w:line="230" w:lineRule="auto"/>
        <w:tabs>
          <w:tab w:leader="none" w:pos="340" w:val="left"/>
        </w:tabs>
        <w:numPr>
          <w:ilvl w:val="0"/>
          <w:numId w:val="3"/>
        </w:numPr>
        <w:rPr>
          <w:rFonts w:ascii="Arial" w:cs="Arial" w:eastAsia="Arial" w:hAnsi="Arial"/>
          <w:sz w:val="22"/>
          <w:szCs w:val="22"/>
          <w:color w:val="auto"/>
        </w:rPr>
      </w:pPr>
      <w:r>
        <w:rPr>
          <w:rFonts w:ascii="Arial" w:cs="Arial" w:eastAsia="Arial" w:hAnsi="Arial"/>
          <w:sz w:val="22"/>
          <w:szCs w:val="22"/>
          <w:color w:val="auto"/>
        </w:rPr>
        <w:t>Includes investments in PennantPark Senior Loan Fund, LLC, or PSLF, an unconsolidated joint venture, totaling $104.4 million, at fair value.</w:t>
      </w:r>
    </w:p>
    <w:p>
      <w:pPr>
        <w:spacing w:after="0" w:line="1" w:lineRule="exact"/>
        <w:rPr>
          <w:rFonts w:ascii="Arial" w:cs="Arial" w:eastAsia="Arial" w:hAnsi="Arial"/>
          <w:sz w:val="22"/>
          <w:szCs w:val="22"/>
          <w:color w:val="auto"/>
        </w:rPr>
      </w:pPr>
    </w:p>
    <w:p>
      <w:pPr>
        <w:jc w:val="both"/>
        <w:ind w:firstLine="8"/>
        <w:spacing w:after="0" w:line="266" w:lineRule="auto"/>
        <w:tabs>
          <w:tab w:leader="none" w:pos="313" w:val="left"/>
        </w:tabs>
        <w:numPr>
          <w:ilvl w:val="0"/>
          <w:numId w:val="3"/>
        </w:numPr>
        <w:rPr>
          <w:rFonts w:ascii="Arial" w:cs="Arial" w:eastAsia="Arial" w:hAnsi="Arial"/>
          <w:sz w:val="19"/>
          <w:szCs w:val="19"/>
          <w:color w:val="auto"/>
        </w:rPr>
      </w:pPr>
      <w:r>
        <w:rPr>
          <w:rFonts w:ascii="Arial" w:cs="Arial" w:eastAsia="Arial" w:hAnsi="Arial"/>
          <w:sz w:val="19"/>
          <w:szCs w:val="19"/>
          <w:color w:val="auto"/>
        </w:rPr>
        <w:t>This is a non-GAAP financial measure. The Company believes that this number provides useful information to investors and management because it reflects the Company’s financial performance excluding the impact of the $2.6 million unrealized loss on our multi-currency, senior secured revolving credit facility with Truist Bank, as amended, or the Credit Facility, and, together with our credit facility with BNP Paribas, as amended, the Credit Facilities. The presentation of this additional information is not meant to be considered in isolation or as a substitute for financial results prepared in accordance with GAAP.</w:t>
      </w:r>
    </w:p>
    <w:p>
      <w:pPr>
        <w:spacing w:after="0" w:line="4" w:lineRule="exact"/>
        <w:rPr>
          <w:rFonts w:ascii="Arial" w:cs="Arial" w:eastAsia="Arial" w:hAnsi="Arial"/>
          <w:sz w:val="19"/>
          <w:szCs w:val="19"/>
          <w:color w:val="auto"/>
        </w:rPr>
      </w:pPr>
    </w:p>
    <w:p>
      <w:pPr>
        <w:jc w:val="both"/>
        <w:ind w:firstLine="8"/>
        <w:spacing w:after="0" w:line="230" w:lineRule="auto"/>
        <w:tabs>
          <w:tab w:leader="none" w:pos="313" w:val="left"/>
        </w:tabs>
        <w:numPr>
          <w:ilvl w:val="0"/>
          <w:numId w:val="3"/>
        </w:numPr>
        <w:rPr>
          <w:rFonts w:ascii="Arial" w:cs="Arial" w:eastAsia="Arial" w:hAnsi="Arial"/>
          <w:sz w:val="22"/>
          <w:szCs w:val="22"/>
          <w:color w:val="auto"/>
        </w:rPr>
      </w:pPr>
      <w:r>
        <w:rPr>
          <w:rFonts w:ascii="Arial" w:cs="Arial" w:eastAsia="Arial" w:hAnsi="Arial"/>
          <w:sz w:val="22"/>
          <w:szCs w:val="22"/>
          <w:color w:val="auto"/>
        </w:rPr>
        <w:t>This is a non-GAAP financial measure. The Company believes that this number provides useful information to investors and management because it reflects the Company’s financial performance net of $33.9 million of cash and cash equivalents. The presentation of this additional information is not meant to be considered in isolation or as a substitute for financial results prepared in accordance with GAAP.</w:t>
      </w:r>
    </w:p>
    <w:p>
      <w:pPr>
        <w:spacing w:after="0" w:line="2" w:lineRule="exact"/>
        <w:rPr>
          <w:rFonts w:ascii="Arial" w:cs="Arial" w:eastAsia="Arial" w:hAnsi="Arial"/>
          <w:sz w:val="22"/>
          <w:szCs w:val="22"/>
          <w:color w:val="auto"/>
        </w:rPr>
      </w:pPr>
    </w:p>
    <w:p>
      <w:pPr>
        <w:jc w:val="both"/>
        <w:ind w:firstLine="8"/>
        <w:spacing w:after="0" w:line="233" w:lineRule="auto"/>
        <w:tabs>
          <w:tab w:leader="none" w:pos="313" w:val="left"/>
        </w:tabs>
        <w:numPr>
          <w:ilvl w:val="0"/>
          <w:numId w:val="3"/>
        </w:numPr>
        <w:rPr>
          <w:rFonts w:ascii="Arial" w:cs="Arial" w:eastAsia="Arial" w:hAnsi="Arial"/>
          <w:sz w:val="22"/>
          <w:szCs w:val="22"/>
          <w:color w:val="auto"/>
        </w:rPr>
      </w:pPr>
      <w:r>
        <w:rPr>
          <w:rFonts w:ascii="Arial" w:cs="Arial" w:eastAsia="Arial" w:hAnsi="Arial"/>
          <w:sz w:val="22"/>
          <w:szCs w:val="22"/>
          <w:color w:val="auto"/>
        </w:rPr>
        <w:t>This is a non-GAAP financial measure. The Company believes that this number provides useful information to investors and management because it reflects the Company’s financial performance including the impact of the $2.6 million unrealized loss on the Credit Facility, Small Business Act, or SBA, Debentures and net of $33.9 million of cash and cash equivalents. The presentation of this additional information is not meant to be considered in isolation or as a substitute for financial results prepared in accordance with GAAP.</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AT 12:00 P.M. ET ON MAY 6, 2021</w:t>
      </w:r>
    </w:p>
    <w:p>
      <w:pPr>
        <w:sectPr>
          <w:pgSz w:w="11900" w:h="16901" w:orient="portrait"/>
          <w:cols w:equalWidth="0" w:num="1">
            <w:col w:w="11240"/>
          </w:cols>
          <w:pgMar w:left="320" w:top="112" w:right="339" w:bottom="0" w:gutter="0" w:footer="0" w:header="0"/>
        </w:sectPr>
      </w:pPr>
    </w:p>
    <w:bookmarkStart w:id="4" w:name="page5"/>
    <w:bookmarkEnd w:id="4"/>
    <w:p>
      <w:pPr>
        <w:jc w:val="both"/>
        <w:spacing w:after="0" w:line="279" w:lineRule="auto"/>
        <w:rPr>
          <w:sz w:val="20"/>
          <w:szCs w:val="20"/>
          <w:color w:val="auto"/>
        </w:rPr>
      </w:pPr>
      <w:r>
        <w:rPr>
          <w:rFonts w:ascii="Arial" w:cs="Arial" w:eastAsia="Arial" w:hAnsi="Arial"/>
          <w:sz w:val="19"/>
          <w:szCs w:val="19"/>
          <w:color w:val="auto"/>
        </w:rPr>
        <w:t>PennantPark Investment Corporation (“we,” “our,” “us” or the “Company”) will host a conference call at 12:00 p.m. (Eastern Time) on Thursday, May 6, 2021 to discuss its financial results. All interested parties are welcome to participate. You can access the conference call by dialing toll-free (800) 263-0877 approximately 5-10 minutes prior to the call. International callers should dial (646) 828-8143. All callers should reference conference ID #3330373 PennantPark Investment Corporation. An archived replay of the call will be available through May 20, 2021 by calling toll-free (888) 203-1112. International callers please dial (719) 457-0820. For all phone replays, please reference conference ID #3330373.</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PORTFOLIO AND INVESTMENT ACTIVITY</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“We are pleased with the substantial increase in net asset value this past quarter due to material appreciation in the value of several equity investments,” said Arthur Penn, Chairman and CEO. “We believe that we can generate increased income over time by rotating those equity positions into yield generating debt instruments. We are starting to see some progress on the exit of those equity investments. Additionally, we have the ability to grow the PNNT balance sheet and our PSLF JV which should also generate additional income for the Company.”</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As of March 31, 2021, our portfolio totaled $1,175.2 million, which consisted of $443.5 million of first lien secured debt, $194.6 million of second lien secured debt, $118.2 million of subordinated debt (including $64.2 million in PSLF) and $419.0 million of preferred and common equity (including $40.2 million in PSLF). Our debt portfolio consisted of 92% variable-rate investments. As of March 31, 2021, we did not have any portfolio companies on non-accrual. Overall, the portfolio had net unrealized appreciation of $42.9 million as of March 31, 2021. Our overall portfolio consisted of 83 companies with an average investment size of $14.2 million, had a weighted average yield on interest bearing debt investments of 9.3% and was invested 38% in first lien secured debt, 16% in second lien secured debt, 10% in subordinated debt (including 5% in PSLF) and 36% in preferred and common equity (including 3% in PSLF). As of March 31, 2021, all of the investments held by PSLF were first lien secured debt.</w:t>
      </w:r>
    </w:p>
    <w:p>
      <w:pPr>
        <w:spacing w:after="0" w:line="157"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As of September 30, 2020, our portfolio totaled $1,081.8 million, which consisted of $439.0 million of first lien secured debt, $220.8 million of second lien secured debt, $113.6 million of subordinated debt (including $63.0 million in PSLF) and $308.3 million of preferred and common equity (including $36.3 million in PSLF). Our debt portfolio consisted of 93% variable-rate investments. As of September 30, 2020, we had two portfolio companies on non-accrual, representing 4.9% and 3.4% of our overall portfolio on a cost and fair value basis, respectively. Overall, the portfolio had net unrealized depreciation of $83.8 million as of September 30, 2020. Our overall portfolio consisted of 80 companies with an average investment size of $13.5 million, had a weighted average yield on interest bearing debt investments of 8.9% and was invested 41% in first lien secured debt, 20% in second lien secured debt, 10% in subordinated debt (including 6% in PSLF) and 29% in preferred and common equity (including 3% in PSLF). As of September 30, 2020, all of the investments held by PSLF were first lien secured debt.</w:t>
      </w:r>
    </w:p>
    <w:p>
      <w:pPr>
        <w:spacing w:after="0" w:line="158"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For the three months ended March 31, 2021, we invested $74.8 million in three new and eight existing portfolio companies with a weighted average yield on debt investments of 7.9%. Sales and repayments of investments for the three months ended March 31, 2021 totaled $65.0 million. For the six months ended March 31, 2021, we invested $143.0 million in seven new and 23 existing portfolio companies with a weighted average yield on debt investments of 8.8%. Sales and repayments of investments for the six months ended March 31, 2021 totaled $167.6 million.</w:t>
      </w:r>
    </w:p>
    <w:p>
      <w:pPr>
        <w:spacing w:after="0" w:line="178"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For the three months ended March 31, 2020, we invested $106.8 million in eight new and 24 existing portfolio companies with a weighted average yield on debt investments of 8.2%. Sales and repayments of investments for the three months ended March 31, 2020 totaled $16.4 million. For the six months ended March 31, 2020, we invested $280.5 million in 21 new and 39 existing portfolio companies with a weighted average yield on debt investments of 8.6%. Sales and repayments of investments for the six months ended March 31, 2020 totaled $47.5 million.</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PennantPark Senior Loan Fund, LLC</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As of March 31, 2021, PSLF’s portfolio totaled $381.7 million, consisted of 40 companies with an average investment size of $9.5 million and had a weighted average yield on debt investments of 7.3%.</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As of September 30, 2020, PSLF’s portfolio totaled $353.4 million, consisted of 37 companies with an average investment size of $9.6 million and had a weighted average yield on debt investments of 7.3%.</w:t>
      </w:r>
    </w:p>
    <w:p>
      <w:pPr>
        <w:spacing w:after="0" w:line="17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For the three months ended March 31, 2021, PSLF invested $32.5 million (of which $15.5 million was purchased from the Company) in four new and two existing portfolio companies with a weighted average yield on debt investments of 8.0%. PSLF’s sales and repayments of investments for the same period totaled $4.9 million. For the six months ended March 31, 2021, PSLF invested $63.3 million (of which $37.8 million was purchased from the Company) in six new and six existing portfolio companies with a weighted average yield on debt investments of 7.5%. PSLF’s sales and repayments of investments for the same period totaled $40.7 million.</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Set forth below are the results of operations for the three and six months ended March 31, 2021 and 2020.</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Income</w:t>
      </w:r>
    </w:p>
    <w:p>
      <w:pPr>
        <w:spacing w:after="0" w:line="212" w:lineRule="exact"/>
        <w:rPr>
          <w:sz w:val="20"/>
          <w:szCs w:val="20"/>
          <w:color w:val="auto"/>
        </w:rPr>
      </w:pPr>
    </w:p>
    <w:p>
      <w:pPr>
        <w:jc w:val="both"/>
        <w:ind w:right="20"/>
        <w:spacing w:after="0" w:line="328" w:lineRule="auto"/>
        <w:rPr>
          <w:sz w:val="20"/>
          <w:szCs w:val="20"/>
          <w:color w:val="auto"/>
        </w:rPr>
      </w:pPr>
      <w:r>
        <w:rPr>
          <w:rFonts w:ascii="Arial" w:cs="Arial" w:eastAsia="Arial" w:hAnsi="Arial"/>
          <w:sz w:val="19"/>
          <w:szCs w:val="19"/>
          <w:color w:val="auto"/>
        </w:rPr>
        <w:t>Investment income for the three and six months ended March 31, 2021 was $19.2 million and $38.0 million, respectively, and was attributable to $10.9 million and $22.1 million from first lien secured debt, $5.8 million and $10.6 million from second lien</w:t>
      </w:r>
    </w:p>
    <w:p>
      <w:pPr>
        <w:sectPr>
          <w:pgSz w:w="11900" w:h="16838" w:orient="portrait"/>
          <w:cols w:equalWidth="0" w:num="1">
            <w:col w:w="11240"/>
          </w:cols>
          <w:pgMar w:left="320" w:top="118" w:right="339" w:bottom="0" w:gutter="0" w:footer="0" w:header="0"/>
        </w:sectPr>
      </w:pPr>
    </w:p>
    <w:bookmarkStart w:id="5" w:name="page6"/>
    <w:bookmarkEnd w:id="5"/>
    <w:p>
      <w:pPr>
        <w:jc w:val="both"/>
        <w:spacing w:after="0" w:line="248" w:lineRule="auto"/>
        <w:rPr>
          <w:sz w:val="20"/>
          <w:szCs w:val="20"/>
          <w:color w:val="auto"/>
        </w:rPr>
      </w:pPr>
      <w:r>
        <w:rPr>
          <w:rFonts w:ascii="Arial" w:cs="Arial" w:eastAsia="Arial" w:hAnsi="Arial"/>
          <w:sz w:val="21"/>
          <w:szCs w:val="21"/>
          <w:color w:val="auto"/>
        </w:rPr>
        <w:t>secured debt, $1.7 million and $3.4 million from subordinated debt and $0.9 million and $1.9 million from preferred and common equity, respectively. This compares to investment income for the three and six months ended March 31, 2020 of $27.5 million and $53.5 million, respectively, and was attributable to $17.5 million and $33.5 million from first lien secured debt, $7.7 million and $15.4 million from second lien secured debt and $2.3 million and $4.6 million from subordinated debt, respectively. The decrease in investment income compared to the same periods in the prior year was primarily due to decreases in the size of our debt portfolio and the London Interbank Offered Rate.</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Expenses</w:t>
      </w:r>
    </w:p>
    <w:p>
      <w:pPr>
        <w:spacing w:after="0" w:line="212"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Expenses for the three and six months ended March 31, 2021 totaled $10.5 million and $20.9 million, respectively. Base management fee for the same periods totaled $4.3 million and $8.4 million, debt related interest and expenses totaled $4.9 million and $9.9 million, general and administrative expenses totaled $1.1 million and $2.3 million and provision for taxes totaled $0.2 million and $0.3 million, respectively. This compares to net expenses for the three and six months ended March 31, 2020, which totaled $17.2 million and $33.0 million, respectively. Base management fee for the same periods totaled $4.9 million and $9.6 million, incentive fee totaled $1.9 million and $2.7 million, debt related interest and expenses totaled $9.0 million and $17.8 million, general and administrative expenses totaled $1.2 million and $2.3 million and provision for taxes totaled $0.3 million and $0.6 million, respectively. The decrease in expenses for the three and six months ended March 31, 2021 compared to the same period in the prior year was primarily due to lower leverage costs and lower management fees and incentive fees.</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Investment Income</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Net investment income totaled $8.8 million and $17.1 million, or $0.13 and $0.25 per share, for the three and six months ended March 31, 2021, respectively. Net investment income totaled $10.3 million and $20.5 million, or $0.15 and $0.31 per share, for the three and six months ended March 31, 2020, respectively. The decrease in net investment income compared to the same periods in the prior year was primarily due to lower investment income.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Realized Gains or Losses</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Sales and repayments of investments for the three and six months ended March 31, 2021 totaled $65.0 million and $167.6 million, respectively, and net realized gains (losses) totaled $0.3 million and ($17.3) million, respectively. Sales and repayments of investments for the three and six months ended March 31, 2020 totaled $16.4 million and $47.5 million, respectively, and net realized gains (losses) totaled $1.4 million and ($10.6) million, respectively. The change in realized gains/losses was primarily due to changes in the market conditions of our investments and the values at which they were realized.</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Unrealized Appreciation or Depreciation on Investments and the Credit Facilities</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For the three and six months ended March 31, 2021, we reported net change in unrealized appreciation on investments of $33.2 million and $126.7 million, respectively. For the three and six months ended March 31, 2020, we reported net change in unrealized depreciation on investments of $121.0 million and $97.3 million, respectively. As of March 31, 2021 and September 30, 2020, our net unrealized appreciation (depreciation) on investments totaled $42.9 million and ($83.8) million, respectively. The net change in unrealized appreciation/depreciation on our investments compared to the same period in the prior year was primarily due to unrealized gains in our equity co-investment program, including ITC Rumba, LLC (Cano Health, LLC).</w:t>
      </w:r>
    </w:p>
    <w:p>
      <w:pPr>
        <w:spacing w:after="0" w:line="150"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For the three and six months ended March 31, 2021, the Truist Credit Facility had a net change in unrealized appreciation of $3.8 million and $16.9 million, respectively. For the three and six months ended March 31, 2020, our Credit Facilities had a net change in unrealized depreciation of $48.9 million and $46.4 million, respectively, respectively. As of March 31, 2021 and September 30, 2020, the net unrealized depreciation on the Credit Facilities totaled $2.7 million and $19.6 million, respectively. The net change in unrealized depreciation compared to the same periods in the prior year was primarily due to changes in the capital markets.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Change in Net Assets Resulting from Operations</w:t>
      </w:r>
    </w:p>
    <w:p>
      <w:pPr>
        <w:spacing w:after="0" w:line="21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Net change in net assets resulting from operations totaled $38.5 million and $109.6 million, or $0.57 and $1.64 per share, for the three and six months ended March 31, 2021, respectively. Net change in net assets resulting from operations totaled ($60.3) million and ($41.1) million, or ($0.90) and ($0.61) per share, for the three and six months ended March 31, 2020. The increase in the net change in net assets from operations for the three and six months ended March 31, 2021 compared to the same periods in the prior year was primarily due to unrealized gains in our equity co-investment program, including ITC Rumba, LLC (Cano Health, LLC).</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proceeds from the rotation of our portfolio and proceeds from public and private offerings of securities to finance our investment objectives. For more information on how the COVID-19 pandemic may impact our ability to comply with the covenants of the Credit Facility, see our Quarterly Report on Form 10-Q for the quarter ended March 31, 2021, including “Item 2. Management's Discussion and Analysis of Financial Condition and Results of Operations – COVID-19 Developments”.</w:t>
      </w:r>
    </w:p>
    <w:p>
      <w:pPr>
        <w:sectPr>
          <w:pgSz w:w="11900" w:h="16838" w:orient="portrait"/>
          <w:cols w:equalWidth="0" w:num="1">
            <w:col w:w="11240"/>
          </w:cols>
          <w:pgMar w:left="320" w:top="118" w:right="339" w:bottom="0" w:gutter="0" w:footer="0" w:header="0"/>
        </w:sectPr>
      </w:pPr>
    </w:p>
    <w:bookmarkStart w:id="6" w:name="page7"/>
    <w:bookmarkEnd w:id="6"/>
    <w:p>
      <w:pPr>
        <w:spacing w:after="0" w:line="57"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The annualized weighted average cost of debt for the six months ended March 31, 2021 and 2020, inclusive of the fee on the undrawn commitment under the Credit Facilities and amortized upfront fees on SBA debentures, was 3.5% and 5.1%, respectively. As of March 31, 2021 and September 30, 2020, we had $99.5 million and $86.7 million of unused borrowing capacity under the Truist Credit Facility, respectively, subject to leverage and borrowing base restrictions.</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As of March 31, 2021 and September 30, 2020, we had $375.5 million and $388.3 million, respectively, in outstanding borrowings under the Truist Credit Facility. The Truist Credit Facility had a weighted average interest rate of 2.5% and 2.5%, exclusive of the fee on undrawn commitments, as of March 31, 2021 and September 30, 2020, respectively.</w:t>
      </w:r>
    </w:p>
    <w:p>
      <w:pPr>
        <w:spacing w:after="0" w:line="169" w:lineRule="exact"/>
        <w:rPr>
          <w:sz w:val="20"/>
          <w:szCs w:val="20"/>
          <w:color w:val="auto"/>
        </w:rPr>
      </w:pPr>
    </w:p>
    <w:p>
      <w:pPr>
        <w:jc w:val="both"/>
        <w:spacing w:after="0"/>
        <w:rPr>
          <w:sz w:val="20"/>
          <w:szCs w:val="20"/>
          <w:color w:val="auto"/>
        </w:rPr>
      </w:pPr>
      <w:r>
        <w:rPr>
          <w:rFonts w:ascii="Arial" w:cs="Arial" w:eastAsia="Arial" w:hAnsi="Arial"/>
          <w:sz w:val="22"/>
          <w:szCs w:val="22"/>
          <w:color w:val="auto"/>
        </w:rPr>
        <w:t>As of March 31, 2021 and September 30, 2020, we had cash and cash equivalents of $33.9 million and $25.8 million, respectively, available for investing and general corporate purposes. We believe our liquidity and capital resources are sufficient to take advantage of market opportunities.</w:t>
      </w:r>
    </w:p>
    <w:p>
      <w:pPr>
        <w:spacing w:after="0" w:line="18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Our operating activities provided cash of $46.8 million for the six months ended March 31, 2021, and our financing activities used cash of $38.8 million for the same period. Our operating activities provided cash primarily from our investment activities and our financing activities used cash primarily to pay down the Truist Credit Facility and our SBA Debentures.</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Our operating activities used cash of $218.6 million for the six months ended March 31, 2020 and our financing activities provided cash of $184.3 million for the same period. Our operating activities used cash primarily for our investment activities and our financing activities provided cash primarily from net borrowings under the Credit Facilities.</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DEVELOPMENTS</w:t>
      </w:r>
    </w:p>
    <w:p>
      <w:pPr>
        <w:spacing w:after="0" w:line="212"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On April 14, 2021, we entered into an underwriting agreement, or the Underwriting Agreement, by and among the Company, PennantPark Investment Advisers, LLC, PennantPark Investment Administration, LLC and Raymond James &amp; Associates, Inc., Keefe, Bruyette &amp; Woods, Inc. and Truist Securities, Inc., as representatives of the several underwriters named on Schedule A to the Underwriting Agreement, in connection with the issuance and sale of $150.0 million aggregate principal amount of the Company’s 4.5% Notes due 2026, or the 2026 Notes. On April 21, 2021, we closed the transaction and issued $150.0 million in aggregate principal amount of our 2026 Notes at a public offering price per note of 99.4%. Interest on the 2026 Notes is paid semi-annually on May 1 and November 1 of each year, at a rate of 4.5% per year, commencing November 1, 2021. The 2026 Notes mature on May 1, 2026 and may be redeemed in whole or in part at our option subject to a make-whole premium if redeemed more than three months prior to maturity. The 2026 Notes are general, unsecured obligations and rank equal in right of payment with all of our existing and future senior unsecured indebtedness. The 2026 Notes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 on any securities exchange or automated dealer quotation system.</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During the three and six months ended March 31, 2021, we declared distributions of $0.12 and $0.24 per share, for total distributions of $8.0 million and $16.1 million, respectively. For the same periods in the prior year, we declared distributions of $0.18 and $0.36 per share, for total distributions of $12.1 million and $24.1 million, respectively.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Securities and Exchange Commission, or the SEC.</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212"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The Company makes available on its website its Quarterly Report on Form 10-Q filed with the SEC, and stockholders may find such report on its website at www.pennantpark.com.</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INVESTMENT CORPORATION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ASSETS AND LIABILITIES</w:t>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8080" w:type="dxa"/>
            <w:vAlign w:val="bottom"/>
          </w:tcPr>
          <w:p>
            <w:pPr>
              <w:spacing w:after="0"/>
              <w:rPr>
                <w:sz w:val="21"/>
                <w:szCs w:val="21"/>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22"/>
                <w:szCs w:val="22"/>
                <w:b w:val="1"/>
                <w:bCs w:val="1"/>
                <w:color w:val="auto"/>
                <w:w w:val="92"/>
              </w:rPr>
              <w:t>March 31,</w:t>
            </w:r>
          </w:p>
        </w:tc>
        <w:tc>
          <w:tcPr>
            <w:tcW w:w="1420" w:type="dxa"/>
            <w:vAlign w:val="bottom"/>
          </w:tcPr>
          <w:p>
            <w:pPr>
              <w:jc w:val="right"/>
              <w:spacing w:after="0"/>
              <w:rPr>
                <w:sz w:val="20"/>
                <w:szCs w:val="20"/>
                <w:color w:val="auto"/>
              </w:rPr>
            </w:pPr>
            <w:r>
              <w:rPr>
                <w:rFonts w:ascii="Arial" w:cs="Arial" w:eastAsia="Arial" w:hAnsi="Arial"/>
                <w:sz w:val="22"/>
                <w:szCs w:val="22"/>
                <w:b w:val="1"/>
                <w:bCs w:val="1"/>
                <w:color w:val="auto"/>
                <w:w w:val="90"/>
              </w:rPr>
              <w:t>September 30,</w:t>
            </w:r>
          </w:p>
        </w:tc>
      </w:tr>
      <w:tr>
        <w:trPr>
          <w:trHeight w:val="270"/>
        </w:trPr>
        <w:tc>
          <w:tcPr>
            <w:tcW w:w="808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Arial" w:cs="Arial" w:eastAsia="Arial" w:hAnsi="Arial"/>
                <w:sz w:val="22"/>
                <w:szCs w:val="22"/>
                <w:b w:val="1"/>
                <w:bCs w:val="1"/>
                <w:color w:val="auto"/>
                <w:w w:val="85"/>
              </w:rPr>
              <w:t>2021</w:t>
            </w:r>
          </w:p>
        </w:tc>
        <w:tc>
          <w:tcPr>
            <w:tcW w:w="200" w:type="dxa"/>
            <w:vAlign w:val="bottom"/>
          </w:tcPr>
          <w:p>
            <w:pPr>
              <w:spacing w:after="0"/>
              <w:rPr>
                <w:sz w:val="23"/>
                <w:szCs w:val="23"/>
                <w:color w:val="auto"/>
              </w:rPr>
            </w:pPr>
          </w:p>
        </w:tc>
        <w:tc>
          <w:tcPr>
            <w:tcW w:w="1420" w:type="dxa"/>
            <w:vAlign w:val="bottom"/>
          </w:tcPr>
          <w:p>
            <w:pPr>
              <w:jc w:val="right"/>
              <w:ind w:right="392"/>
              <w:spacing w:after="0"/>
              <w:rPr>
                <w:sz w:val="20"/>
                <w:szCs w:val="20"/>
                <w:color w:val="auto"/>
              </w:rPr>
            </w:pPr>
            <w:r>
              <w:rPr>
                <w:rFonts w:ascii="Arial" w:cs="Arial" w:eastAsia="Arial" w:hAnsi="Arial"/>
                <w:sz w:val="22"/>
                <w:szCs w:val="22"/>
                <w:b w:val="1"/>
                <w:bCs w:val="1"/>
                <w:color w:val="auto"/>
              </w:rPr>
              <w:t>2020</w:t>
            </w:r>
          </w:p>
        </w:tc>
      </w:tr>
      <w:tr>
        <w:trPr>
          <w:trHeight w:val="280"/>
        </w:trPr>
        <w:tc>
          <w:tcPr>
            <w:tcW w:w="8080" w:type="dxa"/>
            <w:vAlign w:val="bottom"/>
          </w:tcPr>
          <w:p>
            <w:pPr>
              <w:spacing w:after="0"/>
              <w:rPr>
                <w:sz w:val="24"/>
                <w:szCs w:val="24"/>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22"/>
                <w:szCs w:val="22"/>
                <w:b w:val="1"/>
                <w:bCs w:val="1"/>
                <w:color w:val="auto"/>
                <w:w w:val="91"/>
              </w:rPr>
              <w:t>(unaudited)</w:t>
            </w:r>
          </w:p>
        </w:tc>
        <w:tc>
          <w:tcPr>
            <w:tcW w:w="1420" w:type="dxa"/>
            <w:vAlign w:val="bottom"/>
          </w:tcPr>
          <w:p>
            <w:pPr>
              <w:spacing w:after="0"/>
              <w:rPr>
                <w:sz w:val="24"/>
                <w:szCs w:val="24"/>
                <w:color w:val="auto"/>
              </w:rPr>
            </w:pPr>
          </w:p>
        </w:tc>
      </w:tr>
      <w:tr>
        <w:trPr>
          <w:trHeight w:val="259"/>
        </w:trPr>
        <w:tc>
          <w:tcPr>
            <w:tcW w:w="8080" w:type="dxa"/>
            <w:vAlign w:val="bottom"/>
          </w:tcPr>
          <w:p>
            <w:pPr>
              <w:spacing w:after="0"/>
              <w:rPr>
                <w:sz w:val="20"/>
                <w:szCs w:val="20"/>
                <w:color w:val="auto"/>
              </w:rPr>
            </w:pPr>
            <w:r>
              <w:rPr>
                <w:rFonts w:ascii="Arial" w:cs="Arial" w:eastAsia="Arial" w:hAnsi="Arial"/>
                <w:sz w:val="22"/>
                <w:szCs w:val="22"/>
                <w:b w:val="1"/>
                <w:bCs w:val="1"/>
                <w:color w:val="auto"/>
              </w:rPr>
              <w:t>Assets</w:t>
            </w:r>
          </w:p>
        </w:tc>
        <w:tc>
          <w:tcPr>
            <w:tcW w:w="142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22"/>
                <w:szCs w:val="22"/>
                <w:color w:val="auto"/>
              </w:rPr>
              <w:t>Investments at fair value</w:t>
            </w:r>
          </w:p>
        </w:tc>
        <w:tc>
          <w:tcPr>
            <w:tcW w:w="1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3"/>
        </w:trPr>
        <w:tc>
          <w:tcPr>
            <w:tcW w:w="8080" w:type="dxa"/>
            <w:vAlign w:val="bottom"/>
          </w:tcPr>
          <w:p>
            <w:pPr>
              <w:ind w:left="120"/>
              <w:spacing w:after="0" w:line="243" w:lineRule="exact"/>
              <w:rPr>
                <w:sz w:val="20"/>
                <w:szCs w:val="20"/>
                <w:color w:val="auto"/>
              </w:rPr>
            </w:pPr>
            <w:r>
              <w:rPr>
                <w:rFonts w:ascii="Arial" w:cs="Arial" w:eastAsia="Arial" w:hAnsi="Arial"/>
                <w:sz w:val="22"/>
                <w:szCs w:val="22"/>
                <w:color w:val="auto"/>
                <w:w w:val="98"/>
              </w:rPr>
              <w:t>Non-controlled, non-affiliated investments (cost—$646,758,885 and $713,683,209,</w:t>
            </w: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0"/>
        </w:trPr>
        <w:tc>
          <w:tcPr>
            <w:tcW w:w="8080" w:type="dxa"/>
            <w:vAlign w:val="bottom"/>
          </w:tcPr>
          <w:p>
            <w:pPr>
              <w:ind w:left="120"/>
              <w:spacing w:after="0"/>
              <w:rPr>
                <w:sz w:val="20"/>
                <w:szCs w:val="20"/>
                <w:color w:val="auto"/>
              </w:rPr>
            </w:pPr>
            <w:r>
              <w:rPr>
                <w:rFonts w:ascii="Arial" w:cs="Arial" w:eastAsia="Arial" w:hAnsi="Arial"/>
                <w:sz w:val="22"/>
                <w:szCs w:val="22"/>
                <w:color w:val="auto"/>
              </w:rPr>
              <w:t>respectively)</w:t>
            </w:r>
          </w:p>
        </w:tc>
        <w:tc>
          <w:tcPr>
            <w:tcW w:w="1420" w:type="dxa"/>
            <w:vAlign w:val="bottom"/>
          </w:tcPr>
          <w:p>
            <w:pPr>
              <w:jc w:val="right"/>
              <w:spacing w:after="0"/>
              <w:rPr>
                <w:sz w:val="20"/>
                <w:szCs w:val="20"/>
                <w:color w:val="auto"/>
              </w:rPr>
            </w:pPr>
            <w:r>
              <w:rPr>
                <w:rFonts w:ascii="Arial" w:cs="Arial" w:eastAsia="Arial" w:hAnsi="Arial"/>
                <w:sz w:val="22"/>
                <w:szCs w:val="22"/>
                <w:color w:val="auto"/>
                <w:w w:val="93"/>
              </w:rPr>
              <w:t>$  773,788,326</w:t>
            </w:r>
          </w:p>
        </w:tc>
        <w:tc>
          <w:tcPr>
            <w:tcW w:w="2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w w:val="93"/>
              </w:rPr>
              <w:t>$  735,674,666</w:t>
            </w:r>
          </w:p>
        </w:tc>
      </w:tr>
      <w:tr>
        <w:trPr>
          <w:trHeight w:val="243"/>
        </w:trPr>
        <w:tc>
          <w:tcPr>
            <w:tcW w:w="8080" w:type="dxa"/>
            <w:vAlign w:val="bottom"/>
          </w:tcPr>
          <w:p>
            <w:pPr>
              <w:ind w:left="120"/>
              <w:spacing w:after="0" w:line="243" w:lineRule="exact"/>
              <w:rPr>
                <w:sz w:val="20"/>
                <w:szCs w:val="20"/>
                <w:color w:val="auto"/>
              </w:rPr>
            </w:pPr>
            <w:r>
              <w:rPr>
                <w:rFonts w:ascii="Arial" w:cs="Arial" w:eastAsia="Arial" w:hAnsi="Arial"/>
                <w:sz w:val="22"/>
                <w:szCs w:val="22"/>
                <w:color w:val="auto"/>
              </w:rPr>
              <w:t>Non-controlled, affiliated investments (cost—$104,463,115 and $77,628,920,</w:t>
            </w: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0"/>
        </w:trPr>
        <w:tc>
          <w:tcPr>
            <w:tcW w:w="8080" w:type="dxa"/>
            <w:vAlign w:val="bottom"/>
          </w:tcPr>
          <w:p>
            <w:pPr>
              <w:ind w:left="120"/>
              <w:spacing w:after="0"/>
              <w:rPr>
                <w:sz w:val="20"/>
                <w:szCs w:val="20"/>
                <w:color w:val="auto"/>
              </w:rPr>
            </w:pPr>
            <w:r>
              <w:rPr>
                <w:rFonts w:ascii="Arial" w:cs="Arial" w:eastAsia="Arial" w:hAnsi="Arial"/>
                <w:sz w:val="22"/>
                <w:szCs w:val="22"/>
                <w:color w:val="auto"/>
              </w:rPr>
              <w:t>respectively)</w:t>
            </w:r>
          </w:p>
        </w:tc>
        <w:tc>
          <w:tcPr>
            <w:tcW w:w="1420" w:type="dxa"/>
            <w:vAlign w:val="bottom"/>
          </w:tcPr>
          <w:p>
            <w:pPr>
              <w:jc w:val="right"/>
              <w:spacing w:after="0"/>
              <w:rPr>
                <w:sz w:val="20"/>
                <w:szCs w:val="20"/>
                <w:color w:val="auto"/>
              </w:rPr>
            </w:pPr>
            <w:r>
              <w:rPr>
                <w:rFonts w:ascii="Arial" w:cs="Arial" w:eastAsia="Arial" w:hAnsi="Arial"/>
                <w:sz w:val="22"/>
                <w:szCs w:val="22"/>
                <w:color w:val="auto"/>
              </w:rPr>
              <w:t>71,404,648</w:t>
            </w:r>
          </w:p>
        </w:tc>
        <w:tc>
          <w:tcPr>
            <w:tcW w:w="2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27,753,893</w:t>
            </w:r>
          </w:p>
        </w:tc>
      </w:tr>
      <w:tr>
        <w:trPr>
          <w:trHeight w:val="274"/>
        </w:trPr>
        <w:tc>
          <w:tcPr>
            <w:tcW w:w="8080" w:type="dxa"/>
            <w:vAlign w:val="bottom"/>
          </w:tcPr>
          <w:p>
            <w:pPr>
              <w:ind w:left="120"/>
              <w:spacing w:after="0"/>
              <w:rPr>
                <w:sz w:val="20"/>
                <w:szCs w:val="20"/>
                <w:color w:val="auto"/>
              </w:rPr>
            </w:pPr>
            <w:r>
              <w:rPr>
                <w:rFonts w:ascii="Arial" w:cs="Arial" w:eastAsia="Arial" w:hAnsi="Arial"/>
                <w:sz w:val="22"/>
                <w:szCs w:val="22"/>
                <w:color w:val="auto"/>
                <w:w w:val="93"/>
              </w:rPr>
              <w:t>Controlled, affiliated investments (cost—$381,150,760 and $374,260,162, respectively)</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330,044,569</w:t>
            </w:r>
          </w:p>
        </w:tc>
        <w:tc>
          <w:tcPr>
            <w:tcW w:w="200" w:type="dxa"/>
            <w:vAlign w:val="bottom"/>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318,342,859</w:t>
            </w:r>
          </w:p>
        </w:tc>
      </w:tr>
      <w:tr>
        <w:trPr>
          <w:trHeight w:val="271"/>
        </w:trPr>
        <w:tc>
          <w:tcPr>
            <w:tcW w:w="8080" w:type="dxa"/>
            <w:vAlign w:val="bottom"/>
          </w:tcPr>
          <w:p>
            <w:pPr>
              <w:ind w:left="120"/>
              <w:spacing w:after="0"/>
              <w:rPr>
                <w:sz w:val="20"/>
                <w:szCs w:val="20"/>
                <w:color w:val="auto"/>
              </w:rPr>
            </w:pPr>
            <w:r>
              <w:rPr>
                <w:rFonts w:ascii="Arial" w:cs="Arial" w:eastAsia="Arial" w:hAnsi="Arial"/>
                <w:sz w:val="22"/>
                <w:szCs w:val="22"/>
                <w:color w:val="auto"/>
              </w:rPr>
              <w:t>Total of investments (cost—$1,132,372,760 and $1,165,572,291, respectively)</w:t>
            </w:r>
          </w:p>
        </w:tc>
        <w:tc>
          <w:tcPr>
            <w:tcW w:w="1420" w:type="dxa"/>
            <w:vAlign w:val="bottom"/>
          </w:tcPr>
          <w:p>
            <w:pPr>
              <w:jc w:val="right"/>
              <w:spacing w:after="0"/>
              <w:rPr>
                <w:sz w:val="20"/>
                <w:szCs w:val="20"/>
                <w:color w:val="auto"/>
              </w:rPr>
            </w:pPr>
            <w:r>
              <w:rPr>
                <w:rFonts w:ascii="Arial" w:cs="Arial" w:eastAsia="Arial" w:hAnsi="Arial"/>
                <w:sz w:val="22"/>
                <w:szCs w:val="22"/>
                <w:color w:val="auto"/>
                <w:w w:val="98"/>
              </w:rPr>
              <w:t>1,175,237,543</w:t>
            </w:r>
          </w:p>
        </w:tc>
        <w:tc>
          <w:tcPr>
            <w:tcW w:w="2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w w:val="98"/>
              </w:rPr>
              <w:t>1,081,771,418</w:t>
            </w:r>
          </w:p>
        </w:tc>
      </w:tr>
    </w:tbl>
    <w:p>
      <w:pPr>
        <w:sectPr>
          <w:pgSz w:w="11900" w:h="16895" w:orient="portrait"/>
          <w:cols w:equalWidth="0" w:num="1">
            <w:col w:w="11240"/>
          </w:cols>
          <w:pgMar w:left="320" w:top="118" w:right="3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8080" w:type="dxa"/>
            <w:vAlign w:val="bottom"/>
          </w:tcPr>
          <w:p>
            <w:pPr>
              <w:spacing w:after="0"/>
              <w:rPr>
                <w:sz w:val="20"/>
                <w:szCs w:val="20"/>
                <w:color w:val="auto"/>
              </w:rPr>
            </w:pPr>
            <w:r>
              <w:rPr>
                <w:rFonts w:ascii="Arial" w:cs="Arial" w:eastAsia="Arial" w:hAnsi="Arial"/>
                <w:sz w:val="22"/>
                <w:szCs w:val="22"/>
                <w:color w:val="auto"/>
              </w:rPr>
              <w:t>Cash and cash equivalents (cost—$33,833,269 and $25,801,087, respectively)</w:t>
            </w: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33,855,496</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25,806,002</w:t>
            </w:r>
          </w:p>
        </w:tc>
        <w:tc>
          <w:tcPr>
            <w:tcW w:w="80" w:type="dxa"/>
            <w:vAlign w:val="bottom"/>
          </w:tcPr>
          <w:p>
            <w:pPr>
              <w:spacing w:after="0"/>
              <w:rPr>
                <w:sz w:val="23"/>
                <w:szCs w:val="23"/>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22"/>
                <w:szCs w:val="22"/>
                <w:color w:val="auto"/>
              </w:rPr>
              <w:t>Interest receivable</w:t>
            </w: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4,916,119</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5,005,715</w:t>
            </w:r>
          </w:p>
        </w:tc>
        <w:tc>
          <w:tcPr>
            <w:tcW w:w="80" w:type="dxa"/>
            <w:vAlign w:val="bottom"/>
          </w:tcPr>
          <w:p>
            <w:pPr>
              <w:spacing w:after="0"/>
              <w:rPr>
                <w:sz w:val="23"/>
                <w:szCs w:val="23"/>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22"/>
                <w:szCs w:val="22"/>
                <w:color w:val="auto"/>
              </w:rPr>
              <w:t>Distribution receivable</w:t>
            </w: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1,452,000</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1,393,716</w:t>
            </w:r>
          </w:p>
        </w:tc>
        <w:tc>
          <w:tcPr>
            <w:tcW w:w="80" w:type="dxa"/>
            <w:vAlign w:val="bottom"/>
          </w:tcPr>
          <w:p>
            <w:pPr>
              <w:spacing w:after="0"/>
              <w:rPr>
                <w:sz w:val="23"/>
                <w:szCs w:val="23"/>
                <w:color w:val="auto"/>
              </w:rPr>
            </w:pPr>
          </w:p>
        </w:tc>
      </w:tr>
      <w:tr>
        <w:trPr>
          <w:trHeight w:val="274"/>
        </w:trPr>
        <w:tc>
          <w:tcPr>
            <w:tcW w:w="8080" w:type="dxa"/>
            <w:vAlign w:val="bottom"/>
          </w:tcPr>
          <w:p>
            <w:pPr>
              <w:spacing w:after="0"/>
              <w:rPr>
                <w:sz w:val="20"/>
                <w:szCs w:val="20"/>
                <w:color w:val="auto"/>
              </w:rPr>
            </w:pPr>
            <w:r>
              <w:rPr>
                <w:rFonts w:ascii="Arial" w:cs="Arial" w:eastAsia="Arial" w:hAnsi="Arial"/>
                <w:sz w:val="22"/>
                <w:szCs w:val="22"/>
                <w:color w:val="auto"/>
              </w:rPr>
              <w:t>Prepaid expenses and other assets</w:t>
            </w:r>
          </w:p>
        </w:tc>
        <w:tc>
          <w:tcPr>
            <w:tcW w:w="1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376,932</w:t>
            </w:r>
          </w:p>
        </w:tc>
        <w:tc>
          <w:tcPr>
            <w:tcW w:w="2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376,030</w:t>
            </w:r>
          </w:p>
        </w:tc>
        <w:tc>
          <w:tcPr>
            <w:tcW w:w="80" w:type="dxa"/>
            <w:vAlign w:val="bottom"/>
          </w:tcPr>
          <w:p>
            <w:pPr>
              <w:spacing w:after="0"/>
              <w:rPr>
                <w:sz w:val="23"/>
                <w:szCs w:val="23"/>
                <w:color w:val="auto"/>
              </w:rPr>
            </w:pPr>
          </w:p>
        </w:tc>
      </w:tr>
      <w:tr>
        <w:trPr>
          <w:trHeight w:val="267"/>
        </w:trPr>
        <w:tc>
          <w:tcPr>
            <w:tcW w:w="8080" w:type="dxa"/>
            <w:vAlign w:val="bottom"/>
          </w:tcPr>
          <w:p>
            <w:pPr>
              <w:ind w:left="400"/>
              <w:spacing w:after="0"/>
              <w:rPr>
                <w:sz w:val="20"/>
                <w:szCs w:val="20"/>
                <w:color w:val="auto"/>
              </w:rPr>
            </w:pPr>
            <w:r>
              <w:rPr>
                <w:rFonts w:ascii="Arial" w:cs="Arial" w:eastAsia="Arial" w:hAnsi="Arial"/>
                <w:sz w:val="22"/>
                <w:szCs w:val="22"/>
                <w:b w:val="1"/>
                <w:bCs w:val="1"/>
                <w:color w:val="auto"/>
              </w:rPr>
              <w:t>Total assets</w:t>
            </w:r>
          </w:p>
        </w:tc>
        <w:tc>
          <w:tcPr>
            <w:tcW w:w="1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8"/>
              </w:rPr>
              <w:t>1,215,838,090</w:t>
            </w:r>
          </w:p>
        </w:tc>
        <w:tc>
          <w:tcPr>
            <w:tcW w:w="2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8"/>
              </w:rPr>
              <w:t>1,114,352,881</w:t>
            </w:r>
          </w:p>
        </w:tc>
        <w:tc>
          <w:tcPr>
            <w:tcW w:w="80" w:type="dxa"/>
            <w:vAlign w:val="bottom"/>
          </w:tcPr>
          <w:p>
            <w:pPr>
              <w:spacing w:after="0"/>
              <w:rPr>
                <w:sz w:val="23"/>
                <w:szCs w:val="23"/>
                <w:color w:val="auto"/>
              </w:rPr>
            </w:pPr>
          </w:p>
        </w:tc>
      </w:tr>
      <w:tr>
        <w:trPr>
          <w:trHeight w:val="256"/>
        </w:trPr>
        <w:tc>
          <w:tcPr>
            <w:tcW w:w="8080" w:type="dxa"/>
            <w:vAlign w:val="bottom"/>
          </w:tcPr>
          <w:p>
            <w:pPr>
              <w:spacing w:after="0"/>
              <w:rPr>
                <w:sz w:val="20"/>
                <w:szCs w:val="20"/>
                <w:color w:val="auto"/>
              </w:rPr>
            </w:pPr>
            <w:r>
              <w:rPr>
                <w:rFonts w:ascii="Arial" w:cs="Arial" w:eastAsia="Arial" w:hAnsi="Arial"/>
                <w:sz w:val="22"/>
                <w:szCs w:val="22"/>
                <w:b w:val="1"/>
                <w:bCs w:val="1"/>
                <w:color w:val="auto"/>
              </w:rPr>
              <w:t>Liabilities</w:t>
            </w: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22"/>
                <w:szCs w:val="22"/>
                <w:color w:val="auto"/>
              </w:rPr>
              <w:t>Distributions payable</w:t>
            </w: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8,045,413</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8,045,413</w:t>
            </w:r>
          </w:p>
        </w:tc>
        <w:tc>
          <w:tcPr>
            <w:tcW w:w="80" w:type="dxa"/>
            <w:vAlign w:val="bottom"/>
          </w:tcPr>
          <w:p>
            <w:pPr>
              <w:spacing w:after="0"/>
              <w:rPr>
                <w:sz w:val="23"/>
                <w:szCs w:val="23"/>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22"/>
                <w:szCs w:val="22"/>
                <w:color w:val="auto"/>
              </w:rPr>
              <w:t>Payable for investments purchased</w:t>
            </w: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18,581,995</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5,461,508</w:t>
            </w:r>
          </w:p>
        </w:tc>
        <w:tc>
          <w:tcPr>
            <w:tcW w:w="80" w:type="dxa"/>
            <w:vAlign w:val="bottom"/>
          </w:tcPr>
          <w:p>
            <w:pPr>
              <w:spacing w:after="0"/>
              <w:rPr>
                <w:sz w:val="23"/>
                <w:szCs w:val="23"/>
                <w:color w:val="auto"/>
              </w:rPr>
            </w:pPr>
          </w:p>
        </w:tc>
      </w:tr>
      <w:tr>
        <w:trPr>
          <w:trHeight w:val="243"/>
        </w:trPr>
        <w:tc>
          <w:tcPr>
            <w:tcW w:w="8080" w:type="dxa"/>
            <w:vAlign w:val="bottom"/>
          </w:tcPr>
          <w:p>
            <w:pPr>
              <w:spacing w:after="0" w:line="243" w:lineRule="exact"/>
              <w:rPr>
                <w:sz w:val="20"/>
                <w:szCs w:val="20"/>
                <w:color w:val="auto"/>
              </w:rPr>
            </w:pPr>
            <w:r>
              <w:rPr>
                <w:rFonts w:ascii="Arial" w:cs="Arial" w:eastAsia="Arial" w:hAnsi="Arial"/>
                <w:sz w:val="22"/>
                <w:szCs w:val="22"/>
                <w:color w:val="auto"/>
              </w:rPr>
              <w:t>Truist Credit Facility payable, at fair value (cost—$375,544,900 and $388,252,000,</w:t>
            </w: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22"/>
                <w:szCs w:val="22"/>
                <w:color w:val="auto"/>
              </w:rPr>
              <w:t>respectively)</w:t>
            </w: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372,867,465</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368,701,972</w:t>
            </w:r>
          </w:p>
        </w:tc>
        <w:tc>
          <w:tcPr>
            <w:tcW w:w="80" w:type="dxa"/>
            <w:vAlign w:val="bottom"/>
          </w:tcPr>
          <w:p>
            <w:pPr>
              <w:spacing w:after="0"/>
              <w:rPr>
                <w:sz w:val="23"/>
                <w:szCs w:val="23"/>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22"/>
                <w:szCs w:val="22"/>
                <w:color w:val="auto"/>
              </w:rPr>
              <w:t>2024 Notes payable, net (par—$86,250,000)</w:t>
            </w: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84,170,310</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83,837,560</w:t>
            </w:r>
          </w:p>
        </w:tc>
        <w:tc>
          <w:tcPr>
            <w:tcW w:w="80" w:type="dxa"/>
            <w:vAlign w:val="bottom"/>
          </w:tcPr>
          <w:p>
            <w:pPr>
              <w:spacing w:after="0"/>
              <w:rPr>
                <w:sz w:val="23"/>
                <w:szCs w:val="23"/>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22"/>
                <w:szCs w:val="22"/>
                <w:color w:val="auto"/>
                <w:w w:val="99"/>
              </w:rPr>
              <w:t>SBA debentures payable, net (par—$108,500,000 and $118,500,000, respectively)</w:t>
            </w: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106,128,698</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115,772,677</w:t>
            </w:r>
          </w:p>
        </w:tc>
        <w:tc>
          <w:tcPr>
            <w:tcW w:w="80" w:type="dxa"/>
            <w:vAlign w:val="bottom"/>
          </w:tcPr>
          <w:p>
            <w:pPr>
              <w:spacing w:after="0"/>
              <w:rPr>
                <w:sz w:val="23"/>
                <w:szCs w:val="23"/>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22"/>
                <w:szCs w:val="22"/>
                <w:color w:val="auto"/>
              </w:rPr>
              <w:t>Base management fee payable, net</w:t>
            </w: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4,282,129</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4,369,637</w:t>
            </w:r>
          </w:p>
        </w:tc>
        <w:tc>
          <w:tcPr>
            <w:tcW w:w="80" w:type="dxa"/>
            <w:vAlign w:val="bottom"/>
          </w:tcPr>
          <w:p>
            <w:pPr>
              <w:spacing w:after="0"/>
              <w:rPr>
                <w:sz w:val="23"/>
                <w:szCs w:val="23"/>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22"/>
                <w:szCs w:val="22"/>
                <w:color w:val="auto"/>
              </w:rPr>
              <w:t>Interest payable on debt</w:t>
            </w: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2,007,332</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2,022,614</w:t>
            </w:r>
          </w:p>
        </w:tc>
        <w:tc>
          <w:tcPr>
            <w:tcW w:w="80" w:type="dxa"/>
            <w:vAlign w:val="bottom"/>
          </w:tcPr>
          <w:p>
            <w:pPr>
              <w:spacing w:after="0"/>
              <w:rPr>
                <w:sz w:val="23"/>
                <w:szCs w:val="23"/>
                <w:color w:val="auto"/>
              </w:rPr>
            </w:pPr>
          </w:p>
        </w:tc>
      </w:tr>
      <w:tr>
        <w:trPr>
          <w:trHeight w:val="274"/>
        </w:trPr>
        <w:tc>
          <w:tcPr>
            <w:tcW w:w="8080" w:type="dxa"/>
            <w:vAlign w:val="bottom"/>
          </w:tcPr>
          <w:p>
            <w:pPr>
              <w:spacing w:after="0"/>
              <w:rPr>
                <w:sz w:val="20"/>
                <w:szCs w:val="20"/>
                <w:color w:val="auto"/>
              </w:rPr>
            </w:pPr>
            <w:r>
              <w:rPr>
                <w:rFonts w:ascii="Arial" w:cs="Arial" w:eastAsia="Arial" w:hAnsi="Arial"/>
                <w:sz w:val="22"/>
                <w:szCs w:val="22"/>
                <w:color w:val="auto"/>
              </w:rPr>
              <w:t>Accrued other expenses</w:t>
            </w:r>
          </w:p>
        </w:tc>
        <w:tc>
          <w:tcPr>
            <w:tcW w:w="1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507,853</w:t>
            </w:r>
          </w:p>
        </w:tc>
        <w:tc>
          <w:tcPr>
            <w:tcW w:w="2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432,648</w:t>
            </w:r>
          </w:p>
        </w:tc>
        <w:tc>
          <w:tcPr>
            <w:tcW w:w="80" w:type="dxa"/>
            <w:vAlign w:val="bottom"/>
          </w:tcPr>
          <w:p>
            <w:pPr>
              <w:spacing w:after="0"/>
              <w:rPr>
                <w:sz w:val="23"/>
                <w:szCs w:val="23"/>
                <w:color w:val="auto"/>
              </w:rPr>
            </w:pPr>
          </w:p>
        </w:tc>
      </w:tr>
      <w:tr>
        <w:trPr>
          <w:trHeight w:val="267"/>
        </w:trPr>
        <w:tc>
          <w:tcPr>
            <w:tcW w:w="8080" w:type="dxa"/>
            <w:vAlign w:val="bottom"/>
          </w:tcPr>
          <w:p>
            <w:pPr>
              <w:ind w:left="400"/>
              <w:spacing w:after="0"/>
              <w:rPr>
                <w:sz w:val="20"/>
                <w:szCs w:val="20"/>
                <w:color w:val="auto"/>
              </w:rPr>
            </w:pPr>
            <w:r>
              <w:rPr>
                <w:rFonts w:ascii="Arial" w:cs="Arial" w:eastAsia="Arial" w:hAnsi="Arial"/>
                <w:sz w:val="22"/>
                <w:szCs w:val="22"/>
                <w:b w:val="1"/>
                <w:bCs w:val="1"/>
                <w:color w:val="auto"/>
              </w:rPr>
              <w:t>Total liabilities</w:t>
            </w:r>
          </w:p>
        </w:tc>
        <w:tc>
          <w:tcPr>
            <w:tcW w:w="1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596,591,195</w:t>
            </w:r>
          </w:p>
        </w:tc>
        <w:tc>
          <w:tcPr>
            <w:tcW w:w="2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588,644,029</w:t>
            </w:r>
          </w:p>
        </w:tc>
        <w:tc>
          <w:tcPr>
            <w:tcW w:w="80" w:type="dxa"/>
            <w:vAlign w:val="bottom"/>
          </w:tcPr>
          <w:p>
            <w:pPr>
              <w:spacing w:after="0"/>
              <w:rPr>
                <w:sz w:val="23"/>
                <w:szCs w:val="23"/>
                <w:color w:val="auto"/>
              </w:rPr>
            </w:pPr>
          </w:p>
        </w:tc>
      </w:tr>
      <w:tr>
        <w:trPr>
          <w:trHeight w:val="250"/>
        </w:trPr>
        <w:tc>
          <w:tcPr>
            <w:tcW w:w="8080" w:type="dxa"/>
            <w:vAlign w:val="bottom"/>
          </w:tcPr>
          <w:p>
            <w:pPr>
              <w:spacing w:after="0" w:line="249" w:lineRule="exact"/>
              <w:rPr>
                <w:sz w:val="20"/>
                <w:szCs w:val="20"/>
                <w:color w:val="auto"/>
              </w:rPr>
            </w:pPr>
            <w:r>
              <w:rPr>
                <w:rFonts w:ascii="Arial" w:cs="Arial" w:eastAsia="Arial" w:hAnsi="Arial"/>
                <w:sz w:val="22"/>
                <w:szCs w:val="22"/>
                <w:color w:val="auto"/>
              </w:rPr>
              <w:t>Commitments and contingencies</w:t>
            </w: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6"/>
        </w:trPr>
        <w:tc>
          <w:tcPr>
            <w:tcW w:w="8080" w:type="dxa"/>
            <w:vAlign w:val="bottom"/>
          </w:tcPr>
          <w:p>
            <w:pPr>
              <w:spacing w:after="0"/>
              <w:rPr>
                <w:sz w:val="20"/>
                <w:szCs w:val="20"/>
                <w:color w:val="auto"/>
              </w:rPr>
            </w:pPr>
            <w:r>
              <w:rPr>
                <w:rFonts w:ascii="Arial" w:cs="Arial" w:eastAsia="Arial" w:hAnsi="Arial"/>
                <w:sz w:val="22"/>
                <w:szCs w:val="22"/>
                <w:b w:val="1"/>
                <w:bCs w:val="1"/>
                <w:color w:val="auto"/>
              </w:rPr>
              <w:t>Net assets</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3"/>
        </w:trPr>
        <w:tc>
          <w:tcPr>
            <w:tcW w:w="8080" w:type="dxa"/>
            <w:vAlign w:val="bottom"/>
          </w:tcPr>
          <w:p>
            <w:pPr>
              <w:spacing w:after="0" w:line="243" w:lineRule="exact"/>
              <w:rPr>
                <w:sz w:val="20"/>
                <w:szCs w:val="20"/>
                <w:color w:val="auto"/>
              </w:rPr>
            </w:pPr>
            <w:r>
              <w:rPr>
                <w:rFonts w:ascii="Arial" w:cs="Arial" w:eastAsia="Arial" w:hAnsi="Arial"/>
                <w:sz w:val="22"/>
                <w:szCs w:val="22"/>
                <w:color w:val="auto"/>
              </w:rPr>
              <w:t>Common stock, 67,045,105 shares issued and outstanding</w:t>
            </w: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0"/>
        </w:trPr>
        <w:tc>
          <w:tcPr>
            <w:tcW w:w="8080" w:type="dxa"/>
            <w:vAlign w:val="bottom"/>
          </w:tcPr>
          <w:p>
            <w:pPr>
              <w:ind w:left="160"/>
              <w:spacing w:after="0"/>
              <w:rPr>
                <w:sz w:val="20"/>
                <w:szCs w:val="20"/>
                <w:color w:val="auto"/>
              </w:rPr>
            </w:pPr>
            <w:r>
              <w:rPr>
                <w:rFonts w:ascii="Arial" w:cs="Arial" w:eastAsia="Arial" w:hAnsi="Arial"/>
                <w:sz w:val="22"/>
                <w:szCs w:val="22"/>
                <w:color w:val="auto"/>
              </w:rPr>
              <w:t>Par value $0.001 per share and 100,000,000 shares authorized</w:t>
            </w: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67,045</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67,045</w:t>
            </w:r>
          </w:p>
        </w:tc>
        <w:tc>
          <w:tcPr>
            <w:tcW w:w="80" w:type="dxa"/>
            <w:vAlign w:val="bottom"/>
          </w:tcPr>
          <w:p>
            <w:pPr>
              <w:spacing w:after="0"/>
              <w:rPr>
                <w:sz w:val="23"/>
                <w:szCs w:val="23"/>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22"/>
                <w:szCs w:val="22"/>
                <w:color w:val="auto"/>
              </w:rPr>
              <w:t>Paid-in capital in excess of par value</w:t>
            </w: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787,625,031</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787,625,031</w:t>
            </w:r>
          </w:p>
        </w:tc>
        <w:tc>
          <w:tcPr>
            <w:tcW w:w="80" w:type="dxa"/>
            <w:vAlign w:val="bottom"/>
          </w:tcPr>
          <w:p>
            <w:pPr>
              <w:spacing w:after="0"/>
              <w:rPr>
                <w:sz w:val="23"/>
                <w:szCs w:val="23"/>
                <w:color w:val="auto"/>
              </w:rPr>
            </w:pPr>
          </w:p>
        </w:tc>
      </w:tr>
      <w:tr>
        <w:trPr>
          <w:trHeight w:val="274"/>
        </w:trPr>
        <w:tc>
          <w:tcPr>
            <w:tcW w:w="8080" w:type="dxa"/>
            <w:vAlign w:val="bottom"/>
          </w:tcPr>
          <w:p>
            <w:pPr>
              <w:spacing w:after="0"/>
              <w:rPr>
                <w:sz w:val="20"/>
                <w:szCs w:val="20"/>
                <w:color w:val="auto"/>
              </w:rPr>
            </w:pPr>
            <w:r>
              <w:rPr>
                <w:rFonts w:ascii="Arial" w:cs="Arial" w:eastAsia="Arial" w:hAnsi="Arial"/>
                <w:sz w:val="22"/>
                <w:szCs w:val="22"/>
                <w:color w:val="auto"/>
              </w:rPr>
              <w:t>Accumulated distributable net loss</w:t>
            </w:r>
          </w:p>
        </w:tc>
        <w:tc>
          <w:tcPr>
            <w:tcW w:w="140" w:type="dxa"/>
            <w:vAlign w:val="bottom"/>
          </w:tcPr>
          <w:p>
            <w:pPr>
              <w:spacing w:after="0"/>
              <w:rPr>
                <w:sz w:val="23"/>
                <w:szCs w:val="23"/>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22"/>
                <w:szCs w:val="22"/>
                <w:color w:val="auto"/>
                <w:w w:val="97"/>
              </w:rPr>
              <w:t>(168,445,181)</w:t>
            </w:r>
          </w:p>
        </w:tc>
        <w:tc>
          <w:tcPr>
            <w:tcW w:w="140" w:type="dxa"/>
            <w:vAlign w:val="bottom"/>
          </w:tcPr>
          <w:p>
            <w:pPr>
              <w:spacing w:after="0"/>
              <w:rPr>
                <w:sz w:val="23"/>
                <w:szCs w:val="23"/>
                <w:color w:val="auto"/>
              </w:rPr>
            </w:pPr>
          </w:p>
        </w:tc>
        <w:tc>
          <w:tcPr>
            <w:tcW w:w="1360" w:type="dxa"/>
            <w:vAlign w:val="bottom"/>
            <w:gridSpan w:val="2"/>
          </w:tcPr>
          <w:p>
            <w:pPr>
              <w:jc w:val="right"/>
              <w:spacing w:after="0"/>
              <w:rPr>
                <w:sz w:val="20"/>
                <w:szCs w:val="20"/>
                <w:color w:val="auto"/>
              </w:rPr>
            </w:pPr>
            <w:r>
              <w:rPr>
                <w:rFonts w:ascii="Arial" w:cs="Arial" w:eastAsia="Arial" w:hAnsi="Arial"/>
                <w:sz w:val="22"/>
                <w:szCs w:val="22"/>
                <w:color w:val="auto"/>
                <w:w w:val="97"/>
              </w:rPr>
              <w:t>(261,983,224)</w:t>
            </w:r>
          </w:p>
        </w:tc>
      </w:tr>
      <w:tr>
        <w:trPr>
          <w:trHeight w:val="267"/>
        </w:trPr>
        <w:tc>
          <w:tcPr>
            <w:tcW w:w="8080" w:type="dxa"/>
            <w:vAlign w:val="bottom"/>
          </w:tcPr>
          <w:p>
            <w:pPr>
              <w:ind w:left="400"/>
              <w:spacing w:after="0"/>
              <w:rPr>
                <w:sz w:val="20"/>
                <w:szCs w:val="20"/>
                <w:color w:val="auto"/>
              </w:rPr>
            </w:pPr>
            <w:r>
              <w:rPr>
                <w:rFonts w:ascii="Arial" w:cs="Arial" w:eastAsia="Arial" w:hAnsi="Arial"/>
                <w:sz w:val="22"/>
                <w:szCs w:val="22"/>
                <w:b w:val="1"/>
                <w:bCs w:val="1"/>
                <w:color w:val="auto"/>
              </w:rPr>
              <w:t>Total net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619,246,895</w:t>
            </w:r>
          </w:p>
        </w:tc>
        <w:tc>
          <w:tcPr>
            <w:tcW w:w="200" w:type="dxa"/>
            <w:vAlign w:val="bottom"/>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525,708,852</w:t>
            </w:r>
          </w:p>
        </w:tc>
        <w:tc>
          <w:tcPr>
            <w:tcW w:w="80" w:type="dxa"/>
            <w:vAlign w:val="bottom"/>
          </w:tcPr>
          <w:p>
            <w:pPr>
              <w:spacing w:after="0"/>
              <w:rPr>
                <w:sz w:val="23"/>
                <w:szCs w:val="23"/>
                <w:color w:val="auto"/>
              </w:rPr>
            </w:pPr>
          </w:p>
        </w:tc>
      </w:tr>
      <w:tr>
        <w:trPr>
          <w:trHeight w:val="263"/>
        </w:trPr>
        <w:tc>
          <w:tcPr>
            <w:tcW w:w="8080" w:type="dxa"/>
            <w:vAlign w:val="bottom"/>
          </w:tcPr>
          <w:p>
            <w:pPr>
              <w:ind w:left="400"/>
              <w:spacing w:after="0"/>
              <w:rPr>
                <w:sz w:val="20"/>
                <w:szCs w:val="20"/>
                <w:color w:val="auto"/>
              </w:rPr>
            </w:pPr>
            <w:r>
              <w:rPr>
                <w:rFonts w:ascii="Arial" w:cs="Arial" w:eastAsia="Arial" w:hAnsi="Arial"/>
                <w:sz w:val="22"/>
                <w:szCs w:val="22"/>
                <w:b w:val="1"/>
                <w:bCs w:val="1"/>
                <w:color w:val="auto"/>
              </w:rPr>
              <w:t>Total liabilities and net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u w:val="single" w:color="auto"/>
                <w:color w:val="auto"/>
                <w:w w:val="8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8"/>
              </w:rPr>
              <w:t>1,215,838,090</w:t>
            </w:r>
          </w:p>
        </w:tc>
        <w:tc>
          <w:tcPr>
            <w:tcW w:w="2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8"/>
              </w:rPr>
              <w:t>1,114,352,881</w:t>
            </w:r>
          </w:p>
        </w:tc>
        <w:tc>
          <w:tcPr>
            <w:tcW w:w="80" w:type="dxa"/>
            <w:vAlign w:val="bottom"/>
          </w:tcPr>
          <w:p>
            <w:pPr>
              <w:spacing w:after="0"/>
              <w:rPr>
                <w:sz w:val="22"/>
                <w:szCs w:val="22"/>
                <w:color w:val="auto"/>
              </w:rPr>
            </w:pPr>
          </w:p>
        </w:tc>
      </w:tr>
      <w:tr>
        <w:trPr>
          <w:trHeight w:val="20"/>
        </w:trPr>
        <w:tc>
          <w:tcPr>
            <w:tcW w:w="8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4"/>
        </w:trPr>
        <w:tc>
          <w:tcPr>
            <w:tcW w:w="8080" w:type="dxa"/>
            <w:vAlign w:val="bottom"/>
          </w:tcPr>
          <w:p>
            <w:pPr>
              <w:spacing w:after="0"/>
              <w:rPr>
                <w:sz w:val="20"/>
                <w:szCs w:val="20"/>
                <w:color w:val="auto"/>
              </w:rPr>
            </w:pPr>
            <w:r>
              <w:rPr>
                <w:rFonts w:ascii="Arial" w:cs="Arial" w:eastAsia="Arial" w:hAnsi="Arial"/>
                <w:sz w:val="22"/>
                <w:szCs w:val="22"/>
                <w:b w:val="1"/>
                <w:bCs w:val="1"/>
                <w:color w:val="auto"/>
              </w:rPr>
              <w:t>Net asset value per share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9.24</w:t>
            </w:r>
          </w:p>
        </w:tc>
        <w:tc>
          <w:tcPr>
            <w:tcW w:w="2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7.84</w:t>
            </w:r>
          </w:p>
        </w:tc>
        <w:tc>
          <w:tcPr>
            <w:tcW w:w="80" w:type="dxa"/>
            <w:vAlign w:val="bottom"/>
          </w:tcPr>
          <w:p>
            <w:pPr>
              <w:spacing w:after="0"/>
              <w:rPr>
                <w:sz w:val="22"/>
                <w:szCs w:val="22"/>
                <w:color w:val="auto"/>
              </w:rPr>
            </w:pPr>
          </w:p>
        </w:tc>
      </w:tr>
      <w:tr>
        <w:trPr>
          <w:trHeight w:val="20"/>
        </w:trPr>
        <w:tc>
          <w:tcPr>
            <w:tcW w:w="8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line="243" w:lineRule="auto"/>
        <w:rPr>
          <w:sz w:val="20"/>
          <w:szCs w:val="20"/>
          <w:color w:val="auto"/>
        </w:rPr>
      </w:pPr>
      <w:r>
        <w:rPr>
          <w:rFonts w:ascii="Arial" w:cs="Arial" w:eastAsia="Arial" w:hAnsi="Arial"/>
          <w:sz w:val="22"/>
          <w:szCs w:val="22"/>
          <w:b w:val="1"/>
          <w:bCs w:val="1"/>
          <w:color w:val="auto"/>
        </w:rPr>
        <w:t>PENNANTPARK INVESTMENT CORPORATION AND SUBSIDIARIES CONSOLIDATED STATEMENTS OF OPERATIONS (Unaudited)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440" w:type="dxa"/>
            <w:vAlign w:val="bottom"/>
          </w:tcPr>
          <w:p>
            <w:pPr>
              <w:spacing w:after="0"/>
              <w:rPr>
                <w:sz w:val="21"/>
                <w:szCs w:val="21"/>
                <w:color w:val="auto"/>
              </w:rPr>
            </w:pPr>
          </w:p>
        </w:tc>
        <w:tc>
          <w:tcPr>
            <w:tcW w:w="2940" w:type="dxa"/>
            <w:vAlign w:val="bottom"/>
            <w:gridSpan w:val="4"/>
          </w:tcPr>
          <w:p>
            <w:pPr>
              <w:jc w:val="center"/>
              <w:ind w:right="220"/>
              <w:spacing w:after="0"/>
              <w:rPr>
                <w:sz w:val="20"/>
                <w:szCs w:val="20"/>
                <w:color w:val="auto"/>
              </w:rPr>
            </w:pPr>
            <w:r>
              <w:rPr>
                <w:rFonts w:ascii="Arial" w:cs="Arial" w:eastAsia="Arial" w:hAnsi="Arial"/>
                <w:sz w:val="22"/>
                <w:szCs w:val="22"/>
                <w:b w:val="1"/>
                <w:bCs w:val="1"/>
                <w:color w:val="auto"/>
                <w:w w:val="90"/>
              </w:rPr>
              <w:t>Three Months Ended</w:t>
            </w:r>
          </w:p>
        </w:tc>
        <w:tc>
          <w:tcPr>
            <w:tcW w:w="2740" w:type="dxa"/>
            <w:vAlign w:val="bottom"/>
            <w:gridSpan w:val="3"/>
          </w:tcPr>
          <w:p>
            <w:pPr>
              <w:jc w:val="right"/>
              <w:ind w:right="412"/>
              <w:spacing w:after="0"/>
              <w:rPr>
                <w:sz w:val="20"/>
                <w:szCs w:val="20"/>
                <w:color w:val="auto"/>
              </w:rPr>
            </w:pPr>
            <w:r>
              <w:rPr>
                <w:rFonts w:ascii="Arial" w:cs="Arial" w:eastAsia="Arial" w:hAnsi="Arial"/>
                <w:sz w:val="22"/>
                <w:szCs w:val="22"/>
                <w:b w:val="1"/>
                <w:bCs w:val="1"/>
                <w:color w:val="auto"/>
              </w:rPr>
              <w:t>Six Months Ended</w:t>
            </w:r>
          </w:p>
        </w:tc>
      </w:tr>
      <w:tr>
        <w:trPr>
          <w:trHeight w:val="282"/>
        </w:trPr>
        <w:tc>
          <w:tcPr>
            <w:tcW w:w="5440" w:type="dxa"/>
            <w:vAlign w:val="bottom"/>
          </w:tcPr>
          <w:p>
            <w:pPr>
              <w:spacing w:after="0"/>
              <w:rPr>
                <w:sz w:val="24"/>
                <w:szCs w:val="24"/>
                <w:color w:val="auto"/>
              </w:rPr>
            </w:pPr>
          </w:p>
        </w:tc>
        <w:tc>
          <w:tcPr>
            <w:tcW w:w="2940" w:type="dxa"/>
            <w:vAlign w:val="bottom"/>
            <w:gridSpan w:val="4"/>
          </w:tcPr>
          <w:p>
            <w:pPr>
              <w:jc w:val="center"/>
              <w:ind w:right="200"/>
              <w:spacing w:after="0"/>
              <w:rPr>
                <w:sz w:val="20"/>
                <w:szCs w:val="20"/>
                <w:color w:val="auto"/>
              </w:rPr>
            </w:pPr>
            <w:r>
              <w:rPr>
                <w:rFonts w:ascii="Arial" w:cs="Arial" w:eastAsia="Arial" w:hAnsi="Arial"/>
                <w:sz w:val="22"/>
                <w:szCs w:val="22"/>
                <w:b w:val="1"/>
                <w:bCs w:val="1"/>
                <w:color w:val="auto"/>
                <w:w w:val="92"/>
              </w:rPr>
              <w:t>March 31,</w:t>
            </w:r>
          </w:p>
        </w:tc>
        <w:tc>
          <w:tcPr>
            <w:tcW w:w="2740" w:type="dxa"/>
            <w:vAlign w:val="bottom"/>
            <w:gridSpan w:val="3"/>
          </w:tcPr>
          <w:p>
            <w:pPr>
              <w:jc w:val="right"/>
              <w:ind w:right="792"/>
              <w:spacing w:after="0"/>
              <w:rPr>
                <w:sz w:val="20"/>
                <w:szCs w:val="20"/>
                <w:color w:val="auto"/>
              </w:rPr>
            </w:pPr>
            <w:r>
              <w:rPr>
                <w:rFonts w:ascii="Arial" w:cs="Arial" w:eastAsia="Arial" w:hAnsi="Arial"/>
                <w:sz w:val="22"/>
                <w:szCs w:val="22"/>
                <w:b w:val="1"/>
                <w:bCs w:val="1"/>
                <w:color w:val="auto"/>
              </w:rPr>
              <w:t>March 31,</w:t>
            </w:r>
          </w:p>
        </w:tc>
      </w:tr>
      <w:tr>
        <w:trPr>
          <w:trHeight w:val="265"/>
        </w:trPr>
        <w:tc>
          <w:tcPr>
            <w:tcW w:w="5440" w:type="dxa"/>
            <w:vAlign w:val="bottom"/>
          </w:tcPr>
          <w:p>
            <w:pPr>
              <w:spacing w:after="0"/>
              <w:rPr>
                <w:sz w:val="23"/>
                <w:szCs w:val="23"/>
                <w:color w:val="auto"/>
              </w:rPr>
            </w:pPr>
          </w:p>
        </w:tc>
        <w:tc>
          <w:tcPr>
            <w:tcW w:w="12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22"/>
                <w:szCs w:val="22"/>
                <w:b w:val="1"/>
                <w:bCs w:val="1"/>
                <w:color w:val="auto"/>
              </w:rPr>
              <w:t>2021</w:t>
            </w:r>
          </w:p>
        </w:tc>
        <w:tc>
          <w:tcPr>
            <w:tcW w:w="220" w:type="dxa"/>
            <w:vAlign w:val="bottom"/>
            <w:tcBorders>
              <w:top w:val="single" w:sz="8" w:color="auto"/>
            </w:tcBorders>
          </w:tcPr>
          <w:p>
            <w:pPr>
              <w:spacing w:after="0"/>
              <w:rPr>
                <w:sz w:val="23"/>
                <w:szCs w:val="23"/>
                <w:color w:val="auto"/>
              </w:rPr>
            </w:pPr>
          </w:p>
        </w:tc>
        <w:tc>
          <w:tcPr>
            <w:tcW w:w="124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22"/>
                <w:szCs w:val="22"/>
                <w:b w:val="1"/>
                <w:bCs w:val="1"/>
                <w:color w:val="auto"/>
              </w:rPr>
              <w:t>2020</w:t>
            </w:r>
          </w:p>
        </w:tc>
        <w:tc>
          <w:tcPr>
            <w:tcW w:w="220" w:type="dxa"/>
            <w:vAlign w:val="bottom"/>
          </w:tcPr>
          <w:p>
            <w:pPr>
              <w:spacing w:after="0"/>
              <w:rPr>
                <w:sz w:val="23"/>
                <w:szCs w:val="23"/>
                <w:color w:val="auto"/>
              </w:rPr>
            </w:pPr>
          </w:p>
        </w:tc>
        <w:tc>
          <w:tcPr>
            <w:tcW w:w="12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22"/>
                <w:szCs w:val="22"/>
                <w:b w:val="1"/>
                <w:bCs w:val="1"/>
                <w:color w:val="auto"/>
              </w:rPr>
              <w:t>2021</w:t>
            </w: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22"/>
                <w:szCs w:val="22"/>
                <w:b w:val="1"/>
                <w:bCs w:val="1"/>
                <w:color w:val="auto"/>
              </w:rPr>
              <w:t>2020</w:t>
            </w:r>
          </w:p>
        </w:tc>
      </w:tr>
      <w:tr>
        <w:trPr>
          <w:trHeight w:val="256"/>
        </w:trPr>
        <w:tc>
          <w:tcPr>
            <w:tcW w:w="5440" w:type="dxa"/>
            <w:vAlign w:val="bottom"/>
          </w:tcPr>
          <w:p>
            <w:pPr>
              <w:spacing w:after="0"/>
              <w:rPr>
                <w:sz w:val="20"/>
                <w:szCs w:val="20"/>
                <w:color w:val="auto"/>
              </w:rPr>
            </w:pPr>
            <w:r>
              <w:rPr>
                <w:rFonts w:ascii="Arial" w:cs="Arial" w:eastAsia="Arial" w:hAnsi="Arial"/>
                <w:sz w:val="22"/>
                <w:szCs w:val="22"/>
                <w:b w:val="1"/>
                <w:bCs w:val="1"/>
                <w:color w:val="auto"/>
              </w:rPr>
              <w:t>Investment income:</w:t>
            </w:r>
          </w:p>
        </w:tc>
        <w:tc>
          <w:tcPr>
            <w:tcW w:w="1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0"/>
        </w:trPr>
        <w:tc>
          <w:tcPr>
            <w:tcW w:w="5440" w:type="dxa"/>
            <w:vAlign w:val="bottom"/>
          </w:tcPr>
          <w:p>
            <w:pPr>
              <w:spacing w:after="0"/>
              <w:rPr>
                <w:sz w:val="20"/>
                <w:szCs w:val="20"/>
                <w:color w:val="auto"/>
              </w:rPr>
            </w:pPr>
            <w:r>
              <w:rPr>
                <w:rFonts w:ascii="Arial" w:cs="Arial" w:eastAsia="Arial" w:hAnsi="Arial"/>
                <w:sz w:val="22"/>
                <w:szCs w:val="22"/>
                <w:color w:val="auto"/>
              </w:rPr>
              <w:t>From non-controlled, non-affiliated investments:</w:t>
            </w: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5440" w:type="dxa"/>
            <w:vAlign w:val="bottom"/>
          </w:tcPr>
          <w:p>
            <w:pPr>
              <w:ind w:left="120"/>
              <w:spacing w:after="0"/>
              <w:rPr>
                <w:sz w:val="20"/>
                <w:szCs w:val="20"/>
                <w:color w:val="auto"/>
              </w:rPr>
            </w:pPr>
            <w:r>
              <w:rPr>
                <w:rFonts w:ascii="Arial" w:cs="Arial" w:eastAsia="Arial" w:hAnsi="Arial"/>
                <w:sz w:val="22"/>
                <w:szCs w:val="22"/>
                <w:color w:val="auto"/>
              </w:rPr>
              <w:t>Interest</w:t>
            </w:r>
          </w:p>
        </w:tc>
        <w:tc>
          <w:tcPr>
            <w:tcW w:w="1260" w:type="dxa"/>
            <w:vAlign w:val="bottom"/>
          </w:tcPr>
          <w:p>
            <w:pPr>
              <w:jc w:val="right"/>
              <w:spacing w:after="0"/>
              <w:rPr>
                <w:sz w:val="20"/>
                <w:szCs w:val="20"/>
                <w:color w:val="auto"/>
              </w:rPr>
            </w:pPr>
            <w:r>
              <w:rPr>
                <w:rFonts w:ascii="Arial" w:cs="Arial" w:eastAsia="Arial" w:hAnsi="Arial"/>
                <w:sz w:val="22"/>
                <w:szCs w:val="22"/>
                <w:color w:val="auto"/>
                <w:w w:val="90"/>
              </w:rPr>
              <w:t>$  11,668,772</w:t>
            </w: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w w:val="90"/>
              </w:rPr>
              <w:t>$  22,748,529</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w w:val="90"/>
              </w:rPr>
              <w:t>$  23,101,282</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w w:val="90"/>
              </w:rPr>
              <w:t>$  43,133,443</w:t>
            </w:r>
          </w:p>
        </w:tc>
      </w:tr>
      <w:tr>
        <w:trPr>
          <w:trHeight w:val="270"/>
        </w:trPr>
        <w:tc>
          <w:tcPr>
            <w:tcW w:w="5440" w:type="dxa"/>
            <w:vAlign w:val="bottom"/>
          </w:tcPr>
          <w:p>
            <w:pPr>
              <w:ind w:left="120"/>
              <w:spacing w:after="0"/>
              <w:rPr>
                <w:sz w:val="20"/>
                <w:szCs w:val="20"/>
                <w:color w:val="auto"/>
              </w:rPr>
            </w:pPr>
            <w:r>
              <w:rPr>
                <w:rFonts w:ascii="Arial" w:cs="Arial" w:eastAsia="Arial" w:hAnsi="Arial"/>
                <w:sz w:val="22"/>
                <w:szCs w:val="22"/>
                <w:color w:val="auto"/>
              </w:rPr>
              <w:t>Payment-in-kind</w:t>
            </w:r>
          </w:p>
        </w:tc>
        <w:tc>
          <w:tcPr>
            <w:tcW w:w="1260" w:type="dxa"/>
            <w:vAlign w:val="bottom"/>
          </w:tcPr>
          <w:p>
            <w:pPr>
              <w:jc w:val="right"/>
              <w:spacing w:after="0"/>
              <w:rPr>
                <w:sz w:val="20"/>
                <w:szCs w:val="20"/>
                <w:color w:val="auto"/>
              </w:rPr>
            </w:pPr>
            <w:r>
              <w:rPr>
                <w:rFonts w:ascii="Arial" w:cs="Arial" w:eastAsia="Arial" w:hAnsi="Arial"/>
                <w:sz w:val="22"/>
                <w:szCs w:val="22"/>
                <w:color w:val="auto"/>
              </w:rPr>
              <w:t>2,011,940</w:t>
            </w: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1,978,894</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3,470,739</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3,863,400</w:t>
            </w:r>
          </w:p>
        </w:tc>
      </w:tr>
      <w:tr>
        <w:trPr>
          <w:trHeight w:val="270"/>
        </w:trPr>
        <w:tc>
          <w:tcPr>
            <w:tcW w:w="5440" w:type="dxa"/>
            <w:vAlign w:val="bottom"/>
          </w:tcPr>
          <w:p>
            <w:pPr>
              <w:ind w:left="120"/>
              <w:spacing w:after="0"/>
              <w:rPr>
                <w:sz w:val="20"/>
                <w:szCs w:val="20"/>
                <w:color w:val="auto"/>
              </w:rPr>
            </w:pPr>
            <w:r>
              <w:rPr>
                <w:rFonts w:ascii="Arial" w:cs="Arial" w:eastAsia="Arial" w:hAnsi="Arial"/>
                <w:sz w:val="22"/>
                <w:szCs w:val="22"/>
                <w:color w:val="auto"/>
              </w:rPr>
              <w:t>Other income</w:t>
            </w:r>
          </w:p>
        </w:tc>
        <w:tc>
          <w:tcPr>
            <w:tcW w:w="1260" w:type="dxa"/>
            <w:vAlign w:val="bottom"/>
          </w:tcPr>
          <w:p>
            <w:pPr>
              <w:jc w:val="right"/>
              <w:spacing w:after="0"/>
              <w:rPr>
                <w:sz w:val="20"/>
                <w:szCs w:val="20"/>
                <w:color w:val="auto"/>
              </w:rPr>
            </w:pPr>
            <w:r>
              <w:rPr>
                <w:rFonts w:ascii="Arial" w:cs="Arial" w:eastAsia="Arial" w:hAnsi="Arial"/>
                <w:sz w:val="22"/>
                <w:szCs w:val="22"/>
                <w:color w:val="auto"/>
              </w:rPr>
              <w:t>23,942</w:t>
            </w: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751,284</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505,067</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941,202</w:t>
            </w:r>
          </w:p>
        </w:tc>
      </w:tr>
      <w:tr>
        <w:trPr>
          <w:trHeight w:val="270"/>
        </w:trPr>
        <w:tc>
          <w:tcPr>
            <w:tcW w:w="5440" w:type="dxa"/>
            <w:vAlign w:val="bottom"/>
          </w:tcPr>
          <w:p>
            <w:pPr>
              <w:spacing w:after="0"/>
              <w:rPr>
                <w:sz w:val="20"/>
                <w:szCs w:val="20"/>
                <w:color w:val="auto"/>
              </w:rPr>
            </w:pPr>
            <w:r>
              <w:rPr>
                <w:rFonts w:ascii="Arial" w:cs="Arial" w:eastAsia="Arial" w:hAnsi="Arial"/>
                <w:sz w:val="22"/>
                <w:szCs w:val="22"/>
                <w:color w:val="auto"/>
              </w:rPr>
              <w:t>From non-controlled, affiliated investments:</w:t>
            </w: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5440" w:type="dxa"/>
            <w:vAlign w:val="bottom"/>
          </w:tcPr>
          <w:p>
            <w:pPr>
              <w:ind w:left="120"/>
              <w:spacing w:after="0"/>
              <w:rPr>
                <w:sz w:val="20"/>
                <w:szCs w:val="20"/>
                <w:color w:val="auto"/>
              </w:rPr>
            </w:pPr>
            <w:r>
              <w:rPr>
                <w:rFonts w:ascii="Arial" w:cs="Arial" w:eastAsia="Arial" w:hAnsi="Arial"/>
                <w:sz w:val="22"/>
                <w:szCs w:val="22"/>
                <w:color w:val="auto"/>
              </w:rPr>
              <w:t>Payment-in-kind</w:t>
            </w:r>
          </w:p>
        </w:tc>
        <w:tc>
          <w:tcPr>
            <w:tcW w:w="1260" w:type="dxa"/>
            <w:vAlign w:val="bottom"/>
          </w:tcPr>
          <w:p>
            <w:pPr>
              <w:jc w:val="right"/>
              <w:spacing w:after="0"/>
              <w:rPr>
                <w:sz w:val="20"/>
                <w:szCs w:val="20"/>
                <w:color w:val="auto"/>
              </w:rPr>
            </w:pPr>
            <w:r>
              <w:rPr>
                <w:rFonts w:ascii="Arial" w:cs="Arial" w:eastAsia="Arial" w:hAnsi="Arial"/>
                <w:sz w:val="22"/>
                <w:szCs w:val="22"/>
                <w:color w:val="auto"/>
              </w:rPr>
              <w:t>380,271</w:t>
            </w:r>
          </w:p>
        </w:tc>
        <w:tc>
          <w:tcPr>
            <w:tcW w:w="220" w:type="dxa"/>
            <w:vAlign w:val="bottom"/>
          </w:tcPr>
          <w:p>
            <w:pPr>
              <w:spacing w:after="0"/>
              <w:rPr>
                <w:sz w:val="23"/>
                <w:szCs w:val="23"/>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1260" w:type="dxa"/>
            <w:vAlign w:val="bottom"/>
          </w:tcPr>
          <w:p>
            <w:pPr>
              <w:jc w:val="right"/>
              <w:spacing w:after="0"/>
              <w:rPr>
                <w:sz w:val="20"/>
                <w:szCs w:val="20"/>
                <w:color w:val="auto"/>
              </w:rPr>
            </w:pPr>
            <w:r>
              <w:rPr>
                <w:rFonts w:ascii="Arial" w:cs="Arial" w:eastAsia="Arial" w:hAnsi="Arial"/>
                <w:sz w:val="22"/>
                <w:szCs w:val="22"/>
                <w:color w:val="auto"/>
              </w:rPr>
              <w:t>456,998</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70"/>
        </w:trPr>
        <w:tc>
          <w:tcPr>
            <w:tcW w:w="5440" w:type="dxa"/>
            <w:vAlign w:val="bottom"/>
          </w:tcPr>
          <w:p>
            <w:pPr>
              <w:spacing w:after="0"/>
              <w:rPr>
                <w:sz w:val="20"/>
                <w:szCs w:val="20"/>
                <w:color w:val="auto"/>
              </w:rPr>
            </w:pPr>
            <w:r>
              <w:rPr>
                <w:rFonts w:ascii="Arial" w:cs="Arial" w:eastAsia="Arial" w:hAnsi="Arial"/>
                <w:sz w:val="22"/>
                <w:szCs w:val="22"/>
                <w:color w:val="auto"/>
              </w:rPr>
              <w:t>From controlled, affiliated investments:</w:t>
            </w: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5440" w:type="dxa"/>
            <w:vAlign w:val="bottom"/>
          </w:tcPr>
          <w:p>
            <w:pPr>
              <w:ind w:left="120"/>
              <w:spacing w:after="0"/>
              <w:rPr>
                <w:sz w:val="20"/>
                <w:szCs w:val="20"/>
                <w:color w:val="auto"/>
              </w:rPr>
            </w:pPr>
            <w:r>
              <w:rPr>
                <w:rFonts w:ascii="Arial" w:cs="Arial" w:eastAsia="Arial" w:hAnsi="Arial"/>
                <w:sz w:val="22"/>
                <w:szCs w:val="22"/>
                <w:color w:val="auto"/>
              </w:rPr>
              <w:t>Interest</w:t>
            </w:r>
          </w:p>
        </w:tc>
        <w:tc>
          <w:tcPr>
            <w:tcW w:w="1260" w:type="dxa"/>
            <w:vAlign w:val="bottom"/>
          </w:tcPr>
          <w:p>
            <w:pPr>
              <w:jc w:val="right"/>
              <w:spacing w:after="0"/>
              <w:rPr>
                <w:sz w:val="20"/>
                <w:szCs w:val="20"/>
                <w:color w:val="auto"/>
              </w:rPr>
            </w:pPr>
            <w:r>
              <w:rPr>
                <w:rFonts w:ascii="Arial" w:cs="Arial" w:eastAsia="Arial" w:hAnsi="Arial"/>
                <w:sz w:val="22"/>
                <w:szCs w:val="22"/>
                <w:color w:val="auto"/>
              </w:rPr>
              <w:t>2,177,259</w:t>
            </w: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559,934</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4,454,035</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1,204,624</w:t>
            </w:r>
          </w:p>
        </w:tc>
      </w:tr>
      <w:tr>
        <w:trPr>
          <w:trHeight w:val="270"/>
        </w:trPr>
        <w:tc>
          <w:tcPr>
            <w:tcW w:w="5440" w:type="dxa"/>
            <w:vAlign w:val="bottom"/>
          </w:tcPr>
          <w:p>
            <w:pPr>
              <w:ind w:left="120"/>
              <w:spacing w:after="0"/>
              <w:rPr>
                <w:sz w:val="20"/>
                <w:szCs w:val="20"/>
                <w:color w:val="auto"/>
              </w:rPr>
            </w:pPr>
            <w:r>
              <w:rPr>
                <w:rFonts w:ascii="Arial" w:cs="Arial" w:eastAsia="Arial" w:hAnsi="Arial"/>
                <w:sz w:val="22"/>
                <w:szCs w:val="22"/>
                <w:color w:val="auto"/>
              </w:rPr>
              <w:t>Payment-in-kind</w:t>
            </w:r>
          </w:p>
        </w:tc>
        <w:tc>
          <w:tcPr>
            <w:tcW w:w="1260" w:type="dxa"/>
            <w:vAlign w:val="bottom"/>
          </w:tcPr>
          <w:p>
            <w:pPr>
              <w:jc w:val="right"/>
              <w:spacing w:after="0"/>
              <w:rPr>
                <w:sz w:val="20"/>
                <w:szCs w:val="20"/>
                <w:color w:val="auto"/>
              </w:rPr>
            </w:pPr>
            <w:r>
              <w:rPr>
                <w:rFonts w:ascii="Arial" w:cs="Arial" w:eastAsia="Arial" w:hAnsi="Arial"/>
                <w:sz w:val="22"/>
                <w:szCs w:val="22"/>
                <w:color w:val="auto"/>
              </w:rPr>
              <w:t>1,518,971</w:t>
            </w: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1,496,251</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3,004,494</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4,395,988</w:t>
            </w:r>
          </w:p>
        </w:tc>
      </w:tr>
      <w:tr>
        <w:trPr>
          <w:trHeight w:val="274"/>
        </w:trPr>
        <w:tc>
          <w:tcPr>
            <w:tcW w:w="5440" w:type="dxa"/>
            <w:vAlign w:val="bottom"/>
          </w:tcPr>
          <w:p>
            <w:pPr>
              <w:ind w:left="120"/>
              <w:spacing w:after="0"/>
              <w:rPr>
                <w:sz w:val="20"/>
                <w:szCs w:val="20"/>
                <w:color w:val="auto"/>
              </w:rPr>
            </w:pPr>
            <w:r>
              <w:rPr>
                <w:rFonts w:ascii="Arial" w:cs="Arial" w:eastAsia="Arial" w:hAnsi="Arial"/>
                <w:sz w:val="22"/>
                <w:szCs w:val="22"/>
                <w:color w:val="auto"/>
              </w:rPr>
              <w:t>Dividend income</w:t>
            </w:r>
          </w:p>
        </w:tc>
        <w:tc>
          <w:tcPr>
            <w:tcW w:w="1260" w:type="dxa"/>
            <w:vAlign w:val="bottom"/>
          </w:tcPr>
          <w:p>
            <w:pPr>
              <w:jc w:val="right"/>
              <w:spacing w:after="0"/>
              <w:rPr>
                <w:sz w:val="20"/>
                <w:szCs w:val="20"/>
                <w:color w:val="auto"/>
              </w:rPr>
            </w:pPr>
            <w:r>
              <w:rPr>
                <w:rFonts w:ascii="Arial" w:cs="Arial" w:eastAsia="Arial" w:hAnsi="Arial"/>
                <w:sz w:val="22"/>
                <w:szCs w:val="22"/>
                <w:color w:val="auto"/>
              </w:rPr>
              <w:t>1,452,000</w:t>
            </w:r>
          </w:p>
        </w:tc>
        <w:tc>
          <w:tcPr>
            <w:tcW w:w="220" w:type="dxa"/>
            <w:vAlign w:val="bottom"/>
          </w:tcPr>
          <w:p>
            <w:pPr>
              <w:spacing w:after="0"/>
              <w:rPr>
                <w:sz w:val="23"/>
                <w:szCs w:val="23"/>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1260" w:type="dxa"/>
            <w:vAlign w:val="bottom"/>
          </w:tcPr>
          <w:p>
            <w:pPr>
              <w:jc w:val="right"/>
              <w:spacing w:after="0"/>
              <w:rPr>
                <w:sz w:val="20"/>
                <w:szCs w:val="20"/>
                <w:color w:val="auto"/>
              </w:rPr>
            </w:pPr>
            <w:r>
              <w:rPr>
                <w:rFonts w:ascii="Arial" w:cs="Arial" w:eastAsia="Arial" w:hAnsi="Arial"/>
                <w:sz w:val="22"/>
                <w:szCs w:val="22"/>
                <w:color w:val="auto"/>
              </w:rPr>
              <w:t>2,973,000</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67"/>
        </w:trPr>
        <w:tc>
          <w:tcPr>
            <w:tcW w:w="5440" w:type="dxa"/>
            <w:vAlign w:val="bottom"/>
          </w:tcPr>
          <w:p>
            <w:pPr>
              <w:ind w:left="120"/>
              <w:spacing w:after="0"/>
              <w:rPr>
                <w:sz w:val="20"/>
                <w:szCs w:val="20"/>
                <w:color w:val="auto"/>
              </w:rPr>
            </w:pPr>
            <w:r>
              <w:rPr>
                <w:rFonts w:ascii="Arial" w:cs="Arial" w:eastAsia="Arial" w:hAnsi="Arial"/>
                <w:sz w:val="22"/>
                <w:szCs w:val="22"/>
                <w:b w:val="1"/>
                <w:bCs w:val="1"/>
                <w:color w:val="auto"/>
              </w:rPr>
              <w:t>Total investment income</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19,233,155</w:t>
            </w:r>
          </w:p>
        </w:tc>
        <w:tc>
          <w:tcPr>
            <w:tcW w:w="220" w:type="dxa"/>
            <w:vAlign w:val="bottom"/>
          </w:tcPr>
          <w:p>
            <w:pPr>
              <w:spacing w:after="0"/>
              <w:rPr>
                <w:sz w:val="23"/>
                <w:szCs w:val="23"/>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27,534,892</w:t>
            </w:r>
          </w:p>
        </w:tc>
        <w:tc>
          <w:tcPr>
            <w:tcW w:w="220" w:type="dxa"/>
            <w:vAlign w:val="bottom"/>
          </w:tcPr>
          <w:p>
            <w:pPr>
              <w:spacing w:after="0"/>
              <w:rPr>
                <w:sz w:val="23"/>
                <w:szCs w:val="23"/>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37,965,615</w:t>
            </w:r>
          </w:p>
        </w:tc>
        <w:tc>
          <w:tcPr>
            <w:tcW w:w="220" w:type="dxa"/>
            <w:vAlign w:val="bottom"/>
          </w:tcPr>
          <w:p>
            <w:pPr>
              <w:spacing w:after="0"/>
              <w:rPr>
                <w:sz w:val="23"/>
                <w:szCs w:val="23"/>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53,538,657</w:t>
            </w:r>
          </w:p>
        </w:tc>
      </w:tr>
      <w:tr>
        <w:trPr>
          <w:trHeight w:val="256"/>
        </w:trPr>
        <w:tc>
          <w:tcPr>
            <w:tcW w:w="5440" w:type="dxa"/>
            <w:vAlign w:val="bottom"/>
          </w:tcPr>
          <w:p>
            <w:pPr>
              <w:spacing w:after="0"/>
              <w:rPr>
                <w:sz w:val="20"/>
                <w:szCs w:val="20"/>
                <w:color w:val="auto"/>
              </w:rPr>
            </w:pPr>
            <w:r>
              <w:rPr>
                <w:rFonts w:ascii="Arial" w:cs="Arial" w:eastAsia="Arial" w:hAnsi="Arial"/>
                <w:sz w:val="22"/>
                <w:szCs w:val="22"/>
                <w:b w:val="1"/>
                <w:bCs w:val="1"/>
                <w:color w:val="auto"/>
              </w:rPr>
              <w:t>Expenses:</w:t>
            </w:r>
          </w:p>
        </w:tc>
        <w:tc>
          <w:tcPr>
            <w:tcW w:w="1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0"/>
        </w:trPr>
        <w:tc>
          <w:tcPr>
            <w:tcW w:w="5440" w:type="dxa"/>
            <w:vAlign w:val="bottom"/>
          </w:tcPr>
          <w:p>
            <w:pPr>
              <w:ind w:left="120"/>
              <w:spacing w:after="0"/>
              <w:rPr>
                <w:sz w:val="20"/>
                <w:szCs w:val="20"/>
                <w:color w:val="auto"/>
              </w:rPr>
            </w:pPr>
            <w:r>
              <w:rPr>
                <w:rFonts w:ascii="Arial" w:cs="Arial" w:eastAsia="Arial" w:hAnsi="Arial"/>
                <w:sz w:val="22"/>
                <w:szCs w:val="22"/>
                <w:color w:val="auto"/>
              </w:rPr>
              <w:t>Base management fee</w:t>
            </w:r>
          </w:p>
        </w:tc>
        <w:tc>
          <w:tcPr>
            <w:tcW w:w="1260" w:type="dxa"/>
            <w:vAlign w:val="bottom"/>
          </w:tcPr>
          <w:p>
            <w:pPr>
              <w:jc w:val="right"/>
              <w:spacing w:after="0"/>
              <w:rPr>
                <w:sz w:val="20"/>
                <w:szCs w:val="20"/>
                <w:color w:val="auto"/>
              </w:rPr>
            </w:pPr>
            <w:r>
              <w:rPr>
                <w:rFonts w:ascii="Arial" w:cs="Arial" w:eastAsia="Arial" w:hAnsi="Arial"/>
                <w:sz w:val="22"/>
                <w:szCs w:val="22"/>
                <w:color w:val="auto"/>
              </w:rPr>
              <w:t>4,282,129</w:t>
            </w: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4,880,699</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8,396,558</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9,623,129</w:t>
            </w:r>
          </w:p>
        </w:tc>
      </w:tr>
      <w:tr>
        <w:trPr>
          <w:trHeight w:val="270"/>
        </w:trPr>
        <w:tc>
          <w:tcPr>
            <w:tcW w:w="5440" w:type="dxa"/>
            <w:vAlign w:val="bottom"/>
          </w:tcPr>
          <w:p>
            <w:pPr>
              <w:ind w:left="120"/>
              <w:spacing w:after="0"/>
              <w:rPr>
                <w:sz w:val="20"/>
                <w:szCs w:val="20"/>
                <w:color w:val="auto"/>
              </w:rPr>
            </w:pPr>
            <w:r>
              <w:rPr>
                <w:rFonts w:ascii="Arial" w:cs="Arial" w:eastAsia="Arial" w:hAnsi="Arial"/>
                <w:sz w:val="22"/>
                <w:szCs w:val="22"/>
                <w:color w:val="auto"/>
              </w:rPr>
              <w:t>Performance-based incentive fee</w:t>
            </w:r>
          </w:p>
        </w:tc>
        <w:tc>
          <w:tcPr>
            <w:tcW w:w="1480" w:type="dxa"/>
            <w:vAlign w:val="bottom"/>
            <w:gridSpan w:val="2"/>
          </w:tcPr>
          <w:p>
            <w:pPr>
              <w:jc w:val="right"/>
              <w:ind w:right="240"/>
              <w:spacing w:after="0"/>
              <w:rPr>
                <w:sz w:val="20"/>
                <w:szCs w:val="20"/>
                <w:color w:val="auto"/>
              </w:rPr>
            </w:pPr>
            <w:r>
              <w:rPr>
                <w:rFonts w:ascii="Arial" w:cs="Arial" w:eastAsia="Arial" w:hAnsi="Arial"/>
                <w:sz w:val="22"/>
                <w:szCs w:val="22"/>
                <w:color w:val="auto"/>
              </w:rPr>
              <w:t>—</w:t>
            </w:r>
          </w:p>
        </w:tc>
        <w:tc>
          <w:tcPr>
            <w:tcW w:w="1240" w:type="dxa"/>
            <w:vAlign w:val="bottom"/>
          </w:tcPr>
          <w:p>
            <w:pPr>
              <w:jc w:val="right"/>
              <w:spacing w:after="0"/>
              <w:rPr>
                <w:sz w:val="20"/>
                <w:szCs w:val="20"/>
                <w:color w:val="auto"/>
              </w:rPr>
            </w:pPr>
            <w:r>
              <w:rPr>
                <w:rFonts w:ascii="Arial" w:cs="Arial" w:eastAsia="Arial" w:hAnsi="Arial"/>
                <w:sz w:val="22"/>
                <w:szCs w:val="22"/>
                <w:color w:val="auto"/>
              </w:rPr>
              <w:t>1,913,047</w:t>
            </w:r>
          </w:p>
        </w:tc>
        <w:tc>
          <w:tcPr>
            <w:tcW w:w="220" w:type="dxa"/>
            <w:vAlign w:val="bottom"/>
          </w:tcPr>
          <w:p>
            <w:pPr>
              <w:spacing w:after="0"/>
              <w:rPr>
                <w:sz w:val="23"/>
                <w:szCs w:val="23"/>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22"/>
                <w:szCs w:val="22"/>
                <w:color w:val="auto"/>
              </w:rPr>
              <w:t>—</w:t>
            </w:r>
          </w:p>
        </w:tc>
        <w:tc>
          <w:tcPr>
            <w:tcW w:w="1260" w:type="dxa"/>
            <w:vAlign w:val="bottom"/>
          </w:tcPr>
          <w:p>
            <w:pPr>
              <w:jc w:val="right"/>
              <w:spacing w:after="0"/>
              <w:rPr>
                <w:sz w:val="20"/>
                <w:szCs w:val="20"/>
                <w:color w:val="auto"/>
              </w:rPr>
            </w:pPr>
            <w:r>
              <w:rPr>
                <w:rFonts w:ascii="Arial" w:cs="Arial" w:eastAsia="Arial" w:hAnsi="Arial"/>
                <w:sz w:val="22"/>
                <w:szCs w:val="22"/>
                <w:color w:val="auto"/>
              </w:rPr>
              <w:t>2,657,673</w:t>
            </w:r>
          </w:p>
        </w:tc>
      </w:tr>
      <w:tr>
        <w:trPr>
          <w:trHeight w:val="270"/>
        </w:trPr>
        <w:tc>
          <w:tcPr>
            <w:tcW w:w="5440" w:type="dxa"/>
            <w:vAlign w:val="bottom"/>
          </w:tcPr>
          <w:p>
            <w:pPr>
              <w:ind w:left="120"/>
              <w:spacing w:after="0"/>
              <w:rPr>
                <w:sz w:val="20"/>
                <w:szCs w:val="20"/>
                <w:color w:val="auto"/>
              </w:rPr>
            </w:pPr>
            <w:r>
              <w:rPr>
                <w:rFonts w:ascii="Arial" w:cs="Arial" w:eastAsia="Arial" w:hAnsi="Arial"/>
                <w:sz w:val="22"/>
                <w:szCs w:val="22"/>
                <w:color w:val="auto"/>
              </w:rPr>
              <w:t>Interest and expenses on debt</w:t>
            </w:r>
          </w:p>
        </w:tc>
        <w:tc>
          <w:tcPr>
            <w:tcW w:w="1260" w:type="dxa"/>
            <w:vAlign w:val="bottom"/>
          </w:tcPr>
          <w:p>
            <w:pPr>
              <w:jc w:val="right"/>
              <w:spacing w:after="0"/>
              <w:rPr>
                <w:sz w:val="20"/>
                <w:szCs w:val="20"/>
                <w:color w:val="auto"/>
              </w:rPr>
            </w:pPr>
            <w:r>
              <w:rPr>
                <w:rFonts w:ascii="Arial" w:cs="Arial" w:eastAsia="Arial" w:hAnsi="Arial"/>
                <w:sz w:val="22"/>
                <w:szCs w:val="22"/>
                <w:color w:val="auto"/>
              </w:rPr>
              <w:t>4,889,854</w:t>
            </w: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8,962,513</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9,893,985</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17,828,583</w:t>
            </w:r>
          </w:p>
        </w:tc>
      </w:tr>
      <w:tr>
        <w:trPr>
          <w:trHeight w:val="270"/>
        </w:trPr>
        <w:tc>
          <w:tcPr>
            <w:tcW w:w="5440" w:type="dxa"/>
            <w:vAlign w:val="bottom"/>
          </w:tcPr>
          <w:p>
            <w:pPr>
              <w:ind w:left="120"/>
              <w:spacing w:after="0"/>
              <w:rPr>
                <w:sz w:val="20"/>
                <w:szCs w:val="20"/>
                <w:color w:val="auto"/>
              </w:rPr>
            </w:pPr>
            <w:r>
              <w:rPr>
                <w:rFonts w:ascii="Arial" w:cs="Arial" w:eastAsia="Arial" w:hAnsi="Arial"/>
                <w:sz w:val="22"/>
                <w:szCs w:val="22"/>
                <w:color w:val="auto"/>
              </w:rPr>
              <w:t>Administrative services expenses</w:t>
            </w:r>
          </w:p>
        </w:tc>
        <w:tc>
          <w:tcPr>
            <w:tcW w:w="1260" w:type="dxa"/>
            <w:vAlign w:val="bottom"/>
          </w:tcPr>
          <w:p>
            <w:pPr>
              <w:jc w:val="right"/>
              <w:spacing w:after="0"/>
              <w:rPr>
                <w:sz w:val="20"/>
                <w:szCs w:val="20"/>
                <w:color w:val="auto"/>
              </w:rPr>
            </w:pPr>
            <w:r>
              <w:rPr>
                <w:rFonts w:ascii="Arial" w:cs="Arial" w:eastAsia="Arial" w:hAnsi="Arial"/>
                <w:sz w:val="22"/>
                <w:szCs w:val="22"/>
                <w:color w:val="auto"/>
              </w:rPr>
              <w:t>505,020</w:t>
            </w: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521,520</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1,010,040</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1,043,040</w:t>
            </w:r>
          </w:p>
        </w:tc>
      </w:tr>
      <w:tr>
        <w:trPr>
          <w:trHeight w:val="274"/>
        </w:trPr>
        <w:tc>
          <w:tcPr>
            <w:tcW w:w="5440" w:type="dxa"/>
            <w:vAlign w:val="bottom"/>
          </w:tcPr>
          <w:p>
            <w:pPr>
              <w:ind w:left="120"/>
              <w:spacing w:after="0"/>
              <w:rPr>
                <w:sz w:val="20"/>
                <w:szCs w:val="20"/>
                <w:color w:val="auto"/>
              </w:rPr>
            </w:pPr>
            <w:r>
              <w:rPr>
                <w:rFonts w:ascii="Arial" w:cs="Arial" w:eastAsia="Arial" w:hAnsi="Arial"/>
                <w:sz w:val="22"/>
                <w:szCs w:val="22"/>
                <w:color w:val="auto"/>
              </w:rPr>
              <w:t>Other general and administrative expenses</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643,480</w:t>
            </w:r>
          </w:p>
        </w:tc>
        <w:tc>
          <w:tcPr>
            <w:tcW w:w="220" w:type="dxa"/>
            <w:vAlign w:val="bottom"/>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648,881</w:t>
            </w:r>
          </w:p>
        </w:tc>
        <w:tc>
          <w:tcPr>
            <w:tcW w:w="220" w:type="dxa"/>
            <w:vAlign w:val="bottom"/>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1,286,963</w:t>
            </w:r>
          </w:p>
        </w:tc>
        <w:tc>
          <w:tcPr>
            <w:tcW w:w="220" w:type="dxa"/>
            <w:vAlign w:val="bottom"/>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1,292,841</w:t>
            </w:r>
          </w:p>
        </w:tc>
      </w:tr>
      <w:tr>
        <w:trPr>
          <w:trHeight w:val="213"/>
        </w:trPr>
        <w:tc>
          <w:tcPr>
            <w:tcW w:w="5440" w:type="dxa"/>
            <w:vAlign w:val="bottom"/>
          </w:tcPr>
          <w:p>
            <w:pPr>
              <w:ind w:left="120"/>
              <w:spacing w:after="0" w:line="212" w:lineRule="exact"/>
              <w:rPr>
                <w:sz w:val="20"/>
                <w:szCs w:val="20"/>
                <w:color w:val="auto"/>
              </w:rPr>
            </w:pPr>
            <w:r>
              <w:rPr>
                <w:rFonts w:ascii="Arial" w:cs="Arial" w:eastAsia="Arial" w:hAnsi="Arial"/>
                <w:sz w:val="22"/>
                <w:szCs w:val="22"/>
                <w:b w:val="1"/>
                <w:bCs w:val="1"/>
                <w:color w:val="auto"/>
              </w:rPr>
              <w:t>Expenses before performance-based incentive fee</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80"/>
        </w:trPr>
        <w:tc>
          <w:tcPr>
            <w:tcW w:w="5440" w:type="dxa"/>
            <w:vAlign w:val="bottom"/>
          </w:tcPr>
          <w:p>
            <w:pPr>
              <w:ind w:left="120"/>
              <w:spacing w:after="0"/>
              <w:rPr>
                <w:sz w:val="20"/>
                <w:szCs w:val="20"/>
                <w:color w:val="auto"/>
              </w:rPr>
            </w:pPr>
            <w:r>
              <w:rPr>
                <w:rFonts w:ascii="Arial" w:cs="Arial" w:eastAsia="Arial" w:hAnsi="Arial"/>
                <w:sz w:val="22"/>
                <w:szCs w:val="22"/>
                <w:b w:val="1"/>
                <w:bCs w:val="1"/>
                <w:color w:val="auto"/>
              </w:rPr>
              <w:t>waiver and provision for taxes</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10,320,483</w:t>
            </w:r>
          </w:p>
        </w:tc>
        <w:tc>
          <w:tcPr>
            <w:tcW w:w="22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16,926,660</w:t>
            </w:r>
          </w:p>
        </w:tc>
        <w:tc>
          <w:tcPr>
            <w:tcW w:w="220" w:type="dxa"/>
            <w:vAlign w:val="bottom"/>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20,587,546</w:t>
            </w:r>
          </w:p>
        </w:tc>
        <w:tc>
          <w:tcPr>
            <w:tcW w:w="220" w:type="dxa"/>
            <w:vAlign w:val="bottom"/>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32,445,266</w:t>
            </w:r>
          </w:p>
        </w:tc>
      </w:tr>
      <w:tr>
        <w:trPr>
          <w:trHeight w:val="259"/>
        </w:trPr>
        <w:tc>
          <w:tcPr>
            <w:tcW w:w="5440" w:type="dxa"/>
            <w:vAlign w:val="bottom"/>
          </w:tcPr>
          <w:p>
            <w:pPr>
              <w:ind w:left="120"/>
              <w:spacing w:after="0"/>
              <w:rPr>
                <w:sz w:val="20"/>
                <w:szCs w:val="20"/>
                <w:color w:val="auto"/>
              </w:rPr>
            </w:pPr>
            <w:r>
              <w:rPr>
                <w:rFonts w:ascii="Arial" w:cs="Arial" w:eastAsia="Arial" w:hAnsi="Arial"/>
                <w:sz w:val="22"/>
                <w:szCs w:val="22"/>
                <w:color w:val="auto"/>
              </w:rPr>
              <w:t>Performance-based incentive fee waiver</w:t>
            </w:r>
          </w:p>
        </w:tc>
        <w:tc>
          <w:tcPr>
            <w:tcW w:w="126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74"/>
        </w:trPr>
        <w:tc>
          <w:tcPr>
            <w:tcW w:w="5440" w:type="dxa"/>
            <w:vAlign w:val="bottom"/>
          </w:tcPr>
          <w:p>
            <w:pPr>
              <w:ind w:left="120"/>
              <w:spacing w:after="0"/>
              <w:rPr>
                <w:sz w:val="20"/>
                <w:szCs w:val="20"/>
                <w:color w:val="auto"/>
              </w:rPr>
            </w:pPr>
            <w:r>
              <w:rPr>
                <w:rFonts w:ascii="Arial" w:cs="Arial" w:eastAsia="Arial" w:hAnsi="Arial"/>
                <w:sz w:val="22"/>
                <w:szCs w:val="22"/>
                <w:color w:val="auto"/>
              </w:rPr>
              <w:t>Provision for taxes</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150,000</w:t>
            </w:r>
          </w:p>
        </w:tc>
        <w:tc>
          <w:tcPr>
            <w:tcW w:w="220" w:type="dxa"/>
            <w:vAlign w:val="bottom"/>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300,000</w:t>
            </w:r>
          </w:p>
        </w:tc>
        <w:tc>
          <w:tcPr>
            <w:tcW w:w="220" w:type="dxa"/>
            <w:vAlign w:val="bottom"/>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300,000</w:t>
            </w:r>
          </w:p>
        </w:tc>
        <w:tc>
          <w:tcPr>
            <w:tcW w:w="220" w:type="dxa"/>
            <w:vAlign w:val="bottom"/>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600,000</w:t>
            </w:r>
          </w:p>
        </w:tc>
      </w:tr>
      <w:tr>
        <w:trPr>
          <w:trHeight w:val="267"/>
        </w:trPr>
        <w:tc>
          <w:tcPr>
            <w:tcW w:w="5440" w:type="dxa"/>
            <w:vAlign w:val="bottom"/>
          </w:tcPr>
          <w:p>
            <w:pPr>
              <w:ind w:left="120"/>
              <w:spacing w:after="0"/>
              <w:rPr>
                <w:sz w:val="20"/>
                <w:szCs w:val="20"/>
                <w:color w:val="auto"/>
              </w:rPr>
            </w:pPr>
            <w:r>
              <w:rPr>
                <w:rFonts w:ascii="Arial" w:cs="Arial" w:eastAsia="Arial" w:hAnsi="Arial"/>
                <w:sz w:val="22"/>
                <w:szCs w:val="22"/>
                <w:b w:val="1"/>
                <w:bCs w:val="1"/>
                <w:color w:val="auto"/>
              </w:rPr>
              <w:t>Net expenses</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10,470,483</w:t>
            </w:r>
          </w:p>
        </w:tc>
        <w:tc>
          <w:tcPr>
            <w:tcW w:w="220" w:type="dxa"/>
            <w:vAlign w:val="bottom"/>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17,226,660</w:t>
            </w:r>
          </w:p>
        </w:tc>
        <w:tc>
          <w:tcPr>
            <w:tcW w:w="220" w:type="dxa"/>
            <w:vAlign w:val="bottom"/>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20,887,546</w:t>
            </w:r>
          </w:p>
        </w:tc>
        <w:tc>
          <w:tcPr>
            <w:tcW w:w="220" w:type="dxa"/>
            <w:vAlign w:val="bottom"/>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33,045,266</w:t>
            </w:r>
          </w:p>
        </w:tc>
      </w:tr>
      <w:tr>
        <w:trPr>
          <w:trHeight w:val="263"/>
        </w:trPr>
        <w:tc>
          <w:tcPr>
            <w:tcW w:w="5440" w:type="dxa"/>
            <w:vAlign w:val="bottom"/>
          </w:tcPr>
          <w:p>
            <w:pPr>
              <w:ind w:left="120"/>
              <w:spacing w:after="0"/>
              <w:rPr>
                <w:sz w:val="20"/>
                <w:szCs w:val="20"/>
                <w:color w:val="auto"/>
              </w:rPr>
            </w:pPr>
            <w:r>
              <w:rPr>
                <w:rFonts w:ascii="Arial" w:cs="Arial" w:eastAsia="Arial" w:hAnsi="Arial"/>
                <w:sz w:val="22"/>
                <w:szCs w:val="22"/>
                <w:b w:val="1"/>
                <w:bCs w:val="1"/>
                <w:color w:val="auto"/>
              </w:rPr>
              <w:t>Net investment income</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8,762,672</w:t>
            </w:r>
          </w:p>
        </w:tc>
        <w:tc>
          <w:tcPr>
            <w:tcW w:w="220" w:type="dxa"/>
            <w:vAlign w:val="bottom"/>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10,308,232</w:t>
            </w:r>
          </w:p>
        </w:tc>
        <w:tc>
          <w:tcPr>
            <w:tcW w:w="220" w:type="dxa"/>
            <w:vAlign w:val="bottom"/>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17,078,069</w:t>
            </w:r>
          </w:p>
        </w:tc>
        <w:tc>
          <w:tcPr>
            <w:tcW w:w="220" w:type="dxa"/>
            <w:vAlign w:val="bottom"/>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20,493,391</w:t>
            </w:r>
          </w:p>
        </w:tc>
      </w:tr>
    </w:tbl>
    <w:p>
      <w:pPr>
        <w:sectPr>
          <w:pgSz w:w="11900" w:h="16838" w:orient="portrait"/>
          <w:cols w:equalWidth="0" w:num="1">
            <w:col w:w="11200"/>
          </w:cols>
          <w:pgMar w:left="340" w:top="118" w:right="359" w:bottom="0" w:gutter="0" w:footer="0" w:header="0"/>
        </w:sectPr>
      </w:pPr>
    </w:p>
    <w:bookmarkStart w:id="8" w:name="page9"/>
    <w:bookmarkEnd w:id="8"/>
    <w:p>
      <w:pPr>
        <w:ind w:left="20"/>
        <w:spacing w:after="0"/>
        <w:rPr>
          <w:sz w:val="20"/>
          <w:szCs w:val="20"/>
          <w:color w:val="auto"/>
        </w:rPr>
      </w:pPr>
      <w:r>
        <w:rPr>
          <w:rFonts w:ascii="Arial" w:cs="Arial" w:eastAsia="Arial" w:hAnsi="Arial"/>
          <w:sz w:val="22"/>
          <w:szCs w:val="22"/>
          <w:b w:val="1"/>
          <w:bCs w:val="1"/>
          <w:color w:val="auto"/>
        </w:rPr>
        <w:t>Realized and unrealized gain (loss) on investments and</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debt:</w:t>
      </w:r>
    </w:p>
    <w:p>
      <w:pPr>
        <w:spacing w:after="0" w:line="3" w:lineRule="exact"/>
        <w:rPr>
          <w:sz w:val="20"/>
          <w:szCs w:val="20"/>
          <w:color w:val="auto"/>
        </w:rPr>
      </w:pPr>
    </w:p>
    <w:tbl>
      <w:tblPr>
        <w:tblLayout w:type="fixed"/>
        <w:tblInd w:w="20" w:type="dxa"/>
        <w:tblCellMar>
          <w:top w:w="0" w:type="dxa"/>
          <w:left w:w="0" w:type="dxa"/>
          <w:bottom w:w="0" w:type="dxa"/>
          <w:right w:w="0" w:type="dxa"/>
        </w:tblCellMar>
      </w:tblPr>
      <w:tr>
        <w:trPr>
          <w:trHeight w:val="266"/>
        </w:trPr>
        <w:tc>
          <w:tcPr>
            <w:tcW w:w="5440" w:type="dxa"/>
            <w:vAlign w:val="bottom"/>
          </w:tcPr>
          <w:p>
            <w:pPr>
              <w:spacing w:after="0"/>
              <w:rPr>
                <w:sz w:val="20"/>
                <w:szCs w:val="20"/>
                <w:color w:val="auto"/>
              </w:rPr>
            </w:pPr>
            <w:r>
              <w:rPr>
                <w:rFonts w:ascii="Arial" w:cs="Arial" w:eastAsia="Arial" w:hAnsi="Arial"/>
                <w:sz w:val="22"/>
                <w:szCs w:val="22"/>
                <w:color w:val="auto"/>
              </w:rPr>
              <w:t>Net realized gain (loss) on investments on:</w:t>
            </w: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440" w:type="dxa"/>
            <w:vAlign w:val="bottom"/>
          </w:tcPr>
          <w:p>
            <w:pPr>
              <w:ind w:left="120"/>
              <w:spacing w:after="0"/>
              <w:rPr>
                <w:sz w:val="20"/>
                <w:szCs w:val="20"/>
                <w:color w:val="auto"/>
              </w:rPr>
            </w:pPr>
            <w:r>
              <w:rPr>
                <w:rFonts w:ascii="Arial" w:cs="Arial" w:eastAsia="Arial" w:hAnsi="Arial"/>
                <w:sz w:val="22"/>
                <w:szCs w:val="22"/>
                <w:color w:val="auto"/>
              </w:rPr>
              <w:t>Non-controlled, non-affiliated investments</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319,431</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1,424,778</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2,450,389</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spacing w:after="0"/>
              <w:rPr>
                <w:sz w:val="20"/>
                <w:szCs w:val="20"/>
                <w:color w:val="auto"/>
              </w:rPr>
            </w:pPr>
            <w:r>
              <w:rPr>
                <w:rFonts w:ascii="Arial" w:cs="Arial" w:eastAsia="Arial" w:hAnsi="Arial"/>
                <w:sz w:val="22"/>
                <w:szCs w:val="22"/>
                <w:color w:val="auto"/>
                <w:w w:val="92"/>
              </w:rPr>
              <w:t>(10,609,375)</w:t>
            </w:r>
          </w:p>
        </w:tc>
        <w:tc>
          <w:tcPr>
            <w:tcW w:w="0" w:type="dxa"/>
            <w:vAlign w:val="bottom"/>
          </w:tcPr>
          <w:p>
            <w:pPr>
              <w:spacing w:after="0"/>
              <w:rPr>
                <w:sz w:val="1"/>
                <w:szCs w:val="1"/>
                <w:color w:val="auto"/>
              </w:rPr>
            </w:pPr>
          </w:p>
        </w:tc>
      </w:tr>
      <w:tr>
        <w:trPr>
          <w:trHeight w:val="274"/>
        </w:trPr>
        <w:tc>
          <w:tcPr>
            <w:tcW w:w="5440" w:type="dxa"/>
            <w:vAlign w:val="bottom"/>
          </w:tcPr>
          <w:p>
            <w:pPr>
              <w:ind w:left="120"/>
              <w:spacing w:after="0"/>
              <w:rPr>
                <w:sz w:val="20"/>
                <w:szCs w:val="20"/>
                <w:color w:val="auto"/>
              </w:rPr>
            </w:pPr>
            <w:r>
              <w:rPr>
                <w:rFonts w:ascii="Arial" w:cs="Arial" w:eastAsia="Arial" w:hAnsi="Arial"/>
                <w:sz w:val="22"/>
                <w:szCs w:val="22"/>
                <w:color w:val="auto"/>
              </w:rPr>
              <w:t>Non-controlled and controlled, affiliated investments</w:t>
            </w:r>
          </w:p>
        </w:tc>
        <w:tc>
          <w:tcPr>
            <w:tcW w:w="200" w:type="dxa"/>
            <w:vAlign w:val="bottom"/>
          </w:tcPr>
          <w:p>
            <w:pPr>
              <w:spacing w:after="0"/>
              <w:rPr>
                <w:sz w:val="23"/>
                <w:szCs w:val="23"/>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22"/>
                <w:szCs w:val="22"/>
                <w:color w:val="auto"/>
              </w:rPr>
              <w:t>—</w:t>
            </w: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3"/>
                <w:szCs w:val="23"/>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22"/>
                <w:szCs w:val="22"/>
                <w:color w:val="auto"/>
                <w:w w:val="94"/>
              </w:rPr>
              <w:t>(19,708,359)</w:t>
            </w:r>
          </w:p>
        </w:tc>
        <w:tc>
          <w:tcPr>
            <w:tcW w:w="160" w:type="dxa"/>
            <w:vAlign w:val="bottom"/>
          </w:tcPr>
          <w:p>
            <w:pPr>
              <w:spacing w:after="0"/>
              <w:rPr>
                <w:sz w:val="23"/>
                <w:szCs w:val="2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67"/>
        </w:trPr>
        <w:tc>
          <w:tcPr>
            <w:tcW w:w="5440" w:type="dxa"/>
            <w:vAlign w:val="bottom"/>
          </w:tcPr>
          <w:p>
            <w:pPr>
              <w:ind w:left="120"/>
              <w:spacing w:after="0"/>
              <w:rPr>
                <w:sz w:val="20"/>
                <w:szCs w:val="20"/>
                <w:color w:val="auto"/>
              </w:rPr>
            </w:pPr>
            <w:r>
              <w:rPr>
                <w:rFonts w:ascii="Arial" w:cs="Arial" w:eastAsia="Arial" w:hAnsi="Arial"/>
                <w:sz w:val="22"/>
                <w:szCs w:val="22"/>
                <w:b w:val="1"/>
                <w:bCs w:val="1"/>
                <w:color w:val="auto"/>
              </w:rPr>
              <w:t>Net realized gain (loss) on investments</w:t>
            </w:r>
          </w:p>
        </w:tc>
        <w:tc>
          <w:tcPr>
            <w:tcW w:w="20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319,431</w:t>
            </w:r>
          </w:p>
        </w:tc>
        <w:tc>
          <w:tcPr>
            <w:tcW w:w="220" w:type="dxa"/>
            <w:vAlign w:val="bottom"/>
          </w:tcPr>
          <w:p>
            <w:pPr>
              <w:spacing w:after="0"/>
              <w:rPr>
                <w:sz w:val="23"/>
                <w:szCs w:val="23"/>
                <w:color w:val="auto"/>
              </w:rPr>
            </w:pPr>
          </w:p>
        </w:tc>
        <w:tc>
          <w:tcPr>
            <w:tcW w:w="16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1,424,778</w:t>
            </w:r>
          </w:p>
        </w:tc>
        <w:tc>
          <w:tcPr>
            <w:tcW w:w="220" w:type="dxa"/>
            <w:vAlign w:val="bottom"/>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8"/>
              </w:rPr>
              <w:t>(17,257,970)</w:t>
            </w:r>
          </w:p>
        </w:tc>
        <w:tc>
          <w:tcPr>
            <w:tcW w:w="220" w:type="dxa"/>
            <w:vAlign w:val="bottom"/>
          </w:tcPr>
          <w:p>
            <w:pPr>
              <w:spacing w:after="0"/>
              <w:rPr>
                <w:sz w:val="23"/>
                <w:szCs w:val="23"/>
                <w:color w:val="auto"/>
              </w:rPr>
            </w:pPr>
          </w:p>
        </w:tc>
        <w:tc>
          <w:tcPr>
            <w:tcW w:w="160" w:type="dxa"/>
            <w:vAlign w:val="bottom"/>
            <w:tcBorders>
              <w:top w:val="single" w:sz="8" w:color="auto"/>
              <w:bottom w:val="single" w:sz="8" w:color="auto"/>
            </w:tcBorders>
          </w:tcPr>
          <w:p>
            <w:pPr>
              <w:spacing w:after="0"/>
              <w:rPr>
                <w:sz w:val="23"/>
                <w:szCs w:val="23"/>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6"/>
              </w:rPr>
              <w:t>(10,609,375)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5440" w:type="dxa"/>
            <w:vAlign w:val="bottom"/>
          </w:tcPr>
          <w:p>
            <w:pPr>
              <w:spacing w:after="0"/>
              <w:rPr>
                <w:sz w:val="20"/>
                <w:szCs w:val="20"/>
                <w:color w:val="auto"/>
              </w:rPr>
            </w:pPr>
            <w:r>
              <w:rPr>
                <w:rFonts w:ascii="Arial" w:cs="Arial" w:eastAsia="Arial" w:hAnsi="Arial"/>
                <w:sz w:val="22"/>
                <w:szCs w:val="22"/>
                <w:color w:val="auto"/>
                <w:w w:val="99"/>
              </w:rPr>
              <w:t>Net change in unrealized appreciation (depreciation) on: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440" w:type="dxa"/>
            <w:vAlign w:val="bottom"/>
          </w:tcPr>
          <w:p>
            <w:pPr>
              <w:ind w:left="120"/>
              <w:spacing w:after="0"/>
              <w:rPr>
                <w:sz w:val="20"/>
                <w:szCs w:val="20"/>
                <w:color w:val="auto"/>
              </w:rPr>
            </w:pPr>
            <w:r>
              <w:rPr>
                <w:rFonts w:ascii="Arial" w:cs="Arial" w:eastAsia="Arial" w:hAnsi="Arial"/>
                <w:sz w:val="22"/>
                <w:szCs w:val="22"/>
                <w:color w:val="auto"/>
              </w:rPr>
              <w:t>Non-controlled, non-affiliated investments</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w w:val="92"/>
              </w:rPr>
              <w:t>11,206,850</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22"/>
                <w:szCs w:val="22"/>
                <w:color w:val="auto"/>
                <w:w w:val="92"/>
              </w:rPr>
              <w:t>(40,710,987)</w:t>
            </w: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w w:val="98"/>
              </w:rPr>
              <w:t>87,612,267</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spacing w:after="0"/>
              <w:rPr>
                <w:sz w:val="20"/>
                <w:szCs w:val="20"/>
                <w:color w:val="auto"/>
              </w:rPr>
            </w:pPr>
            <w:r>
              <w:rPr>
                <w:rFonts w:ascii="Arial" w:cs="Arial" w:eastAsia="Arial" w:hAnsi="Arial"/>
                <w:sz w:val="22"/>
                <w:szCs w:val="22"/>
                <w:color w:val="auto"/>
                <w:w w:val="92"/>
              </w:rPr>
              <w:t>(23,658,391)</w:t>
            </w:r>
          </w:p>
        </w:tc>
        <w:tc>
          <w:tcPr>
            <w:tcW w:w="0" w:type="dxa"/>
            <w:vAlign w:val="bottom"/>
          </w:tcPr>
          <w:p>
            <w:pPr>
              <w:spacing w:after="0"/>
              <w:rPr>
                <w:sz w:val="1"/>
                <w:szCs w:val="1"/>
                <w:color w:val="auto"/>
              </w:rPr>
            </w:pPr>
          </w:p>
        </w:tc>
      </w:tr>
      <w:tr>
        <w:trPr>
          <w:trHeight w:val="270"/>
        </w:trPr>
        <w:tc>
          <w:tcPr>
            <w:tcW w:w="5440" w:type="dxa"/>
            <w:vAlign w:val="bottom"/>
          </w:tcPr>
          <w:p>
            <w:pPr>
              <w:ind w:left="120"/>
              <w:spacing w:after="0"/>
              <w:rPr>
                <w:sz w:val="20"/>
                <w:szCs w:val="20"/>
                <w:color w:val="auto"/>
              </w:rPr>
            </w:pPr>
            <w:r>
              <w:rPr>
                <w:rFonts w:ascii="Arial" w:cs="Arial" w:eastAsia="Arial" w:hAnsi="Arial"/>
                <w:sz w:val="22"/>
                <w:szCs w:val="22"/>
                <w:color w:val="auto"/>
              </w:rPr>
              <w:t>Non-controlled and controlled, affiliated investments</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w w:val="92"/>
              </w:rPr>
              <w:t>21,969,487</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22"/>
                <w:szCs w:val="22"/>
                <w:color w:val="auto"/>
                <w:w w:val="92"/>
              </w:rPr>
              <w:t>(80,260,831)</w:t>
            </w: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w w:val="98"/>
              </w:rPr>
              <w:t>39,069,096</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spacing w:after="0"/>
              <w:rPr>
                <w:sz w:val="20"/>
                <w:szCs w:val="20"/>
                <w:color w:val="auto"/>
              </w:rPr>
            </w:pPr>
            <w:r>
              <w:rPr>
                <w:rFonts w:ascii="Arial" w:cs="Arial" w:eastAsia="Arial" w:hAnsi="Arial"/>
                <w:sz w:val="22"/>
                <w:szCs w:val="22"/>
                <w:color w:val="auto"/>
                <w:w w:val="92"/>
              </w:rPr>
              <w:t>(73,690,603)</w:t>
            </w:r>
          </w:p>
        </w:tc>
        <w:tc>
          <w:tcPr>
            <w:tcW w:w="0" w:type="dxa"/>
            <w:vAlign w:val="bottom"/>
          </w:tcPr>
          <w:p>
            <w:pPr>
              <w:spacing w:after="0"/>
              <w:rPr>
                <w:sz w:val="1"/>
                <w:szCs w:val="1"/>
                <w:color w:val="auto"/>
              </w:rPr>
            </w:pPr>
          </w:p>
        </w:tc>
      </w:tr>
      <w:tr>
        <w:trPr>
          <w:trHeight w:val="274"/>
        </w:trPr>
        <w:tc>
          <w:tcPr>
            <w:tcW w:w="5440" w:type="dxa"/>
            <w:vAlign w:val="bottom"/>
          </w:tcPr>
          <w:p>
            <w:pPr>
              <w:ind w:left="120"/>
              <w:spacing w:after="0"/>
              <w:rPr>
                <w:sz w:val="20"/>
                <w:szCs w:val="20"/>
                <w:color w:val="auto"/>
              </w:rPr>
            </w:pPr>
            <w:r>
              <w:rPr>
                <w:rFonts w:ascii="Arial" w:cs="Arial" w:eastAsia="Arial" w:hAnsi="Arial"/>
                <w:sz w:val="22"/>
                <w:szCs w:val="22"/>
                <w:color w:val="auto"/>
              </w:rPr>
              <w:t>Debt (appreciation) depreciation</w:t>
            </w:r>
          </w:p>
        </w:tc>
        <w:tc>
          <w:tcPr>
            <w:tcW w:w="200" w:type="dxa"/>
            <w:vAlign w:val="bottom"/>
          </w:tcPr>
          <w:p>
            <w:pPr>
              <w:spacing w:after="0"/>
              <w:rPr>
                <w:sz w:val="23"/>
                <w:szCs w:val="23"/>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22"/>
                <w:szCs w:val="22"/>
                <w:color w:val="auto"/>
                <w:w w:val="99"/>
              </w:rPr>
              <w:t>(3,763,322)</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w w:val="96"/>
              </w:rPr>
              <w:t>48,946,105</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22"/>
                <w:szCs w:val="22"/>
                <w:color w:val="auto"/>
                <w:w w:val="94"/>
              </w:rPr>
              <w:t>(16,872,593)</w:t>
            </w: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w w:val="96"/>
              </w:rPr>
              <w:t>46,374,785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5440" w:type="dxa"/>
            <w:vAlign w:val="bottom"/>
          </w:tcPr>
          <w:p>
            <w:pPr>
              <w:ind w:left="120"/>
              <w:spacing w:after="0" w:line="212" w:lineRule="exact"/>
              <w:rPr>
                <w:sz w:val="20"/>
                <w:szCs w:val="20"/>
                <w:color w:val="auto"/>
              </w:rPr>
            </w:pPr>
            <w:r>
              <w:rPr>
                <w:rFonts w:ascii="Arial" w:cs="Arial" w:eastAsia="Arial" w:hAnsi="Arial"/>
                <w:sz w:val="22"/>
                <w:szCs w:val="22"/>
                <w:b w:val="1"/>
                <w:bCs w:val="1"/>
                <w:color w:val="auto"/>
                <w:w w:val="91"/>
              </w:rPr>
              <w:t>Net change in unrealized appreciation (depreciation) on</w:t>
            </w: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5440" w:type="dxa"/>
            <w:vAlign w:val="bottom"/>
          </w:tcPr>
          <w:p>
            <w:pPr>
              <w:ind w:left="120"/>
              <w:spacing w:after="0"/>
              <w:rPr>
                <w:sz w:val="20"/>
                <w:szCs w:val="20"/>
                <w:color w:val="auto"/>
              </w:rPr>
            </w:pPr>
            <w:r>
              <w:rPr>
                <w:rFonts w:ascii="Arial" w:cs="Arial" w:eastAsia="Arial" w:hAnsi="Arial"/>
                <w:sz w:val="22"/>
                <w:szCs w:val="22"/>
                <w:b w:val="1"/>
                <w:bCs w:val="1"/>
                <w:color w:val="auto"/>
              </w:rPr>
              <w:t>investments and debt</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w w:val="92"/>
              </w:rPr>
              <w:t>29,413,015</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22"/>
                <w:szCs w:val="22"/>
                <w:color w:val="auto"/>
                <w:w w:val="92"/>
              </w:rPr>
              <w:t>(72,025,713)</w:t>
            </w: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w w:val="88"/>
              </w:rPr>
              <w:t>109,808,770</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22"/>
                <w:szCs w:val="22"/>
                <w:color w:val="auto"/>
                <w:w w:val="92"/>
              </w:rPr>
              <w:t>(50,974,209)</w:t>
            </w:r>
          </w:p>
        </w:tc>
        <w:tc>
          <w:tcPr>
            <w:tcW w:w="0" w:type="dxa"/>
            <w:vAlign w:val="bottom"/>
          </w:tcPr>
          <w:p>
            <w:pPr>
              <w:spacing w:after="0"/>
              <w:rPr>
                <w:sz w:val="1"/>
                <w:szCs w:val="1"/>
                <w:color w:val="auto"/>
              </w:rPr>
            </w:pPr>
          </w:p>
        </w:tc>
      </w:tr>
      <w:tr>
        <w:trPr>
          <w:trHeight w:val="213"/>
        </w:trPr>
        <w:tc>
          <w:tcPr>
            <w:tcW w:w="5440" w:type="dxa"/>
            <w:vAlign w:val="bottom"/>
          </w:tcPr>
          <w:p>
            <w:pPr>
              <w:spacing w:after="0" w:line="212" w:lineRule="exact"/>
              <w:rPr>
                <w:sz w:val="20"/>
                <w:szCs w:val="20"/>
                <w:color w:val="auto"/>
              </w:rPr>
            </w:pPr>
            <w:r>
              <w:rPr>
                <w:rFonts w:ascii="Arial" w:cs="Arial" w:eastAsia="Arial" w:hAnsi="Arial"/>
                <w:sz w:val="22"/>
                <w:szCs w:val="22"/>
                <w:b w:val="1"/>
                <w:bCs w:val="1"/>
                <w:color w:val="auto"/>
                <w:w w:val="91"/>
              </w:rPr>
              <w:t>Net realized and unrealized gain (loss) from investments</w:t>
            </w: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5440" w:type="dxa"/>
            <w:vAlign w:val="bottom"/>
          </w:tcPr>
          <w:p>
            <w:pPr>
              <w:spacing w:after="0"/>
              <w:rPr>
                <w:sz w:val="20"/>
                <w:szCs w:val="20"/>
                <w:color w:val="auto"/>
              </w:rPr>
            </w:pPr>
            <w:r>
              <w:rPr>
                <w:rFonts w:ascii="Arial" w:cs="Arial" w:eastAsia="Arial" w:hAnsi="Arial"/>
                <w:sz w:val="22"/>
                <w:szCs w:val="22"/>
                <w:b w:val="1"/>
                <w:bCs w:val="1"/>
                <w:color w:val="auto"/>
              </w:rPr>
              <w:t>and debt</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w w:val="92"/>
              </w:rPr>
              <w:t>29,732,446</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22"/>
                <w:szCs w:val="22"/>
                <w:color w:val="auto"/>
                <w:w w:val="92"/>
              </w:rPr>
              <w:t>(70,600,935)</w:t>
            </w: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w w:val="98"/>
              </w:rPr>
              <w:t>92,550,800</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22"/>
                <w:szCs w:val="22"/>
                <w:color w:val="auto"/>
                <w:w w:val="92"/>
              </w:rPr>
              <w:t>(61,583,584)</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line="232" w:lineRule="exact"/>
              <w:rPr>
                <w:sz w:val="20"/>
                <w:szCs w:val="20"/>
                <w:color w:val="auto"/>
              </w:rPr>
            </w:pPr>
            <w:r>
              <w:rPr>
                <w:rFonts w:ascii="Arial" w:cs="Arial" w:eastAsia="Arial" w:hAnsi="Arial"/>
                <w:sz w:val="22"/>
                <w:szCs w:val="22"/>
                <w:b w:val="1"/>
                <w:bCs w:val="1"/>
                <w:color w:val="auto"/>
              </w:rPr>
              <w:t>Net increase (decrease) in net assets resulting from</w:t>
            </w: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4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w:cs="Arial" w:eastAsia="Arial" w:hAnsi="Arial"/>
                <w:sz w:val="22"/>
                <w:szCs w:val="22"/>
                <w:color w:val="auto"/>
                <w:w w:val="92"/>
              </w:rPr>
              <w:t>38,495,118</w:t>
            </w:r>
          </w:p>
        </w:tc>
        <w:tc>
          <w:tcPr>
            <w:tcW w:w="220" w:type="dxa"/>
            <w:vAlign w:val="bottom"/>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Arial" w:cs="Arial" w:eastAsia="Arial" w:hAnsi="Arial"/>
                <w:sz w:val="22"/>
                <w:szCs w:val="22"/>
                <w:color w:val="auto"/>
                <w:w w:val="81"/>
              </w:rPr>
              <w:t>$</w:t>
            </w:r>
          </w:p>
        </w:tc>
        <w:tc>
          <w:tcPr>
            <w:tcW w:w="1300" w:type="dxa"/>
            <w:vAlign w:val="bottom"/>
            <w:gridSpan w:val="2"/>
            <w:vMerge w:val="restart"/>
          </w:tcPr>
          <w:p>
            <w:pPr>
              <w:jc w:val="right"/>
              <w:ind w:right="120"/>
              <w:spacing w:after="0"/>
              <w:rPr>
                <w:sz w:val="20"/>
                <w:szCs w:val="20"/>
                <w:color w:val="auto"/>
              </w:rPr>
            </w:pPr>
            <w:r>
              <w:rPr>
                <w:rFonts w:ascii="Arial" w:cs="Arial" w:eastAsia="Arial" w:hAnsi="Arial"/>
                <w:sz w:val="22"/>
                <w:szCs w:val="22"/>
                <w:color w:val="auto"/>
                <w:w w:val="88"/>
              </w:rPr>
              <w:t>(60,292,703 )</w:t>
            </w:r>
          </w:p>
        </w:tc>
        <w:tc>
          <w:tcPr>
            <w:tcW w:w="140" w:type="dxa"/>
            <w:vAlign w:val="bottom"/>
            <w:vMerge w:val="restart"/>
          </w:tcPr>
          <w:p>
            <w:pPr>
              <w:jc w:val="right"/>
              <w:spacing w:after="0"/>
              <w:rPr>
                <w:sz w:val="20"/>
                <w:szCs w:val="20"/>
                <w:color w:val="auto"/>
              </w:rPr>
            </w:pPr>
            <w:r>
              <w:rPr>
                <w:rFonts w:ascii="Arial" w:cs="Arial" w:eastAsia="Arial" w:hAnsi="Arial"/>
                <w:sz w:val="22"/>
                <w:szCs w:val="22"/>
                <w:color w:val="auto"/>
                <w:w w:val="81"/>
              </w:rPr>
              <w:t>$</w:t>
            </w:r>
          </w:p>
        </w:tc>
        <w:tc>
          <w:tcPr>
            <w:tcW w:w="1120" w:type="dxa"/>
            <w:vAlign w:val="bottom"/>
            <w:vMerge w:val="restart"/>
          </w:tcPr>
          <w:p>
            <w:pPr>
              <w:jc w:val="right"/>
              <w:spacing w:after="0"/>
              <w:rPr>
                <w:sz w:val="20"/>
                <w:szCs w:val="20"/>
                <w:color w:val="auto"/>
              </w:rPr>
            </w:pPr>
            <w:r>
              <w:rPr>
                <w:rFonts w:ascii="Arial" w:cs="Arial" w:eastAsia="Arial" w:hAnsi="Arial"/>
                <w:sz w:val="22"/>
                <w:szCs w:val="22"/>
                <w:color w:val="auto"/>
                <w:w w:val="88"/>
              </w:rPr>
              <w:t>109,628,869</w:t>
            </w:r>
          </w:p>
        </w:tc>
        <w:tc>
          <w:tcPr>
            <w:tcW w:w="220" w:type="dxa"/>
            <w:vAlign w:val="bottom"/>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Arial" w:cs="Arial" w:eastAsia="Arial" w:hAnsi="Arial"/>
                <w:sz w:val="22"/>
                <w:szCs w:val="22"/>
                <w:color w:val="auto"/>
                <w:w w:val="81"/>
              </w:rPr>
              <w:t>$</w:t>
            </w:r>
          </w:p>
        </w:tc>
        <w:tc>
          <w:tcPr>
            <w:tcW w:w="1180" w:type="dxa"/>
            <w:vAlign w:val="bottom"/>
            <w:gridSpan w:val="2"/>
            <w:vMerge w:val="restart"/>
          </w:tcPr>
          <w:p>
            <w:pPr>
              <w:jc w:val="right"/>
              <w:spacing w:after="0"/>
              <w:rPr>
                <w:sz w:val="20"/>
                <w:szCs w:val="20"/>
                <w:color w:val="auto"/>
              </w:rPr>
            </w:pPr>
            <w:r>
              <w:rPr>
                <w:rFonts w:ascii="Arial" w:cs="Arial" w:eastAsia="Arial" w:hAnsi="Arial"/>
                <w:sz w:val="22"/>
                <w:szCs w:val="22"/>
                <w:color w:val="auto"/>
                <w:w w:val="88"/>
              </w:rPr>
              <w:t>(41,090,193 )</w:t>
            </w:r>
          </w:p>
        </w:tc>
        <w:tc>
          <w:tcPr>
            <w:tcW w:w="0" w:type="dxa"/>
            <w:vAlign w:val="bottom"/>
          </w:tcPr>
          <w:p>
            <w:pPr>
              <w:spacing w:after="0"/>
              <w:rPr>
                <w:sz w:val="1"/>
                <w:szCs w:val="1"/>
                <w:color w:val="auto"/>
              </w:rPr>
            </w:pPr>
          </w:p>
        </w:tc>
      </w:tr>
      <w:tr>
        <w:trPr>
          <w:trHeight w:val="257"/>
        </w:trPr>
        <w:tc>
          <w:tcPr>
            <w:tcW w:w="5440" w:type="dxa"/>
            <w:vAlign w:val="bottom"/>
          </w:tcPr>
          <w:p>
            <w:pPr>
              <w:spacing w:after="0"/>
              <w:rPr>
                <w:sz w:val="20"/>
                <w:szCs w:val="20"/>
                <w:color w:val="auto"/>
              </w:rPr>
            </w:pPr>
            <w:r>
              <w:rPr>
                <w:rFonts w:ascii="Arial" w:cs="Arial" w:eastAsia="Arial" w:hAnsi="Arial"/>
                <w:sz w:val="22"/>
                <w:szCs w:val="22"/>
                <w:b w:val="1"/>
                <w:bCs w:val="1"/>
                <w:color w:val="auto"/>
              </w:rPr>
              <w:t>operations</w:t>
            </w:r>
          </w:p>
        </w:tc>
        <w:tc>
          <w:tcPr>
            <w:tcW w:w="200" w:type="dxa"/>
            <w:vAlign w:val="bottom"/>
          </w:tcPr>
          <w:p>
            <w:pPr>
              <w:spacing w:after="0"/>
              <w:rPr>
                <w:sz w:val="22"/>
                <w:szCs w:val="22"/>
                <w:color w:val="auto"/>
              </w:rPr>
            </w:pPr>
          </w:p>
        </w:tc>
        <w:tc>
          <w:tcPr>
            <w:tcW w:w="106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vMerge w:val="continue"/>
          </w:tcPr>
          <w:p>
            <w:pPr>
              <w:spacing w:after="0"/>
              <w:rPr>
                <w:sz w:val="22"/>
                <w:szCs w:val="22"/>
                <w:color w:val="auto"/>
              </w:rPr>
            </w:pPr>
          </w:p>
        </w:tc>
        <w:tc>
          <w:tcPr>
            <w:tcW w:w="1300" w:type="dxa"/>
            <w:vAlign w:val="bottom"/>
            <w:gridSpan w:val="2"/>
            <w:vMerge w:val="continue"/>
          </w:tcPr>
          <w:p>
            <w:pPr>
              <w:spacing w:after="0"/>
              <w:rPr>
                <w:sz w:val="22"/>
                <w:szCs w:val="22"/>
                <w:color w:val="auto"/>
              </w:rPr>
            </w:pPr>
          </w:p>
        </w:tc>
        <w:tc>
          <w:tcPr>
            <w:tcW w:w="140" w:type="dxa"/>
            <w:vAlign w:val="bottom"/>
            <w:vMerge w:val="continue"/>
          </w:tcPr>
          <w:p>
            <w:pPr>
              <w:spacing w:after="0"/>
              <w:rPr>
                <w:sz w:val="22"/>
                <w:szCs w:val="22"/>
                <w:color w:val="auto"/>
              </w:rPr>
            </w:pPr>
          </w:p>
        </w:tc>
        <w:tc>
          <w:tcPr>
            <w:tcW w:w="112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vMerge w:val="continue"/>
          </w:tcPr>
          <w:p>
            <w:pPr>
              <w:spacing w:after="0"/>
              <w:rPr>
                <w:sz w:val="22"/>
                <w:szCs w:val="22"/>
                <w:color w:val="auto"/>
              </w:rPr>
            </w:pPr>
          </w:p>
        </w:tc>
        <w:tc>
          <w:tcPr>
            <w:tcW w:w="118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5440" w:type="dxa"/>
            <w:vAlign w:val="bottom"/>
            <w:vMerge w:val="restart"/>
          </w:tcPr>
          <w:p>
            <w:pPr>
              <w:spacing w:after="0" w:line="242" w:lineRule="exact"/>
              <w:rPr>
                <w:sz w:val="20"/>
                <w:szCs w:val="20"/>
                <w:color w:val="auto"/>
              </w:rPr>
            </w:pPr>
            <w:r>
              <w:rPr>
                <w:rFonts w:ascii="Arial" w:cs="Arial" w:eastAsia="Arial" w:hAnsi="Arial"/>
                <w:sz w:val="22"/>
                <w:szCs w:val="22"/>
                <w:color w:val="auto"/>
              </w:rPr>
              <w:t>Net increase (decrease) in net assets resulting from</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5440" w:type="dxa"/>
            <w:vAlign w:val="bottom"/>
            <w:vMerge w:val="continue"/>
          </w:tcPr>
          <w:p>
            <w:pPr>
              <w:spacing w:after="0"/>
              <w:rPr>
                <w:sz w:val="17"/>
                <w:szCs w:val="17"/>
                <w:color w:val="auto"/>
              </w:rPr>
            </w:pPr>
          </w:p>
        </w:tc>
        <w:tc>
          <w:tcPr>
            <w:tcW w:w="200" w:type="dxa"/>
            <w:vAlign w:val="bottom"/>
            <w:vMerge w:val="restart"/>
          </w:tcPr>
          <w:p>
            <w:pPr>
              <w:jc w:val="right"/>
              <w:spacing w:after="0"/>
              <w:rPr>
                <w:sz w:val="20"/>
                <w:szCs w:val="20"/>
                <w:color w:val="auto"/>
              </w:rPr>
            </w:pPr>
            <w:r>
              <w:rPr>
                <w:rFonts w:ascii="Arial" w:cs="Arial" w:eastAsia="Arial" w:hAnsi="Arial"/>
                <w:sz w:val="22"/>
                <w:szCs w:val="22"/>
                <w:color w:val="auto"/>
                <w:w w:val="81"/>
              </w:rPr>
              <w:t>$</w:t>
            </w:r>
          </w:p>
        </w:tc>
        <w:tc>
          <w:tcPr>
            <w:tcW w:w="1060" w:type="dxa"/>
            <w:vAlign w:val="bottom"/>
            <w:vMerge w:val="restart"/>
          </w:tcPr>
          <w:p>
            <w:pPr>
              <w:jc w:val="right"/>
              <w:spacing w:after="0"/>
              <w:rPr>
                <w:sz w:val="20"/>
                <w:szCs w:val="20"/>
                <w:color w:val="auto"/>
              </w:rPr>
            </w:pPr>
            <w:r>
              <w:rPr>
                <w:rFonts w:ascii="Arial" w:cs="Arial" w:eastAsia="Arial" w:hAnsi="Arial"/>
                <w:sz w:val="22"/>
                <w:szCs w:val="22"/>
                <w:color w:val="auto"/>
              </w:rPr>
              <w:t>0.57</w:t>
            </w:r>
          </w:p>
        </w:tc>
        <w:tc>
          <w:tcPr>
            <w:tcW w:w="220" w:type="dxa"/>
            <w:vAlign w:val="bottom"/>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Arial" w:cs="Arial" w:eastAsia="Arial" w:hAnsi="Arial"/>
                <w:sz w:val="22"/>
                <w:szCs w:val="22"/>
                <w:color w:val="auto"/>
                <w:w w:val="81"/>
              </w:rPr>
              <w:t>$</w:t>
            </w:r>
          </w:p>
        </w:tc>
        <w:tc>
          <w:tcPr>
            <w:tcW w:w="1300" w:type="dxa"/>
            <w:vAlign w:val="bottom"/>
            <w:gridSpan w:val="2"/>
            <w:vMerge w:val="restart"/>
          </w:tcPr>
          <w:p>
            <w:pPr>
              <w:jc w:val="right"/>
              <w:ind w:right="120"/>
              <w:spacing w:after="0"/>
              <w:rPr>
                <w:sz w:val="20"/>
                <w:szCs w:val="20"/>
                <w:color w:val="auto"/>
              </w:rPr>
            </w:pPr>
            <w:r>
              <w:rPr>
                <w:rFonts w:ascii="Arial" w:cs="Arial" w:eastAsia="Arial" w:hAnsi="Arial"/>
                <w:sz w:val="22"/>
                <w:szCs w:val="22"/>
                <w:color w:val="auto"/>
              </w:rPr>
              <w:t>(0.90 )</w:t>
            </w:r>
          </w:p>
        </w:tc>
        <w:tc>
          <w:tcPr>
            <w:tcW w:w="140" w:type="dxa"/>
            <w:vAlign w:val="bottom"/>
            <w:vMerge w:val="restart"/>
          </w:tcPr>
          <w:p>
            <w:pPr>
              <w:jc w:val="right"/>
              <w:spacing w:after="0"/>
              <w:rPr>
                <w:sz w:val="20"/>
                <w:szCs w:val="20"/>
                <w:color w:val="auto"/>
              </w:rPr>
            </w:pPr>
            <w:r>
              <w:rPr>
                <w:rFonts w:ascii="Arial" w:cs="Arial" w:eastAsia="Arial" w:hAnsi="Arial"/>
                <w:sz w:val="22"/>
                <w:szCs w:val="22"/>
                <w:color w:val="auto"/>
                <w:w w:val="81"/>
              </w:rPr>
              <w:t>$</w:t>
            </w:r>
          </w:p>
        </w:tc>
        <w:tc>
          <w:tcPr>
            <w:tcW w:w="1120" w:type="dxa"/>
            <w:vAlign w:val="bottom"/>
            <w:vMerge w:val="restart"/>
          </w:tcPr>
          <w:p>
            <w:pPr>
              <w:jc w:val="right"/>
              <w:spacing w:after="0"/>
              <w:rPr>
                <w:sz w:val="20"/>
                <w:szCs w:val="20"/>
                <w:color w:val="auto"/>
              </w:rPr>
            </w:pPr>
            <w:r>
              <w:rPr>
                <w:rFonts w:ascii="Arial" w:cs="Arial" w:eastAsia="Arial" w:hAnsi="Arial"/>
                <w:sz w:val="22"/>
                <w:szCs w:val="22"/>
                <w:color w:val="auto"/>
              </w:rPr>
              <w:t>1.64</w:t>
            </w:r>
          </w:p>
        </w:tc>
        <w:tc>
          <w:tcPr>
            <w:tcW w:w="220" w:type="dxa"/>
            <w:vAlign w:val="bottom"/>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Arial" w:cs="Arial" w:eastAsia="Arial" w:hAnsi="Arial"/>
                <w:sz w:val="22"/>
                <w:szCs w:val="22"/>
                <w:color w:val="auto"/>
                <w:w w:val="81"/>
              </w:rPr>
              <w:t>$</w:t>
            </w:r>
          </w:p>
        </w:tc>
        <w:tc>
          <w:tcPr>
            <w:tcW w:w="1180" w:type="dxa"/>
            <w:vAlign w:val="bottom"/>
            <w:gridSpan w:val="2"/>
            <w:vMerge w:val="restart"/>
          </w:tcPr>
          <w:p>
            <w:pPr>
              <w:jc w:val="right"/>
              <w:spacing w:after="0"/>
              <w:rPr>
                <w:sz w:val="20"/>
                <w:szCs w:val="20"/>
                <w:color w:val="auto"/>
              </w:rPr>
            </w:pPr>
            <w:r>
              <w:rPr>
                <w:rFonts w:ascii="Arial" w:cs="Arial" w:eastAsia="Arial" w:hAnsi="Arial"/>
                <w:sz w:val="22"/>
                <w:szCs w:val="22"/>
                <w:color w:val="auto"/>
              </w:rPr>
              <w:t>(0.61 )</w:t>
            </w:r>
          </w:p>
        </w:tc>
        <w:tc>
          <w:tcPr>
            <w:tcW w:w="0" w:type="dxa"/>
            <w:vAlign w:val="bottom"/>
          </w:tcPr>
          <w:p>
            <w:pPr>
              <w:spacing w:after="0"/>
              <w:rPr>
                <w:sz w:val="1"/>
                <w:szCs w:val="1"/>
                <w:color w:val="auto"/>
              </w:rPr>
            </w:pPr>
          </w:p>
        </w:tc>
      </w:tr>
      <w:tr>
        <w:trPr>
          <w:trHeight w:val="251"/>
        </w:trPr>
        <w:tc>
          <w:tcPr>
            <w:tcW w:w="5440" w:type="dxa"/>
            <w:vAlign w:val="bottom"/>
          </w:tcPr>
          <w:p>
            <w:pPr>
              <w:spacing w:after="0" w:line="251" w:lineRule="exact"/>
              <w:rPr>
                <w:sz w:val="20"/>
                <w:szCs w:val="20"/>
                <w:color w:val="auto"/>
              </w:rPr>
            </w:pPr>
            <w:r>
              <w:rPr>
                <w:rFonts w:ascii="Arial" w:cs="Arial" w:eastAsia="Arial" w:hAnsi="Arial"/>
                <w:sz w:val="22"/>
                <w:szCs w:val="22"/>
                <w:color w:val="auto"/>
              </w:rPr>
              <w:t>operations per common share</w:t>
            </w:r>
          </w:p>
        </w:tc>
        <w:tc>
          <w:tcPr>
            <w:tcW w:w="200" w:type="dxa"/>
            <w:vAlign w:val="bottom"/>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vMerge w:val="continue"/>
          </w:tcPr>
          <w:p>
            <w:pPr>
              <w:spacing w:after="0"/>
              <w:rPr>
                <w:sz w:val="21"/>
                <w:szCs w:val="21"/>
                <w:color w:val="auto"/>
              </w:rPr>
            </w:pPr>
          </w:p>
        </w:tc>
        <w:tc>
          <w:tcPr>
            <w:tcW w:w="1300" w:type="dxa"/>
            <w:vAlign w:val="bottom"/>
            <w:gridSpan w:val="2"/>
            <w:vMerge w:val="continue"/>
          </w:tcPr>
          <w:p>
            <w:pPr>
              <w:spacing w:after="0"/>
              <w:rPr>
                <w:sz w:val="21"/>
                <w:szCs w:val="21"/>
                <w:color w:val="auto"/>
              </w:rPr>
            </w:pPr>
          </w:p>
        </w:tc>
        <w:tc>
          <w:tcPr>
            <w:tcW w:w="140" w:type="dxa"/>
            <w:vAlign w:val="bottom"/>
            <w:vMerge w:val="continue"/>
          </w:tcPr>
          <w:p>
            <w:pPr>
              <w:spacing w:after="0"/>
              <w:rPr>
                <w:sz w:val="21"/>
                <w:szCs w:val="21"/>
                <w:color w:val="auto"/>
              </w:rPr>
            </w:pPr>
          </w:p>
        </w:tc>
        <w:tc>
          <w:tcPr>
            <w:tcW w:w="11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vMerge w:val="continue"/>
          </w:tcPr>
          <w:p>
            <w:pPr>
              <w:spacing w:after="0"/>
              <w:rPr>
                <w:sz w:val="21"/>
                <w:szCs w:val="21"/>
                <w:color w:val="auto"/>
              </w:rPr>
            </w:pPr>
          </w:p>
        </w:tc>
        <w:tc>
          <w:tcPr>
            <w:tcW w:w="11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5440" w:type="dxa"/>
            <w:vAlign w:val="bottom"/>
          </w:tcPr>
          <w:p>
            <w:pPr>
              <w:spacing w:after="0"/>
              <w:rPr>
                <w:sz w:val="20"/>
                <w:szCs w:val="20"/>
                <w:color w:val="auto"/>
              </w:rPr>
            </w:pPr>
            <w:r>
              <w:rPr>
                <w:rFonts w:ascii="Arial" w:cs="Arial" w:eastAsia="Arial" w:hAnsi="Arial"/>
                <w:sz w:val="22"/>
                <w:szCs w:val="22"/>
                <w:color w:val="auto"/>
              </w:rPr>
              <w:t>Net investment income per common share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0.13</w:t>
            </w:r>
          </w:p>
        </w:tc>
        <w:tc>
          <w:tcPr>
            <w:tcW w:w="2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0.15</w:t>
            </w:r>
          </w:p>
        </w:tc>
        <w:tc>
          <w:tcPr>
            <w:tcW w:w="2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0.25</w:t>
            </w:r>
          </w:p>
        </w:tc>
        <w:tc>
          <w:tcPr>
            <w:tcW w:w="2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0.31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INVESTMENT CORPORATION</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PennantPark Investment Corporation is a business development company which invests primarily in U.S. middle-market companies in the form of first lien secured debt, second lien secured debt, subordinated debt and equity investments. PennantPark Investment Corporation is managed by PennantPark Investment Advisers, LLC.</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INVESTMENT ADVISERS, LLC</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PennantPark Investment Advisers, LLC is a leading middle-market credit platform, managing $4.7 billion of investable capital, including potential leverage. Since its inception in 2007, PennantPark Investment Advisers, LLC has provided investors access to middle-market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as well as changes in the economy and risks associated with possible disruption in the Company’s operations or the economy generally due to terrorism, natural disasters or pandemics such as COVID-19. The Company undertakes no duty to update any forward-looking statement made herein. You should not place undue influence on such forward-looking statements as such statements speak only as of the date on which they are made.</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198" w:lineRule="exact"/>
        <w:rPr>
          <w:sz w:val="20"/>
          <w:szCs w:val="20"/>
          <w:color w:val="auto"/>
        </w:rPr>
      </w:pPr>
    </w:p>
    <w:p>
      <w:pPr>
        <w:ind w:left="20"/>
        <w:spacing w:after="0"/>
        <w:tabs>
          <w:tab w:leader="none" w:pos="1480" w:val="left"/>
        </w:tabs>
        <w:rPr>
          <w:sz w:val="20"/>
          <w:szCs w:val="20"/>
          <w:color w:val="auto"/>
        </w:rPr>
      </w:pPr>
      <w:r>
        <w:rPr>
          <w:rFonts w:ascii="Arial" w:cs="Arial" w:eastAsia="Arial" w:hAnsi="Arial"/>
          <w:sz w:val="22"/>
          <w:szCs w:val="22"/>
          <w:color w:val="auto"/>
        </w:rPr>
        <w:t>CONTACT:</w:t>
      </w:r>
      <w:r>
        <w:rPr>
          <w:sz w:val="20"/>
          <w:szCs w:val="20"/>
          <w:color w:val="auto"/>
        </w:rPr>
        <w:tab/>
      </w:r>
      <w:r>
        <w:rPr>
          <w:rFonts w:ascii="Arial" w:cs="Arial" w:eastAsia="Arial" w:hAnsi="Arial"/>
          <w:sz w:val="22"/>
          <w:szCs w:val="22"/>
          <w:color w:val="auto"/>
        </w:rPr>
        <w:t>Aviv Efrat</w:t>
      </w:r>
    </w:p>
    <w:p>
      <w:pPr>
        <w:ind w:left="1500"/>
        <w:spacing w:after="0" w:line="238" w:lineRule="auto"/>
        <w:rPr>
          <w:sz w:val="20"/>
          <w:szCs w:val="20"/>
          <w:color w:val="auto"/>
        </w:rPr>
      </w:pPr>
      <w:r>
        <w:rPr>
          <w:rFonts w:ascii="Arial" w:cs="Arial" w:eastAsia="Arial" w:hAnsi="Arial"/>
          <w:sz w:val="22"/>
          <w:szCs w:val="22"/>
          <w:color w:val="auto"/>
        </w:rPr>
        <w:t>PennantPark Investment Corporation</w:t>
      </w:r>
    </w:p>
    <w:p>
      <w:pPr>
        <w:ind w:left="1500" w:right="7740" w:hanging="7"/>
        <w:spacing w:after="0" w:line="308" w:lineRule="auto"/>
        <w:tabs>
          <w:tab w:leader="none" w:pos="2022" w:val="left"/>
        </w:tabs>
        <w:numPr>
          <w:ilvl w:val="0"/>
          <w:numId w:val="4"/>
        </w:numPr>
        <w:rPr>
          <w:rFonts w:ascii="Arial" w:cs="Arial" w:eastAsia="Arial" w:hAnsi="Arial"/>
          <w:sz w:val="19"/>
          <w:szCs w:val="19"/>
          <w:color w:val="auto"/>
        </w:rPr>
      </w:pPr>
      <w:r>
        <w:rPr>
          <w:rFonts w:ascii="Arial" w:cs="Arial" w:eastAsia="Arial" w:hAnsi="Arial"/>
          <w:sz w:val="19"/>
          <w:szCs w:val="19"/>
          <w:color w:val="auto"/>
        </w:rPr>
        <w:t xml:space="preserve">905-1000 </w:t>
      </w:r>
      <w:r>
        <w:rPr>
          <w:rFonts w:ascii="Arial" w:cs="Arial" w:eastAsia="Arial" w:hAnsi="Arial"/>
          <w:sz w:val="19"/>
          <w:szCs w:val="19"/>
          <w:u w:val="single" w:color="auto"/>
          <w:color w:val="auto"/>
        </w:rPr>
        <w:t>www.pennantpark.com</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2021-05-05T15:15:50Z</dcterms:created>
  <dcterms:modified xsi:type="dcterms:W3CDTF">2021-05-05T15:15:50Z</dcterms:modified>
</cp:coreProperties>
</file>