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04,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20"/>
        <w:spacing w:after="0"/>
        <w:rPr>
          <w:sz w:val="20"/>
          <w:szCs w:val="20"/>
          <w:color w:val="auto"/>
        </w:rPr>
      </w:pPr>
      <w:r>
        <w:rPr>
          <w:rFonts w:ascii="Arial" w:cs="Arial" w:eastAsia="Arial" w:hAnsi="Arial"/>
          <w:sz w:val="22"/>
          <w:szCs w:val="22"/>
          <w:color w:val="auto"/>
        </w:rPr>
        <w:t>On February 4, 2009, PennantPark Investment Corporation issued a press release announcing its financial results for quarter ended December 31, 2008. A copy of the press release is furnished as exhibit 99.1 to this report pursuant to Item 2.02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04,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560" w:type="dxa"/>
            <w:vAlign w:val="bottom"/>
          </w:tcPr>
          <w:p>
            <w:pPr>
              <w:spacing w:after="0"/>
              <w:rPr>
                <w:sz w:val="20"/>
                <w:szCs w:val="20"/>
                <w:color w:val="auto"/>
              </w:rPr>
            </w:pPr>
            <w:r>
              <w:rPr>
                <w:rFonts w:ascii="Arial" w:cs="Arial" w:eastAsia="Arial" w:hAnsi="Arial"/>
                <w:sz w:val="22"/>
                <w:szCs w:val="22"/>
                <w:color w:val="auto"/>
              </w:rPr>
              <w:t>Dated: February 04, 2009</w:t>
            </w:r>
          </w:p>
        </w:tc>
        <w:tc>
          <w:tcPr>
            <w:tcW w:w="6160" w:type="dxa"/>
            <w:vAlign w:val="bottom"/>
            <w:gridSpan w:val="3"/>
          </w:tcPr>
          <w:p>
            <w:pPr>
              <w:ind w:left="13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560" w:type="dxa"/>
            <w:vAlign w:val="bottom"/>
          </w:tcPr>
          <w:p>
            <w:pPr>
              <w:spacing w:after="0"/>
              <w:rPr>
                <w:sz w:val="24"/>
                <w:szCs w:val="24"/>
                <w:color w:val="auto"/>
              </w:rPr>
            </w:pPr>
          </w:p>
        </w:tc>
        <w:tc>
          <w:tcPr>
            <w:tcW w:w="6160" w:type="dxa"/>
            <w:vAlign w:val="bottom"/>
            <w:gridSpan w:val="3"/>
          </w:tcPr>
          <w:p>
            <w:pPr>
              <w:ind w:left="1340"/>
              <w:spacing w:after="0"/>
              <w:rPr>
                <w:sz w:val="20"/>
                <w:szCs w:val="20"/>
                <w:color w:val="auto"/>
              </w:rPr>
            </w:pPr>
            <w:r>
              <w:rPr>
                <w:rFonts w:ascii="Arial" w:cs="Arial" w:eastAsia="Arial" w:hAnsi="Arial"/>
                <w:sz w:val="22"/>
                <w:szCs w:val="22"/>
                <w:color w:val="auto"/>
              </w:rPr>
              <w:t>By: /s/ Aviv Efrat</w:t>
            </w:r>
          </w:p>
        </w:tc>
      </w:tr>
      <w:tr>
        <w:trPr>
          <w:trHeight w:val="20"/>
        </w:trPr>
        <w:tc>
          <w:tcPr>
            <w:tcW w:w="3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560" w:type="dxa"/>
            <w:vAlign w:val="bottom"/>
          </w:tcPr>
          <w:p>
            <w:pPr>
              <w:spacing w:after="0"/>
              <w:rPr>
                <w:sz w:val="21"/>
                <w:szCs w:val="21"/>
                <w:color w:val="auto"/>
              </w:rPr>
            </w:pPr>
          </w:p>
        </w:tc>
        <w:tc>
          <w:tcPr>
            <w:tcW w:w="6160" w:type="dxa"/>
            <w:vAlign w:val="bottom"/>
            <w:gridSpan w:val="3"/>
          </w:tcPr>
          <w:p>
            <w:pPr>
              <w:ind w:left="16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560" w:type="dxa"/>
            <w:vAlign w:val="bottom"/>
          </w:tcPr>
          <w:p>
            <w:pPr>
              <w:spacing w:after="0"/>
              <w:rPr>
                <w:sz w:val="23"/>
                <w:szCs w:val="23"/>
                <w:color w:val="auto"/>
              </w:rPr>
            </w:pPr>
          </w:p>
        </w:tc>
        <w:tc>
          <w:tcPr>
            <w:tcW w:w="6160" w:type="dxa"/>
            <w:vAlign w:val="bottom"/>
            <w:gridSpan w:val="3"/>
          </w:tcPr>
          <w:p>
            <w:pPr>
              <w:ind w:left="16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04,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2008</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NEW YORK, NY -- (Marketwire - February 04, 2009) - PennantPark Investment Corporation (the "Company") (NASDAQ:</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PNNT) today announces financial results for its first fiscal quarter ended December 31, 2008.</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2008</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215.7</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10.24</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Credit Facility (cost $157.4)</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109.9</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Investment portfolio composition and yield:</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6860" w:type="dxa"/>
            <w:vAlign w:val="bottom"/>
          </w:tcPr>
          <w:p>
            <w:pPr>
              <w:ind w:left="420"/>
              <w:spacing w:after="0"/>
              <w:rPr>
                <w:sz w:val="20"/>
                <w:szCs w:val="20"/>
                <w:color w:val="auto"/>
              </w:rPr>
            </w:pPr>
            <w:r>
              <w:rPr>
                <w:rFonts w:ascii="Courier New" w:cs="Courier New" w:eastAsia="Courier New" w:hAnsi="Courier New"/>
                <w:sz w:val="18"/>
                <w:szCs w:val="18"/>
                <w:color w:val="auto"/>
              </w:rPr>
              <w:t>Subordinated debt, second lien secured debt, senior secured</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debt and equity (core)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282.0</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Senior secured debt (non-core)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Weighted average yield on core investments</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Weighted average yield on non-core investments</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6860" w:type="dxa"/>
            <w:vAlign w:val="bottom"/>
          </w:tcPr>
          <w:p>
            <w:pPr>
              <w:ind w:left="4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3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FEBRUARY 5, 2009</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Company will host a conference call at 10:00 a.m. (Eastern Time) on Thursday, February 5, 2009 to discuss the quarterly results. All interested parties are welcome to participate. You can access the conference call by dialing (877) 723-9509 approximately 5-10 minutes prior to the call. International callers should dial (719) 325-4769. All callers should reference PennantPark Investment Corporation. An archived replay of the call will be available through February 19, 2009 by calling (888) 203-1112. International callers please dial (719) 457-0820. For all replays, please reference conference ID #6451210.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As of December 31, 2008, our portfolio totaled $328.8 million and consisted of $151.3 million of subordinated debt, $96.6 million of second lien secured debt, $9.3 million of preferred equity, $11.4 million of common equity and $60.2 million of senior secured loans. This compares to our portfolio as of September 30, 2008, which totaled $372.1 million and consisted of $166.2 million of subordinated debt, $104.2 million of second lien secured debt, $9.3 million of preferred equity, $13.6 million of common equity and $78.8 million of senior secured loans.</w:t>
      </w:r>
    </w:p>
    <w:p>
      <w:pPr>
        <w:spacing w:after="0" w:line="187"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Our core assets totaled $282.0 million and consisted of investments in nineteen different companies with an average investment size of $14.8 million per company and a weighted average yield of 11.9% on debt investments as of December 31, 2008. This compares to our core assets as of September 30, 2008, which totaled $305.5 million and consisted of investments in nineteen different companies with an average investment size of $16.1 million per company and a weighted average yield of 12.5% on debt investments.</w:t>
      </w:r>
    </w:p>
    <w:p>
      <w:pPr>
        <w:spacing w:after="0" w:line="187"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As of December 31, 2008, our non-core senior secured loan portfolio totaled $46.8 million and consisted of eighteen different companies (including one company also in our core portfolio) with an average investment size of $2.6 million, and a weighted average yield of 4.3% on debt investments. This compares to our non-core assets as of September 30, 2008, which totaled $66.6 million and consisted of nineteen different companies (including one company also in our core portfolio) with an average investment size of $3.5 million, and a weighted average yield of 5.2% on debt investments.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Our overall portfolio consisted of thirty-six companies with an average investment size of $9.1 million and a weighted average yield on debt investments of 10.4%, and was invested 46% in subordinated debt, 30% in second lien secured debt, 3% in preferred equity, 3% in common equity and 18% in senior secured loans as of December 31, 2008. This compares to our overall portfolio as of September 30, 2008, which consisted of thirty-seven companies with an average investment size of $10.1 million and a weighted average yield on debt investments of 11.1%, and was invested 45% in subordinated debt, 28% in second lien secured debt, 2% in preferred equity, 4% in common equity and 21% in senior secured loans.</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Due to the continued downturn in the leveraged finance credit markets, our portfolio had unrealized depreciation of $42.4 million and $16.1 million for the three months ended December 31, 2008 and December 31, 2007, respectively.</w:t>
      </w:r>
    </w:p>
    <w:p>
      <w:pPr>
        <w:sectPr>
          <w:pgSz w:w="11900" w:h="16840" w:orient="portrait"/>
          <w:cols w:equalWidth="0" w:num="1">
            <w:col w:w="11200"/>
          </w:cols>
          <w:pgMar w:left="320" w:top="111" w:right="379" w:bottom="0" w:gutter="0" w:footer="0" w:header="0"/>
        </w:sectPr>
      </w:pPr>
    </w:p>
    <w:bookmarkStart w:id="3" w:name="page4"/>
    <w:bookmarkEnd w:id="3"/>
    <w:p>
      <w:pPr>
        <w:ind w:right="120"/>
        <w:spacing w:after="0" w:line="252" w:lineRule="auto"/>
        <w:rPr>
          <w:sz w:val="20"/>
          <w:szCs w:val="20"/>
          <w:color w:val="auto"/>
        </w:rPr>
      </w:pPr>
      <w:r>
        <w:rPr>
          <w:rFonts w:ascii="Arial" w:cs="Arial" w:eastAsia="Arial" w:hAnsi="Arial"/>
          <w:sz w:val="21"/>
          <w:szCs w:val="21"/>
          <w:color w:val="auto"/>
        </w:rPr>
        <w:t>For the three months ended December 31, 2008, we invested approximately $804,000 in two existing portfolio companies. Sales and repayments of long term investments totaled $2.3 million for the same period. This compares to the three months ended December 31, 2007, when we invested $71.0 million across three new and two existing portfolio companies. Sales and repayments of long term investments totaled $4.3 million for the same period.</w:t>
      </w:r>
    </w:p>
    <w:p>
      <w:pPr>
        <w:spacing w:after="0" w:line="174"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"We believe that we are well positioned to deal with the challenging market and economic environment," said Arthur Penn, Chairman and Chief Executive Officer. "Our underlying portfolio companies generally have strong interest coverage that is paid to us as interest income and covers our dividend. We have substantial liquidity to make new investments in this opportunistic environment to generate more cash flow, to grow income, and cushion for potential defaults. All of this should translate into a stable dividend stream and over time, growth in Net Asset Value."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ended December 31, 2008 and December 31, 2007.</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Investment income for the three months ended December 31, 2008 and December 31, 2007, was $12.1 million and $9.0 million, respectively. Investment income for the three months ended December 31, 2008 was primarily attributed to $5.0 million from senior secured loan investments; $3.9 million from second lien secured debt investments; and $2.5 million from subordinated debt investments. This compares to investment income for the three months ended December 31, 2007 which was primarily attributed to $4.2 million from senior secured loan investments; $2.8 million from second lien secured debt investments; and $1.7 million from subordinated debt investments. The remaining investment income for the same periods was primarily attributed to interest income from short-term investments and to net accretion of discount and amortization of premium.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Net Expenses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Net expenses for the three months ended December 31, 2008 and December 31, 2007, totaled $6.3 million and $4.3 million, respectively. Of these totals, $1.8 million and $1.1 million were attributable to credit facility related expenses, and $1.2 million and $1.3 million to general and administrative expenses, respectively, for the same periods. Net base management fee totaled $1.8 million and $1.4 million, and performance-based incentive fee totaled $1.5 million and approximately $447,000, respectively, for the same periods.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Net investment income totaled $5.8 million or $0.27 per share, for the three month period ended December 31, 2008, and $4.7 million or $0.23 per share for the three month period ended December 31, 2007.</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Sales and repayments of long-term investments for the three month period ended December 31, 2008 totaled $2.3 million and realized losses totaled approximately $887,000 due to sale of a senior secured loan. Sales and repayments of long-term investments totaled $4.3 million, and net realized losses totaled approximately $211,000 for the three month period ended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Depreciation on Investments, cash equivalents and credit facility</w:t>
      </w:r>
    </w:p>
    <w:p>
      <w:pPr>
        <w:spacing w:after="0" w:line="206" w:lineRule="exact"/>
        <w:rPr>
          <w:sz w:val="20"/>
          <w:szCs w:val="20"/>
          <w:color w:val="auto"/>
        </w:rPr>
      </w:pPr>
    </w:p>
    <w:p>
      <w:pPr>
        <w:jc w:val="both"/>
        <w:ind w:right="140"/>
        <w:spacing w:after="0" w:line="257" w:lineRule="auto"/>
        <w:rPr>
          <w:sz w:val="20"/>
          <w:szCs w:val="20"/>
          <w:color w:val="auto"/>
        </w:rPr>
      </w:pPr>
      <w:r>
        <w:rPr>
          <w:rFonts w:ascii="Arial" w:cs="Arial" w:eastAsia="Arial" w:hAnsi="Arial"/>
          <w:sz w:val="21"/>
          <w:szCs w:val="21"/>
          <w:color w:val="auto"/>
        </w:rPr>
        <w:t>On December 31, 2008 and September 30, 2008, net unrealized depreciation on investments and cash equivalents totaled $114.4 million and $72.0 million, respectively, primarily due to the continued downturn in the leveraged finance credit markets. For the period ending December 31, 2008, unrealized appreciation on credit facility was $5.7 million.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Net decrease in net assets resulting from operations totaled $31.8 million, or $1.51 per share, for the three month period ended December 31, 2008, primarily due to the overall decline in market values for investments in our portfolio offset to some extent by the decline in market value of our credit facility. Net decrease in net assets resulting from operations totaled $11.5 million or $0.54 per share for the three month period ended December 31, 2007.</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Company's liquidity and capital resources are generated primarily through its senior secured, multi-currency, $300 million, five-year revolving credit facility maturing in June 2012 as well as from cash flows from operations, investment sales and prepayments, and income earned from investments and cash equivalents. On December 31, 2008, the Company had $157.4 million in borrowings outstanding with a fair market value under GAAP of $109.9 million. Our operating activities resulted in a net cash inflow of $10.0 million and a net cash outflow $253.0 million, respectively, for the three month periods ended December 31, 2008 and December 31, 2007. Our financing activities resulted in a net outflow of cash of $49.7 million and a net cash inflow $76.9 million, respectively, for the same periods, primarily from net repayments and borrowings under our credit facilities.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RETAINED EARNINGS</w:t>
      </w:r>
    </w:p>
    <w:p>
      <w:pPr>
        <w:sectPr>
          <w:pgSz w:w="11900" w:h="16838" w:orient="portrait"/>
          <w:cols w:equalWidth="0" w:num="1">
            <w:col w:w="11240"/>
          </w:cols>
          <w:pgMar w:left="320" w:top="118" w:right="339" w:bottom="0" w:gutter="0" w:footer="0" w:header="0"/>
        </w:sectPr>
      </w:pPr>
    </w:p>
    <w:bookmarkStart w:id="4" w:name="page5"/>
    <w:bookmarkEnd w:id="4"/>
    <w:p>
      <w:pPr>
        <w:spacing w:after="0" w:line="64"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We adopted SFAS 159 on October 1, 2008 and have made an irrevocable election to apply the fair value option to our credit facility. The fair value option was elected to align the measurement attributes of both assets and liabilities while mitigating volatility in earnings from using different measurement attributes. Upon our adoption, our Net Asset Value increased $41.8 million, or $1.99 per share, due to the fair market value adjustment related to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Distributions declared to stockholders for the three month periods ended December 31, 2008 and December 31, 2007 totaled $5.1 million or $0.24 per share, and $4.6 million or $0.22 per share, respectively. Tax characteristics of all dividends will be reported to stockholders on form 1099-DIV after the end of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82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December 31,</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2008</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0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(cost--$426,340,080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$427,481,745, respectively)</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$ 312,457,194</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$ 354,261,950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 at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(cost--$16,855,758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$16,692,261, respectively)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16,356,181</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17,885,870</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328,813,375</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372,147,820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  (cost--$601,540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$40,249,201, respectively)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601,540</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40,249,201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5,830,272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6,046,199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1,237,105</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1,367,479</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336,482,292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419,810,699</w:t>
            </w:r>
          </w:p>
        </w:tc>
      </w:tr>
      <w:tr>
        <w:trPr>
          <w:trHeight w:val="202"/>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5,056,505</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5,056,505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278,533</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(fair value -</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$109,885,306 and $160,204,000,</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(cost--$157,400,000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$202,000,000, respectively)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109,885,306</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202,000,000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805,359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725,317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fees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1,820,188</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85,896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1,441,982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123,033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1,483,388</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1,091,688</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120,771,261</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209,082,439</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$0.001 per share,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100,000,000 shares authorized and 21,068,772</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21,069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294,586,604</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(distributions in excess of)</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108,764</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(602,660)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 Cumulative effect of</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adoption of fair value option (credit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41,796,000</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(12,137,637)</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(11,250,567)</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(114,382,463)</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(72,026,186)</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on credit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5,718,694</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ind w:left="420"/>
              <w:spacing w:after="0"/>
              <w:rPr>
                <w:sz w:val="20"/>
                <w:szCs w:val="20"/>
                <w:color w:val="auto"/>
              </w:rPr>
            </w:pPr>
            <w:r>
              <w:rPr>
                <w:rFonts w:ascii="Courier New" w:cs="Courier New" w:eastAsia="Courier New" w:hAnsi="Courier New"/>
                <w:sz w:val="18"/>
                <w:szCs w:val="18"/>
                <w:color w:val="auto"/>
              </w:rPr>
              <w:t>Total net assets</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$ 215,711,031</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$ 210,728,260</w:t>
            </w:r>
          </w:p>
        </w:tc>
      </w:tr>
      <w:tr>
        <w:trPr>
          <w:trHeight w:val="202"/>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ind w:left="420"/>
              <w:spacing w:after="0"/>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$ 336,482,292</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$ 419,810,699</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10.24</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2"/>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903" w:orient="portrait"/>
          <w:cols w:equalWidth="0" w:num="1">
            <w:col w:w="11200"/>
          </w:cols>
          <w:pgMar w:left="320" w:top="118" w:right="379" w:bottom="0" w:gutter="0" w:footer="0" w:header="0"/>
        </w:sectPr>
      </w:pPr>
    </w:p>
    <w:bookmarkStart w:id="5" w:name="page6"/>
    <w:bookmarkEnd w:id="5"/>
    <w:p>
      <w:pPr>
        <w:jc w:val="center"/>
        <w:ind w:right="300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000"/>
        <w:spacing w:after="0" w:line="238" w:lineRule="auto"/>
        <w:rPr>
          <w:sz w:val="20"/>
          <w:szCs w:val="20"/>
          <w:color w:val="auto"/>
        </w:rPr>
      </w:pPr>
      <w:r>
        <w:rPr>
          <w:rFonts w:ascii="Courier New" w:cs="Courier New" w:eastAsia="Courier New" w:hAnsi="Courier New"/>
          <w:sz w:val="18"/>
          <w:szCs w:val="18"/>
          <w:color w:val="auto"/>
        </w:rPr>
        <w:t>STATEMENTS OF OPERATIONS</w:t>
      </w:r>
    </w:p>
    <w:tbl>
      <w:tblPr>
        <w:tblLayout w:type="fixed"/>
        <w:tblInd w:w="0" w:type="dxa"/>
        <w:tblCellMar>
          <w:top w:w="0" w:type="dxa"/>
          <w:left w:w="0" w:type="dxa"/>
          <w:bottom w:w="0" w:type="dxa"/>
          <w:right w:w="0" w:type="dxa"/>
        </w:tblCellMar>
      </w:tblPr>
      <w:tr>
        <w:trPr>
          <w:trHeight w:val="203"/>
        </w:trPr>
        <w:tc>
          <w:tcPr>
            <w:tcW w:w="48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800" w:type="dxa"/>
            <w:vAlign w:val="bottom"/>
          </w:tcPr>
          <w:p>
            <w:pPr>
              <w:spacing w:after="0"/>
              <w:rPr>
                <w:sz w:val="17"/>
                <w:szCs w:val="17"/>
                <w:color w:val="auto"/>
              </w:rPr>
            </w:pPr>
          </w:p>
        </w:tc>
        <w:tc>
          <w:tcPr>
            <w:tcW w:w="31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800" w:type="dxa"/>
            <w:vAlign w:val="bottom"/>
          </w:tcPr>
          <w:p>
            <w:pPr>
              <w:spacing w:after="0"/>
              <w:rPr>
                <w:sz w:val="17"/>
                <w:szCs w:val="17"/>
                <w:color w:val="auto"/>
              </w:rPr>
            </w:pP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December 31,</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2008</w:t>
            </w:r>
          </w:p>
        </w:tc>
        <w:tc>
          <w:tcPr>
            <w:tcW w:w="20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11,359,547</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8,599,915</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236,706</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115,757</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 investments: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364,499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383,721</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12,076,509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9,003,608</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1,820,188</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1,640,365</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1,441,982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447,382</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and other credit facility</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1,837,220</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1,097,107</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620,402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663,690</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588,788</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628,232</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Expenses before base management fee waiver</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6,308,580</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4,476,776</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Base management fee waiver</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(205,047)</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expenses</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6,308,580</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4,271,729</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5,767,929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4,731,879</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Realized and unrealized gain (loss) on</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 equivalents and credit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on investments and cash</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(887,070)</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(210,891)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(40,663,091)</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(15,801,986)</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(1,693,186)</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(255,658)</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5,718,694</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(36,637,583)</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(16,057,644)</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from</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 equivalents, and credit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(37,524,653)</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(16,268,535)</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net assets resulting from</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(31,756,724)</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(11,536,656)</w:t>
            </w:r>
          </w:p>
        </w:tc>
      </w:tr>
      <w:tr>
        <w:trPr>
          <w:trHeight w:val="203"/>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common share</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(0.54)</w:t>
            </w:r>
          </w:p>
        </w:tc>
      </w:tr>
      <w:tr>
        <w:trPr>
          <w:trHeight w:val="202"/>
        </w:trPr>
        <w:tc>
          <w:tcPr>
            <w:tcW w:w="48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ectPr>
          <w:pgSz w:w="11900" w:h="16838" w:orient="portrait"/>
          <w:cols w:equalWidth="0" w:num="1">
            <w:col w:w="11220"/>
          </w:cols>
          <w:pgMar w:left="320" w:top="1351" w:right="359" w:bottom="67"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294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2020-05-05T15:06:52Z</dcterms:created>
  <dcterms:modified xsi:type="dcterms:W3CDTF">2020-05-05T15:06:52Z</dcterms:modified>
</cp:coreProperties>
</file>