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b w:val="1"/>
          <w:bCs w:val="1"/>
          <w:color w:val="auto"/>
        </w:rPr>
        <w:t>812-15305</w:t>
      </w:r>
    </w:p>
    <w:p>
      <w:pPr>
        <w:spacing w:after="0" w:line="2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U.S. SECURITIES AND EXCHANGE COMMISSION</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168910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00"/>
        <w:spacing w:after="0" w:line="266" w:lineRule="auto"/>
        <w:rPr>
          <w:sz w:val="20"/>
          <w:szCs w:val="20"/>
          <w:color w:val="auto"/>
        </w:rPr>
      </w:pPr>
      <w:r>
        <w:rPr>
          <w:rFonts w:ascii="Times New Roman" w:cs="Times New Roman" w:eastAsia="Times New Roman" w:hAnsi="Times New Roman"/>
          <w:sz w:val="18"/>
          <w:szCs w:val="18"/>
          <w:color w:val="auto"/>
        </w:rPr>
        <w:t>AMENDMENT NO. 2 TO THE APPLICATION FOR AN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157480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PENNANTPARK INVESTMENT ADVISERS, LLC, PENNANTPARK INVESTMENT CORPORATION, PENNANTPARK FLOATING RATE CAPITAL LTD., PENNANTPARK CREDIT OPPORTUNITIES FUND II, LP, PENNANTPARK CREDIT OPPORTUNITIES FUND III, LP, PENNANTPARK SENIOR CREDIT FUND, LLC, PENNANTPARK SENIOR CREDIT FUND LEVERED, LP, BERKELEY ROAD WC FUNDING SPV, LP, BERKELEY ROAD WC FUNDING SPV 2, LP, SP CREDIT ACQUISITIONS LLC, PENNANTPARK SENIOR CREDIT FUND, SMA, LP, TPDS I PLATINUM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153670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350520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All Communications, Notices and Orders to:</w:t>
      </w:r>
    </w:p>
    <w:p>
      <w:pPr>
        <w:spacing w:after="0" w:line="2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(212) 905-1000</w:t>
      </w:r>
    </w:p>
    <w:p>
      <w:pPr>
        <w:spacing w:after="0" w:line="2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Thomas J. Friedman</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David J. Harris</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Dechert LLP</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One International Place,</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40th Floor, 100 Oliver Street,</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Boston, MA, 02110-2605</w:t>
      </w:r>
    </w:p>
    <w:p>
      <w:pPr>
        <w:spacing w:after="0" w:line="9" w:lineRule="exact"/>
        <w:rPr>
          <w:sz w:val="24"/>
          <w:szCs w:val="24"/>
          <w:color w:val="auto"/>
        </w:rPr>
      </w:pPr>
    </w:p>
    <w:p>
      <w:pPr>
        <w:jc w:val="both"/>
        <w:ind w:left="4880" w:right="4960" w:hanging="38"/>
        <w:spacing w:after="0" w:line="887" w:lineRule="auto"/>
        <w:tabs>
          <w:tab w:leader="none" w:pos="5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728-7120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-616585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-162560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540" w:top="225" w:right="439" w:bottom="1440" w:gutter="0" w:footer="0" w:header="0"/>
        </w:sectPr>
      </w:pPr>
    </w:p>
    <w:bookmarkStart w:id="1" w:name="page2"/>
    <w:bookmarkEnd w:id="1"/>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Requested Relief</w:t>
      </w:r>
    </w:p>
    <w:p>
      <w:pPr>
        <w:spacing w:after="0" w:line="225" w:lineRule="exact"/>
        <w:rPr>
          <w:sz w:val="20"/>
          <w:szCs w:val="20"/>
          <w:color w:val="auto"/>
        </w:rPr>
      </w:pPr>
    </w:p>
    <w:p>
      <w:pPr>
        <w:jc w:val="both"/>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PennantPark Investment Corporation, PennantPark Floating Rate Capital Ltd. and their related entities, identified in section I.B. below,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pursuant to Sections 17(d) and 57(i) of the Investment Company Act of 1940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and Rule 17d-1 thereunder</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authorizing certain joint transactions that otherwise would be prohibited by either or both of Sections 17(d) and 57(a)(4) as modified by the exemptive rules adopted by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Act.</w:t>
      </w:r>
    </w:p>
    <w:p>
      <w:pPr>
        <w:spacing w:after="0" w:line="176"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color w:val="auto"/>
        </w:rPr>
        <w:t>In particular, the relief requested in this application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one or more Regulated Funds (including one or more BDC Downstream Funds) and/or one or more Affiliated Funds (each as defined below) to participate in the same investment opportunities where such participation would otherwise be prohibited under Section 17(d) or 57(a)(4) and the rules under the Act. All existing entities that currently intend to rely on the Order have been named as Applicants (defined below) and any existing or future entities that may rely on the Order in the future will comply with the terms and conditions set forth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Order sought by this Application would supersede the order, dated April 15, 2014, issued by the Commission to PennantPark Investment Corporation, et al. under Section 17(d) and 57(i) of the Act and Rule 17d-1 under the Act permitting certain joint transactions otherwise prohibited by Sections 17(d) and 57(a)(4) of the Act and Rule 17d-1 under the Act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with the result that no person will continue to rely on the Prior Order if the Order is granted.</w:t>
      </w:r>
    </w:p>
    <w:p>
      <w:pPr>
        <w:spacing w:after="0" w:line="8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Applicants Seeking Relief:</w:t>
      </w:r>
    </w:p>
    <w:p>
      <w:pPr>
        <w:spacing w:after="0" w:line="126" w:lineRule="exact"/>
        <w:rPr>
          <w:rFonts w:ascii="Times New Roman" w:cs="Times New Roman" w:eastAsia="Times New Roman" w:hAnsi="Times New Roman"/>
          <w:sz w:val="18"/>
          <w:szCs w:val="18"/>
          <w:color w:val="auto"/>
        </w:rPr>
      </w:pPr>
    </w:p>
    <w:p>
      <w:pPr>
        <w:ind w:left="964" w:right="60" w:hanging="424"/>
        <w:spacing w:after="0" w:line="28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Corporation (“</w:t>
      </w:r>
      <w:r>
        <w:rPr>
          <w:rFonts w:ascii="Times New Roman" w:cs="Times New Roman" w:eastAsia="Times New Roman" w:hAnsi="Times New Roman"/>
          <w:sz w:val="18"/>
          <w:szCs w:val="18"/>
          <w:b w:val="1"/>
          <w:bCs w:val="1"/>
          <w:i w:val="1"/>
          <w:iCs w:val="1"/>
          <w:color w:val="auto"/>
        </w:rPr>
        <w:t>PNNT</w:t>
      </w:r>
      <w:r>
        <w:rPr>
          <w:rFonts w:ascii="Times New Roman" w:cs="Times New Roman" w:eastAsia="Times New Roman" w:hAnsi="Times New Roman"/>
          <w:sz w:val="18"/>
          <w:szCs w:val="18"/>
          <w:color w:val="auto"/>
        </w:rPr>
        <w:t>”), a closed-end management investment company that has elected to be regulated as a BDC (defined below);</w:t>
      </w:r>
    </w:p>
    <w:p>
      <w:pPr>
        <w:spacing w:after="0" w:line="60" w:lineRule="exact"/>
        <w:rPr>
          <w:rFonts w:ascii="Times New Roman" w:cs="Times New Roman" w:eastAsia="Times New Roman" w:hAnsi="Times New Roman"/>
          <w:sz w:val="18"/>
          <w:szCs w:val="18"/>
          <w:color w:val="auto"/>
        </w:rPr>
      </w:pPr>
    </w:p>
    <w:p>
      <w:pPr>
        <w:ind w:left="964" w:right="200" w:hanging="424"/>
        <w:spacing w:after="0" w:line="28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Floating Rate Capital Ltd. (“</w:t>
      </w:r>
      <w:r>
        <w:rPr>
          <w:rFonts w:ascii="Times New Roman" w:cs="Times New Roman" w:eastAsia="Times New Roman" w:hAnsi="Times New Roman"/>
          <w:sz w:val="18"/>
          <w:szCs w:val="18"/>
          <w:b w:val="1"/>
          <w:bCs w:val="1"/>
          <w:i w:val="1"/>
          <w:iCs w:val="1"/>
          <w:color w:val="auto"/>
        </w:rPr>
        <w:t>PFLT</w:t>
      </w:r>
      <w:r>
        <w:rPr>
          <w:rFonts w:ascii="Times New Roman" w:cs="Times New Roman" w:eastAsia="Times New Roman" w:hAnsi="Times New Roman"/>
          <w:sz w:val="18"/>
          <w:szCs w:val="18"/>
          <w:color w:val="auto"/>
        </w:rPr>
        <w:t>” and together with PNNT, the “</w:t>
      </w:r>
      <w:r>
        <w:rPr>
          <w:rFonts w:ascii="Times New Roman" w:cs="Times New Roman" w:eastAsia="Times New Roman" w:hAnsi="Times New Roman"/>
          <w:sz w:val="18"/>
          <w:szCs w:val="18"/>
          <w:b w:val="1"/>
          <w:bCs w:val="1"/>
          <w:i w:val="1"/>
          <w:iCs w:val="1"/>
          <w:color w:val="auto"/>
        </w:rPr>
        <w:t>Existing Regulated Funds</w:t>
      </w:r>
      <w:r>
        <w:rPr>
          <w:rFonts w:ascii="Times New Roman" w:cs="Times New Roman" w:eastAsia="Times New Roman" w:hAnsi="Times New Roman"/>
          <w:sz w:val="18"/>
          <w:szCs w:val="18"/>
          <w:color w:val="auto"/>
        </w:rPr>
        <w:t>”), a closed-end management investment company that has elected to be regulated as a BDC;</w:t>
      </w:r>
    </w:p>
    <w:p>
      <w:pPr>
        <w:spacing w:after="0" w:line="60" w:lineRule="exact"/>
        <w:rPr>
          <w:rFonts w:ascii="Times New Roman" w:cs="Times New Roman" w:eastAsia="Times New Roman" w:hAnsi="Times New Roman"/>
          <w:sz w:val="18"/>
          <w:szCs w:val="18"/>
          <w:color w:val="auto"/>
        </w:rPr>
      </w:pPr>
    </w:p>
    <w:p>
      <w:pPr>
        <w:ind w:left="964" w:right="140" w:hanging="424"/>
        <w:spacing w:after="0" w:line="26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Advisers, LLC (“</w:t>
      </w:r>
      <w:r>
        <w:rPr>
          <w:rFonts w:ascii="Times New Roman" w:cs="Times New Roman" w:eastAsia="Times New Roman" w:hAnsi="Times New Roman"/>
          <w:sz w:val="18"/>
          <w:szCs w:val="18"/>
          <w:b w:val="1"/>
          <w:bCs w:val="1"/>
          <w:i w:val="1"/>
          <w:iCs w:val="1"/>
          <w:color w:val="auto"/>
        </w:rPr>
        <w:t>PennantPark</w:t>
      </w:r>
      <w:r>
        <w:rPr>
          <w:rFonts w:ascii="Times New Roman" w:cs="Times New Roman" w:eastAsia="Times New Roman" w:hAnsi="Times New Roman"/>
          <w:sz w:val="18"/>
          <w:szCs w:val="18"/>
          <w:color w:val="auto"/>
        </w:rPr>
        <w:t>”), a Delaware limited liability company that serves as the investment adviser to certain Existing Affiliated Funds (as defined below and identified in Schedule 1 hereto), each of which is a separate and distinct legal entity and each of which would be an investment company but for Section 3(c)(7) of the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 on behalf of itself and its successors;</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and</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Affiliated Funds (the Existing Regulated Funds, PennantPark, and the Existing Affiliated Funds,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means PennantPark and any Future Adviser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Unless otherwise indicated, all section references herein are to the Act.</w:t>
      </w:r>
    </w:p>
    <w:p>
      <w:pPr>
        <w:spacing w:after="0" w:line="26"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Unless otherwise indicated, all rule references herein are to rules under the Act.</w:t>
      </w:r>
    </w:p>
    <w:p>
      <w:pPr>
        <w:spacing w:after="0" w:line="9"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PennantPark Investment Corp., et al</w:t>
      </w:r>
      <w:r>
        <w:rPr>
          <w:rFonts w:ascii="Times New Roman" w:cs="Times New Roman" w:eastAsia="Times New Roman" w:hAnsi="Times New Roman"/>
          <w:sz w:val="18"/>
          <w:szCs w:val="18"/>
          <w:color w:val="auto"/>
        </w:rPr>
        <w:t>., (File No. 812-14134) Release No. 30985 (March 19, 2014) (notice), Release No. 31015 (April 15, 2014)</w:t>
      </w:r>
    </w:p>
    <w:p>
      <w:pPr>
        <w:spacing w:after="0" w:line="1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(order).</w:t>
      </w:r>
    </w:p>
    <w:p>
      <w:pPr>
        <w:spacing w:after="0" w:line="8" w:lineRule="exact"/>
        <w:rPr>
          <w:sz w:val="20"/>
          <w:szCs w:val="20"/>
          <w:color w:val="auto"/>
        </w:rPr>
      </w:pPr>
    </w:p>
    <w:p>
      <w:pPr>
        <w:ind w:left="424" w:right="60" w:hanging="424"/>
        <w:spacing w:after="0" w:line="262" w:lineRule="auto"/>
        <w:tabs>
          <w:tab w:leader="none" w:pos="424"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term successor, as applied to each Adviser, means an entity which results from a reorganization into another jurisdiction or change in the type of business organization.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 w:name="page3"/>
    <w:bookmarkEnd w:id="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Affiliated Fund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(i) any Existing Affiliated Fund; (ii) any PennantPark Proprietary Account (defined below); and (iii) any entity</w:t>
      </w:r>
    </w:p>
    <w:p>
      <w:pPr>
        <w:spacing w:after="0" w:line="31" w:lineRule="exact"/>
        <w:rPr>
          <w:sz w:val="20"/>
          <w:szCs w:val="20"/>
          <w:color w:val="auto"/>
        </w:rPr>
      </w:pPr>
    </w:p>
    <w:p>
      <w:pPr>
        <w:ind w:left="4" w:hanging="4"/>
        <w:spacing w:after="0" w:line="255"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investment adviser (or sub-adviser(s), if any) is an Adviser, (b) that either (x) would be an investment company but for Section 3(c)(1), 3(c)(5) (C), or 3(c)(7) of the Act, or (y) relies on Rule 3a-7 under the Act, (c) that is not a BDC Downstream Fund, and (d) that intends to participate in the Co-Investment Program.</w:t>
      </w:r>
      <w:r>
        <w:rPr>
          <w:rFonts w:ascii="Times New Roman" w:cs="Times New Roman" w:eastAsia="Times New Roman" w:hAnsi="Times New Roman"/>
          <w:sz w:val="15"/>
          <w:szCs w:val="15"/>
          <w:color w:val="auto"/>
        </w:rPr>
        <w:t>5</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means a business development company under the Act.</w:t>
      </w:r>
      <w:r>
        <w:rPr>
          <w:rFonts w:ascii="Times New Roman" w:cs="Times New Roman" w:eastAsia="Times New Roman" w:hAnsi="Times New Roman"/>
          <w:sz w:val="15"/>
          <w:szCs w:val="15"/>
          <w:color w:val="auto"/>
        </w:rPr>
        <w:t>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with respect to any Regulated Fund that is a BDC, an entity (i) that the BDC directly or indirectly controls,</w:t>
      </w:r>
    </w:p>
    <w:p>
      <w:pPr>
        <w:spacing w:after="0" w:line="31" w:lineRule="exact"/>
        <w:rPr>
          <w:sz w:val="20"/>
          <w:szCs w:val="20"/>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controlled by any person other than the BDC (except a person that indirectly controls the entity solely because it controls the BDC),</w:t>
      </w:r>
    </w:p>
    <w:p>
      <w:pPr>
        <w:spacing w:after="0" w:line="9" w:lineRule="exact"/>
        <w:rPr>
          <w:rFonts w:ascii="Times New Roman" w:cs="Times New Roman" w:eastAsia="Times New Roman" w:hAnsi="Times New Roman"/>
          <w:sz w:val="18"/>
          <w:szCs w:val="18"/>
          <w:color w:val="auto"/>
        </w:rPr>
      </w:pPr>
    </w:p>
    <w:p>
      <w:pPr>
        <w:ind w:left="4" w:right="60" w:hanging="4"/>
        <w:spacing w:after="0" w:line="260"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would be an investment company but for Section 3(c)(1) or 3(c)(7) of the Act, (iv) whose investment adviser (and sub-adviser(s), if any) are an Adviser, (v) that is not a Wholly-Owned Investment Sub and (vi) that intends to participate in the Co-Investment Program.</w:t>
      </w:r>
    </w:p>
    <w:p>
      <w:pPr>
        <w:spacing w:after="0" w:line="177" w:lineRule="exact"/>
        <w:rPr>
          <w:sz w:val="20"/>
          <w:szCs w:val="20"/>
          <w:color w:val="auto"/>
        </w:rPr>
      </w:pPr>
    </w:p>
    <w:p>
      <w:pPr>
        <w:ind w:left="4"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(i) with respect to a Regulated Fund other than a BDC Downstream Fund, the board of directors (or the equivalent) of the applicable Regulated Fund and (ii) with respect to a BDC Downstream Fund, the Independent Party of the BDC Downstream Fund.</w:t>
      </w:r>
    </w:p>
    <w:p>
      <w:pPr>
        <w:spacing w:after="0" w:line="15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Board-Established Criteria</w:t>
      </w:r>
      <w:r>
        <w:rPr>
          <w:rFonts w:ascii="Times New Roman" w:cs="Times New Roman" w:eastAsia="Times New Roman" w:hAnsi="Times New Roman"/>
          <w:sz w:val="18"/>
          <w:szCs w:val="18"/>
          <w:color w:val="auto"/>
        </w:rPr>
        <w:t>” means criteria that the Board of a Regulated Fund may establish from time to time to describe the characteristics of Potential Co-Investment Transactions regarding which the Adviser to the Regulated Fund should be notified under Condition 1. The Board-Established Criteria will be consistent with the Regulated Fund’s Objectives and Strategies (defined below).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EBITDA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(defined below). The Independent Directors of a Regulated Fund may at any time rescind, suspend or qualify their approval of any Board-Established Criteria, though Applicants anticipate that, under normal circumstances, the Board would not modify these criteria more often than quarterly.</w:t>
      </w:r>
    </w:p>
    <w:p>
      <w:pPr>
        <w:spacing w:after="0" w:line="18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Affiliate</w:t>
      </w:r>
      <w:r>
        <w:rPr>
          <w:rFonts w:ascii="Times New Roman" w:cs="Times New Roman" w:eastAsia="Times New Roman" w:hAnsi="Times New Roman"/>
          <w:sz w:val="18"/>
          <w:szCs w:val="18"/>
          <w:color w:val="auto"/>
        </w:rPr>
        <w:t>” means the Advisers, the Regulated Funds, the Affiliated Funds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71"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Program</w:t>
      </w:r>
      <w:r>
        <w:rPr>
          <w:rFonts w:ascii="Times New Roman" w:cs="Times New Roman" w:eastAsia="Times New Roman" w:hAnsi="Times New Roman"/>
          <w:sz w:val="18"/>
          <w:szCs w:val="18"/>
          <w:color w:val="auto"/>
        </w:rPr>
        <w:t>” means the proposed co-investment program that would permit one or more Regulated Funds and/or one or more Affiliated Funds to participate in the same investment opportunities where such participation would otherwise be prohibited under Section 57(a)(4) and Rule 17d–1 by (a) co-investing with each other in securities issued by issuers in private placement transactions in which an Adviser negotiates terms in addition to price;</w:t>
      </w:r>
      <w:r>
        <w:rPr>
          <w:rFonts w:ascii="Times New Roman" w:cs="Times New Roman" w:eastAsia="Times New Roman" w:hAnsi="Times New Roman"/>
          <w:sz w:val="15"/>
          <w:szCs w:val="15"/>
          <w:color w:val="auto"/>
        </w:rPr>
        <w:t>7</w:t>
      </w:r>
      <w:r>
        <w:rPr>
          <w:rFonts w:ascii="Times New Roman" w:cs="Times New Roman" w:eastAsia="Times New Roman" w:hAnsi="Times New Roman"/>
          <w:sz w:val="18"/>
          <w:szCs w:val="18"/>
          <w:color w:val="auto"/>
        </w:rPr>
        <w:t xml:space="preserve"> and (b) making Follow-On Investments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314960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424" w:right="120" w:hanging="424"/>
        <w:spacing w:after="0" w:line="254" w:lineRule="auto"/>
        <w:tabs>
          <w:tab w:leader="none" w:pos="424"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Affiliated Funds may include funds that are ultimately structured as collateralized loan obligation funds (“</w:t>
      </w:r>
      <w:r>
        <w:rPr>
          <w:rFonts w:ascii="Times New Roman" w:cs="Times New Roman" w:eastAsia="Times New Roman" w:hAnsi="Times New Roman"/>
          <w:sz w:val="18"/>
          <w:szCs w:val="18"/>
          <w:b w:val="1"/>
          <w:bCs w:val="1"/>
          <w:i w:val="1"/>
          <w:iCs w:val="1"/>
          <w:color w:val="auto"/>
        </w:rPr>
        <w:t>CLOs</w:t>
      </w:r>
      <w:r>
        <w:rPr>
          <w:rFonts w:ascii="Times New Roman" w:cs="Times New Roman" w:eastAsia="Times New Roman" w:hAnsi="Times New Roman"/>
          <w:sz w:val="18"/>
          <w:szCs w:val="18"/>
          <w:color w:val="auto"/>
        </w:rPr>
        <w:t>”). Such CLOs would be investment companies but for the exception provided in Section 3(c)(7) of the Act or their ability to rely on Rule 3a-7 of the Act. During the investment period of a CLO, the CLO may engage in certain transactions customary in CLO formations with another Affiliated Fund on a secondary basis at fair market value. For purposes of the Order, any securities that were acquired by an Affiliated Fund in a particular Co-Investment Transaction that are then transferred in such customary transactions to an Affiliated Fund that is or will become a CLO (an “</w:t>
      </w:r>
      <w:r>
        <w:rPr>
          <w:rFonts w:ascii="Times New Roman" w:cs="Times New Roman" w:eastAsia="Times New Roman" w:hAnsi="Times New Roman"/>
          <w:sz w:val="18"/>
          <w:szCs w:val="18"/>
          <w:b w:val="1"/>
          <w:bCs w:val="1"/>
          <w:i w:val="1"/>
          <w:iCs w:val="1"/>
          <w:color w:val="auto"/>
        </w:rPr>
        <w:t>Affiliated Fund CLO</w:t>
      </w:r>
      <w:r>
        <w:rPr>
          <w:rFonts w:ascii="Times New Roman" w:cs="Times New Roman" w:eastAsia="Times New Roman" w:hAnsi="Times New Roman"/>
          <w:sz w:val="18"/>
          <w:szCs w:val="18"/>
          <w:color w:val="auto"/>
        </w:rPr>
        <w:t>”) will be treated as if the Affiliated Fund CLO acquired such securities in the Co-Investment Transaction. For the avoidance of doubt, any such transfer from an Affiliated Fund to an Affiliated Fund CLO will be treated as a Disposition and completed pursuant to terms and conditions of the Application, though Applicants note that the Regulated Funds would be prohibited from participating in such Disposition by Section 17(a)(2) or Section 57(a)(2) of the Act, as applicable. The participation by any Affiliated Fund CLO in any such</w:t>
      </w:r>
    </w:p>
    <w:p>
      <w:pPr>
        <w:spacing w:after="0" w:line="192" w:lineRule="exact"/>
        <w:rPr>
          <w:sz w:val="20"/>
          <w:szCs w:val="20"/>
          <w:color w:val="auto"/>
        </w:rPr>
      </w:pPr>
    </w:p>
    <w:p>
      <w:pPr>
        <w:ind w:left="424" w:right="80" w:hanging="424"/>
        <w:spacing w:after="0" w:line="260" w:lineRule="auto"/>
        <w:tabs>
          <w:tab w:leader="none" w:pos="42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Section 2(a)(48) defines a BDC to be any closed-end investment company that operates for the purpose of making investments in securities described in Section 55(a)(1) through 55(a)(3) and makes available significant managerial assistance with respect to the issuers of such securities.</w:t>
      </w:r>
    </w:p>
    <w:p>
      <w:pPr>
        <w:spacing w:after="0" w:line="1" w:lineRule="exact"/>
        <w:rPr>
          <w:sz w:val="20"/>
          <w:szCs w:val="20"/>
          <w:color w:val="auto"/>
        </w:rPr>
      </w:pPr>
    </w:p>
    <w:p>
      <w:pPr>
        <w:ind w:left="424" w:right="180" w:hanging="424"/>
        <w:spacing w:after="0" w:line="262" w:lineRule="auto"/>
        <w:tabs>
          <w:tab w:leader="none" w:pos="42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term “private placement transactions” means transactions in which the offer and sale of securities by the issuer are exempt from registration under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3" w:name="page4"/>
    <w:bookmarkEnd w:id="3"/>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any transaction in which a Regulated Fund (or its Wholly-Owned Investment Sub) participated together with one or more Affiliated Funds and/or one or more other Regulated Funds in reliance on the Order.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or other disposition of an interest in a security of an issuer.</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means, with respect to a Regulated Fund and a Potential Co-Investment Transaction, the members of the Regulated Fund’s Board eligible to vote on that Potential Co-Investment Transaction under Section 57(o) of the Act (treating any registered investment company or series thereof as a BDC for this purpose).</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Follow-On Investment</w:t>
      </w:r>
      <w:r>
        <w:rPr>
          <w:rFonts w:ascii="Times New Roman" w:cs="Times New Roman" w:eastAsia="Times New Roman" w:hAnsi="Times New Roman"/>
          <w:sz w:val="18"/>
          <w:szCs w:val="18"/>
          <w:color w:val="auto"/>
        </w:rPr>
        <w:t>” means (i) with respect to a Regulated Fund, an additional investment in the same issuer in which the Regulated Fund is currently invested; or (ii) with respect to an Affiliated Fund, (X) an additional investment in the same issuer in which the Affiliated Fund and at least one Regulated Fund are currently invested; or (Y) an investment in an issuer in which at least one Regulated Fund is currently invested but in which the Affiliated Fund does not currently have an investment. An investment in an issuer includes, but is not limited to, the exercise of warrants, conversion privileges or other rights to purchase securities of the issuer.</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Adviser</w:t>
      </w:r>
      <w:r>
        <w:rPr>
          <w:rFonts w:ascii="Times New Roman" w:cs="Times New Roman" w:eastAsia="Times New Roman" w:hAnsi="Times New Roman"/>
          <w:sz w:val="18"/>
          <w:szCs w:val="18"/>
          <w:color w:val="auto"/>
        </w:rPr>
        <w:t>” means any future investment adviser that (i) controls, is controlled by, or is under common control with PennantPark, (ii) (a) is registered as an investment adviser under the Investment Advisers Act of 1940, as amended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 or (b) is a relying adviser of an investment adviser that is registered under the Advisers Act and that controls, is controlled by, or is under common control with, PennantPark, and (iii) is not a Regulated Fund or a subsidiary of a Regulated Fund.</w:t>
      </w:r>
    </w:p>
    <w:p>
      <w:pPr>
        <w:spacing w:after="0" w:line="176" w:lineRule="exact"/>
        <w:rPr>
          <w:sz w:val="20"/>
          <w:szCs w:val="20"/>
          <w:color w:val="auto"/>
        </w:rPr>
      </w:pPr>
    </w:p>
    <w:p>
      <w:pPr>
        <w:ind w:right="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Future Regulated Fund</w:t>
      </w:r>
      <w:r>
        <w:rPr>
          <w:rFonts w:ascii="Times New Roman" w:cs="Times New Roman" w:eastAsia="Times New Roman" w:hAnsi="Times New Roman"/>
          <w:sz w:val="17"/>
          <w:szCs w:val="17"/>
          <w:color w:val="auto"/>
        </w:rPr>
        <w:t>” means a closed-end management investment company (a) that is registered under the Act or has elected to be regulated as a BDC, (b) whose investment adviser (and sub-adviser(s), if any) is an Adviser, and (c) that intends to participate in the Co-Investment Program.</w:t>
      </w:r>
    </w:p>
    <w:p>
      <w:pPr>
        <w:spacing w:after="0" w:line="132"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member of the Board of any relevant entity who is not an “interested person” as defined in Section 2(a)(19) of the Act. No Independent Director of a Regulated Fund (including any non-interested member of an Independent Party) will have a financial interest in any Co-Investment Transaction, other than indirectly through share ownership in one of the Regulated Funds.</w:t>
      </w:r>
    </w:p>
    <w:p>
      <w:pPr>
        <w:spacing w:after="0" w:line="171"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Party</w:t>
      </w:r>
      <w:r>
        <w:rPr>
          <w:rFonts w:ascii="Times New Roman" w:cs="Times New Roman" w:eastAsia="Times New Roman" w:hAnsi="Times New Roman"/>
          <w:sz w:val="18"/>
          <w:szCs w:val="18"/>
          <w:color w:val="auto"/>
        </w:rPr>
        <w:t>” means, with respect to a BDC Downstream Fund, (i) if the BDC Downstream Fund has a board of directors (or the equivalent), the board or (ii) if the BDC Downstream Fund does not have a board of directors (or the equivalent), a transaction committee or advisory committee of the BDC Downstream Fund.</w:t>
      </w:r>
    </w:p>
    <w:p>
      <w:pPr>
        <w:spacing w:after="0" w:line="171"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JT No-Action Letters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SMC Capital, Inc.</w:t>
      </w:r>
      <w:r>
        <w:rPr>
          <w:rFonts w:ascii="Times New Roman" w:cs="Times New Roman" w:eastAsia="Times New Roman" w:hAnsi="Times New Roman"/>
          <w:sz w:val="18"/>
          <w:szCs w:val="18"/>
          <w:color w:val="auto"/>
        </w:rPr>
        <w:t xml:space="preserve">, SEC No-Action Letter (pub. avail. Sept. 5, 1995) and </w:t>
      </w:r>
      <w:r>
        <w:rPr>
          <w:rFonts w:ascii="Times New Roman" w:cs="Times New Roman" w:eastAsia="Times New Roman" w:hAnsi="Times New Roman"/>
          <w:sz w:val="18"/>
          <w:szCs w:val="18"/>
          <w:u w:val="single" w:color="auto"/>
          <w:color w:val="auto"/>
        </w:rPr>
        <w:t>Massachusetts Mutual Life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SEC No-Action Letter (pub. avail. June 7, 2000).</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Objectives and Strategies</w:t>
      </w:r>
      <w:r>
        <w:rPr>
          <w:rFonts w:ascii="Times New Roman" w:cs="Times New Roman" w:eastAsia="Times New Roman" w:hAnsi="Times New Roman"/>
          <w:sz w:val="18"/>
          <w:szCs w:val="18"/>
          <w:color w:val="auto"/>
        </w:rPr>
        <w:t>” means (i) with respect to any Regulated Fund other than a BDC Downstream Fund, its investment objectives and strategies, as described in its most current registration statement on Form N-2, other current filings with the Commission under the Securities Act or under the Securities Exchange Act of 1934, as amended, and its most current report to stockholders, and (ii) with respect to any BDC Downstream Fund, those investment objectives and strategies described in its disclosure documents (including private placement memoranda and reports to equity holders) and organizational documents (including operating agreements).</w:t>
      </w:r>
    </w:p>
    <w:p>
      <w:pPr>
        <w:spacing w:after="0" w:line="179"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PennantPark Proprietary Account</w:t>
      </w:r>
      <w:r>
        <w:rPr>
          <w:rFonts w:ascii="Times New Roman" w:cs="Times New Roman" w:eastAsia="Times New Roman" w:hAnsi="Times New Roman"/>
          <w:sz w:val="18"/>
          <w:szCs w:val="18"/>
          <w:color w:val="auto"/>
        </w:rPr>
        <w:t>” means any account of an Adviser or its affiliates or any company that is an indirect, wholly- or majority-owned subsidiary of an Adviser or its affiliates, which, from time to time, may hold various financial assets in a principal capacity.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 w:name="page5"/>
    <w:bookmarkEnd w:id="4"/>
    <w:p>
      <w:pPr>
        <w:ind w:left="4" w:right="10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Potential Co-Investment Transaction</w:t>
      </w:r>
      <w:r>
        <w:rPr>
          <w:rFonts w:ascii="Times New Roman" w:cs="Times New Roman" w:eastAsia="Times New Roman" w:hAnsi="Times New Roman"/>
          <w:sz w:val="17"/>
          <w:szCs w:val="17"/>
          <w:color w:val="auto"/>
        </w:rPr>
        <w:t>” means any investment opportunity in which a Regulated Fund (or its Wholly-Owned Investment Sub) could not participate together with one or more Affiliated Funds and/or one or more other Regulated Funds without obtaining and relying on the Order.</w:t>
      </w:r>
    </w:p>
    <w:p>
      <w:pPr>
        <w:spacing w:after="0" w:line="132"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Pre-Boarding Investments</w:t>
      </w:r>
      <w:r>
        <w:rPr>
          <w:rFonts w:ascii="Times New Roman" w:cs="Times New Roman" w:eastAsia="Times New Roman" w:hAnsi="Times New Roman"/>
          <w:sz w:val="18"/>
          <w:szCs w:val="18"/>
          <w:color w:val="auto"/>
        </w:rPr>
        <w:t>” are investments in an issuer held by a Regulated Fund as well as one or more Affiliated Funds and/or one or more other Regulated Funds that were acquired prior to participating in any Co-Investment Transaction:</w:t>
      </w:r>
    </w:p>
    <w:p>
      <w:pPr>
        <w:spacing w:after="0" w:line="64" w:lineRule="exact"/>
        <w:rPr>
          <w:sz w:val="20"/>
          <w:szCs w:val="20"/>
          <w:color w:val="auto"/>
        </w:rPr>
      </w:pPr>
    </w:p>
    <w:p>
      <w:pPr>
        <w:ind w:left="964" w:hanging="532"/>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which the only term negotiated by or on behalf of such funds was price in reliance on one of the JT No-Action Letters; or</w:t>
      </w:r>
    </w:p>
    <w:p>
      <w:pPr>
        <w:spacing w:after="0" w:line="130"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occurring at least 90 days apart and without coordination between the Regulated Fund and any Affiliated Fund or other Regulated Fund.</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Funds</w:t>
      </w:r>
      <w:r>
        <w:rPr>
          <w:rFonts w:ascii="Times New Roman" w:cs="Times New Roman" w:eastAsia="Times New Roman" w:hAnsi="Times New Roman"/>
          <w:sz w:val="18"/>
          <w:szCs w:val="18"/>
          <w:color w:val="auto"/>
        </w:rPr>
        <w:t>” means the Existing Regulated Funds, the Future Regulated Funds and the BDC Downstream Funds.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Remote Affiliate</w:t>
      </w:r>
      <w:r>
        <w:rPr>
          <w:rFonts w:ascii="Times New Roman" w:cs="Times New Roman" w:eastAsia="Times New Roman" w:hAnsi="Times New Roman"/>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means a required majority, as defined in Section 57(o) of the Act.</w:t>
      </w:r>
      <w:r>
        <w:rPr>
          <w:rFonts w:ascii="Times New Roman" w:cs="Times New Roman" w:eastAsia="Times New Roman" w:hAnsi="Times New Roman"/>
          <w:sz w:val="15"/>
          <w:szCs w:val="15"/>
          <w:color w:val="auto"/>
        </w:rPr>
        <w:t>8</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SBIC Subsidiary</w:t>
      </w:r>
      <w:r>
        <w:rPr>
          <w:rFonts w:ascii="Times New Roman" w:cs="Times New Roman" w:eastAsia="Times New Roman" w:hAnsi="Times New Roman"/>
          <w:sz w:val="18"/>
          <w:szCs w:val="18"/>
          <w:color w:val="auto"/>
        </w:rPr>
        <w:t>” means a Wholly-Owned Investment Sub that is licensed by the Small Business Administration (the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to operate under the Small Business Investment Act of 1958, as amended, (the “</w:t>
      </w:r>
      <w:r>
        <w:rPr>
          <w:rFonts w:ascii="Times New Roman" w:cs="Times New Roman" w:eastAsia="Times New Roman" w:hAnsi="Times New Roman"/>
          <w:sz w:val="18"/>
          <w:szCs w:val="18"/>
          <w:b w:val="1"/>
          <w:bCs w:val="1"/>
          <w:i w:val="1"/>
          <w:iCs w:val="1"/>
          <w:color w:val="auto"/>
        </w:rPr>
        <w:t>SBA Act</w:t>
      </w:r>
      <w:r>
        <w:rPr>
          <w:rFonts w:ascii="Times New Roman" w:cs="Times New Roman" w:eastAsia="Times New Roman" w:hAnsi="Times New Roman"/>
          <w:sz w:val="18"/>
          <w:szCs w:val="18"/>
          <w:color w:val="auto"/>
        </w:rPr>
        <w:t>”) as a small business investment company (an “</w:t>
      </w:r>
      <w:r>
        <w:rPr>
          <w:rFonts w:ascii="Times New Roman" w:cs="Times New Roman" w:eastAsia="Times New Roman" w:hAnsi="Times New Roman"/>
          <w:sz w:val="18"/>
          <w:szCs w:val="18"/>
          <w:b w:val="1"/>
          <w:bCs w:val="1"/>
          <w:i w:val="1"/>
          <w:iCs w:val="1"/>
          <w:color w:val="auto"/>
        </w:rPr>
        <w:t>SBIC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that meets the following criteria at the time of Disposition:</w:t>
      </w:r>
    </w:p>
    <w:p>
      <w:pPr>
        <w:spacing w:after="0" w:line="135" w:lineRule="exact"/>
        <w:rPr>
          <w:sz w:val="20"/>
          <w:szCs w:val="20"/>
          <w:color w:val="auto"/>
        </w:rPr>
      </w:pPr>
    </w:p>
    <w:p>
      <w:pPr>
        <w:ind w:left="964" w:hanging="532"/>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on a national securities exchange or designated offshore securities market as defined in rule 902(b) under the Securities Act;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restrictive agreements with the issuer or other security holders; and</w:t>
      </w:r>
    </w:p>
    <w:p>
      <w:pPr>
        <w:spacing w:after="0" w:line="130" w:lineRule="exact"/>
        <w:rPr>
          <w:rFonts w:ascii="Times New Roman" w:cs="Times New Roman" w:eastAsia="Times New Roman" w:hAnsi="Times New Roman"/>
          <w:sz w:val="18"/>
          <w:szCs w:val="18"/>
          <w:color w:val="auto"/>
        </w:rPr>
      </w:pPr>
    </w:p>
    <w:p>
      <w:pPr>
        <w:ind w:left="964" w:right="300" w:hanging="532"/>
        <w:spacing w:after="0" w:line="261"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with sufficient volume and liquidity (findings as to which are documented by the Advisers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4" w:lineRule="exact"/>
        <w:rPr>
          <w:sz w:val="20"/>
          <w:szCs w:val="20"/>
          <w:color w:val="auto"/>
        </w:rPr>
      </w:pPr>
    </w:p>
    <w:p>
      <w:pPr>
        <w:ind w:left="424" w:hanging="424"/>
        <w:spacing w:after="0" w:line="256" w:lineRule="auto"/>
        <w:tabs>
          <w:tab w:leader="none" w:pos="42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case of a Regulated Fund that is a registered closed-end fund, the Board members that make up the Required Majority will be determined as if the Regulated Fund were a BDC subject to Section 57(o). In the case of a BDC Downstream Fund with a board of directors (or the equivalent), the members that make up the Required Majority will be determined as if the BDC Downstream Fund were a BDC subject to Section 57(o). In the case of a BDC Downstream Fund with a transaction committee or advisory committee, the committee members that make up the Required Majority will be determined as if the BDC Downstream Fund were a BDC subject to Section 57(o) and as if the committee members were directors of the fund.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5" w:name="page6"/>
    <w:bookmarkEnd w:id="5"/>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(i) that is a wholly-owned subsidiary</w:t>
      </w:r>
      <w:r>
        <w:rPr>
          <w:rFonts w:ascii="Times New Roman" w:cs="Times New Roman" w:eastAsia="Times New Roman" w:hAnsi="Times New Roman"/>
          <w:sz w:val="15"/>
          <w:szCs w:val="15"/>
          <w:color w:val="auto"/>
        </w:rPr>
        <w:t>9</w:t>
      </w:r>
      <w:r>
        <w:rPr>
          <w:rFonts w:ascii="Times New Roman" w:cs="Times New Roman" w:eastAsia="Times New Roman" w:hAnsi="Times New Roman"/>
          <w:sz w:val="18"/>
          <w:szCs w:val="18"/>
          <w:color w:val="auto"/>
        </w:rPr>
        <w:t xml:space="preserve"> of a Regulated Fund (with such Regulated Fund at all times holding, beneficially and of record, directly or indirectly, 95% or more of the voting and economic interests); (ii) whose sole business purpose is to hold one or more investments on behalf of such Regulated Fund (and, in the case of an SBIC Subsidiary, maintain a license under the SBA Act and issue debentures guaranteed by the SBA); (iii) with respect to which such Regulated Fund’s Board has the sole authority to make all determinations with respect to the entity’s participation under the Conditions to this application; and (iv) (A) that would be an investment company but for Section 3(c)(1), 3(c)(5)(C), or 3(c)(7) of the Act, or (B) that qualifies as a real estate investment trust (“</w:t>
      </w:r>
      <w:r>
        <w:rPr>
          <w:rFonts w:ascii="Times New Roman" w:cs="Times New Roman" w:eastAsia="Times New Roman" w:hAnsi="Times New Roman"/>
          <w:sz w:val="18"/>
          <w:szCs w:val="18"/>
          <w:b w:val="1"/>
          <w:bCs w:val="1"/>
          <w:i w:val="1"/>
          <w:iCs w:val="1"/>
          <w:color w:val="auto"/>
        </w:rPr>
        <w:t>REIT</w:t>
      </w:r>
      <w:r>
        <w:rPr>
          <w:rFonts w:ascii="Times New Roman" w:cs="Times New Roman" w:eastAsia="Times New Roman" w:hAnsi="Times New Roman"/>
          <w:sz w:val="18"/>
          <w:szCs w:val="18"/>
          <w:color w:val="auto"/>
        </w:rPr>
        <w:t>”) within the meaning of Section 856 of the Internal Revenue Code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because substantially all of its assets would consist of real properties.</w:t>
      </w:r>
    </w:p>
    <w:p>
      <w:pPr>
        <w:spacing w:after="0" w:line="331"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APPLICANTS</w:t>
      </w:r>
    </w:p>
    <w:p>
      <w:pPr>
        <w:spacing w:after="0" w:line="135"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PennantPark Investment Corporation</w:t>
      </w:r>
    </w:p>
    <w:p>
      <w:pPr>
        <w:spacing w:after="0" w:line="117" w:lineRule="exact"/>
        <w:rPr>
          <w:sz w:val="20"/>
          <w:szCs w:val="20"/>
          <w:color w:val="auto"/>
        </w:rPr>
      </w:pPr>
    </w:p>
    <w:p>
      <w:pPr>
        <w:jc w:val="both"/>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PNNT was organized as a Maryland corporation on January 11, 2007. PNNT is a closed-end, externally managed, non-diversified investment company that has elected to be regulated as a BDC under the Act. PNNT has elected to be treated as a regulated investment company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Subchapter M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intends to continue to qualify as a RIC in the future.</w:t>
      </w:r>
    </w:p>
    <w:p>
      <w:pPr>
        <w:spacing w:after="0" w:line="176"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PNNT’s Objectives and Strategies are to generate both current income and capital appreciation through debt and equity investments. PNNT invests primarily in U.S. middle-market companies in the form of senior secured loans, mezzanine debt and equity investments.</w:t>
      </w:r>
    </w:p>
    <w:p>
      <w:pPr>
        <w:spacing w:after="0" w:line="158"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PNNT has a five-member board of directors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which four members are not “interested persons” of PNNT within the meaning of Section 2(a)(19) of the 1940 Act (the “Independent Directors”). The Board has delegated daily management and investment authority to PennantPark pursuant to an investment advisory agreement.</w:t>
      </w:r>
    </w:p>
    <w:p>
      <w:pPr>
        <w:spacing w:after="0" w:line="80"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PennantPark Floating Rate Capital Ltd.</w:t>
      </w:r>
    </w:p>
    <w:p>
      <w:pPr>
        <w:spacing w:after="0" w:line="117"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PFLT was organized as a Maryland corporation on October 28, 2010. PFLT is a closed-end, externally managed, non-diversified investment company that has elected to be regulated as a BDC under the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PFLT maintains a five-member Board, of which four members are Independent Directors.</w:t>
      </w:r>
      <w:r>
        <w:rPr>
          <w:rFonts w:ascii="Times New Roman" w:cs="Times New Roman" w:eastAsia="Times New Roman" w:hAnsi="Times New Roman"/>
          <w:sz w:val="15"/>
          <w:szCs w:val="15"/>
          <w:color w:val="auto"/>
        </w:rPr>
        <w:t>5</w:t>
      </w:r>
    </w:p>
    <w:p>
      <w:pPr>
        <w:spacing w:after="0" w:line="89"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Affiliated Funds</w:t>
      </w:r>
    </w:p>
    <w:p>
      <w:pPr>
        <w:spacing w:after="0" w:line="117" w:lineRule="exact"/>
        <w:rPr>
          <w:sz w:val="20"/>
          <w:szCs w:val="20"/>
          <w:color w:val="auto"/>
        </w:rPr>
      </w:pPr>
    </w:p>
    <w:p>
      <w:pPr>
        <w:ind w:left="4" w:right="120" w:firstLine="440"/>
        <w:spacing w:after="0" w:line="312" w:lineRule="auto"/>
        <w:rPr>
          <w:sz w:val="20"/>
          <w:szCs w:val="20"/>
          <w:color w:val="auto"/>
        </w:rPr>
      </w:pPr>
      <w:r>
        <w:rPr>
          <w:rFonts w:ascii="Times New Roman" w:cs="Times New Roman" w:eastAsia="Times New Roman" w:hAnsi="Times New Roman"/>
          <w:sz w:val="17"/>
          <w:szCs w:val="17"/>
          <w:color w:val="auto"/>
        </w:rPr>
        <w:t>The Existing Affiliated Funds are investment funds each of whose investment adviser and investment sub-adviser (if any) is an Adviser and each of which would be an investment company but for Section 3(c)(7) of the Act. A list of the Existing Affiliated Funds is included on Schedule A hereto.</w:t>
      </w:r>
    </w:p>
    <w:p>
      <w:pPr>
        <w:spacing w:after="0" w:line="45"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PennantPark Proprietary Accounts</w:t>
      </w:r>
    </w:p>
    <w:p>
      <w:pPr>
        <w:spacing w:after="0" w:line="117"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The PennantPark Proprietary Accounts will hold various financial assets in a principal capacity. PennantPark has various business lines and affiliates that it may operate through wholly- or majority-owned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6" w:lineRule="exact"/>
        <w:rPr>
          <w:sz w:val="20"/>
          <w:szCs w:val="20"/>
          <w:color w:val="auto"/>
        </w:rPr>
      </w:pPr>
    </w:p>
    <w:p>
      <w:pPr>
        <w:ind w:left="424" w:right="480" w:hanging="424"/>
        <w:spacing w:after="0" w:line="282" w:lineRule="auto"/>
        <w:tabs>
          <w:tab w:leader="none" w:pos="424"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“wholly-owned subsidiary” of a person is as defined in Section 2(a)(43) of the Act and means a company 95% or more of the outstanding voting securities of which are owned by such person.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6" w:name="page7"/>
    <w:bookmarkEnd w:id="6"/>
    <w:p>
      <w:pPr>
        <w:ind w:left="424" w:hanging="424"/>
        <w:spacing w:after="0"/>
        <w:tabs>
          <w:tab w:leader="none" w:pos="42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 REQUESTED</w:t>
      </w:r>
    </w:p>
    <w:p>
      <w:pPr>
        <w:spacing w:after="0" w:line="121"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Applicants respectfully request an Order of the Commission under Sections 17(d) and 57(i) and Rule 17d-1 thereunder to permit, subject to the terms and Conditions set forth below in this Application, a Regulated Fund and one or more other Regulated Funds and/or one or more Affiliated Funds to enter into Co-Investment Transactions with each other.</w:t>
      </w:r>
    </w:p>
    <w:p>
      <w:pPr>
        <w:spacing w:after="0" w:line="176" w:lineRule="exact"/>
        <w:rPr>
          <w:sz w:val="20"/>
          <w:szCs w:val="20"/>
          <w:color w:val="auto"/>
        </w:rPr>
      </w:pPr>
    </w:p>
    <w:p>
      <w:pPr>
        <w:ind w:left="4" w:right="220" w:firstLine="440"/>
        <w:spacing w:after="0" w:line="255" w:lineRule="auto"/>
        <w:rPr>
          <w:sz w:val="20"/>
          <w:szCs w:val="20"/>
          <w:color w:val="auto"/>
        </w:rPr>
      </w:pPr>
      <w:r>
        <w:rPr>
          <w:rFonts w:ascii="Times New Roman" w:cs="Times New Roman" w:eastAsia="Times New Roman" w:hAnsi="Times New Roman"/>
          <w:sz w:val="18"/>
          <w:szCs w:val="18"/>
          <w:color w:val="auto"/>
        </w:rPr>
        <w:t>The Regulated Funds and the Affiliated Funds seek relief to enter into Co-Investment Transactions because such Co-Investment Transactions would otherwise be prohibited by either or both of Section 17(d) or Section 57(a)(4) and the Rules under the Act without an exemptive order from the Commission. This Application seeks relief in order to (i) enable the Regulated Funds and Affiliated Funds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and the Affiliated Funds to avoid the significant legal and other expenses that would be incurred in preparing such individual applications.</w:t>
      </w:r>
    </w:p>
    <w:p>
      <w:pPr>
        <w:spacing w:after="0" w:line="94"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11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Applicants include PennantPark, which manages the Existing Regulated Funds and Existing Affiliated Funds, with aggregate assets under management of approximately $3.5 billion as of December 31, 2020. PennantPark manages the assets entrusted to it by its clients in accordance with its fiduciary duty to those clients and, in the case of the Existing Regulated Funds, the Act.</w:t>
      </w:r>
    </w:p>
    <w:p>
      <w:pPr>
        <w:spacing w:after="0" w:line="176" w:lineRule="exact"/>
        <w:rPr>
          <w:sz w:val="20"/>
          <w:szCs w:val="20"/>
          <w:color w:val="auto"/>
        </w:rPr>
      </w:pPr>
    </w:p>
    <w:p>
      <w:pPr>
        <w:jc w:val="both"/>
        <w:ind w:left="4" w:right="340" w:firstLine="440"/>
        <w:spacing w:after="0" w:line="261" w:lineRule="auto"/>
        <w:rPr>
          <w:sz w:val="20"/>
          <w:szCs w:val="20"/>
          <w:color w:val="auto"/>
        </w:rPr>
      </w:pPr>
      <w:r>
        <w:rPr>
          <w:rFonts w:ascii="Times New Roman" w:cs="Times New Roman" w:eastAsia="Times New Roman" w:hAnsi="Times New Roman"/>
          <w:sz w:val="18"/>
          <w:szCs w:val="18"/>
          <w:color w:val="auto"/>
        </w:rPr>
        <w:t>PennantPark has established rigorous processes for allocating initial investment opportunities, opportunities for subsequent investments in an issuer and dispositions of securities holdings reasonably designed to treat all clients fairly and equitably.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85"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Investment Process</w:t>
      </w:r>
    </w:p>
    <w:p>
      <w:pPr>
        <w:spacing w:after="0" w:line="117" w:lineRule="exact"/>
        <w:rPr>
          <w:sz w:val="20"/>
          <w:szCs w:val="20"/>
          <w:color w:val="auto"/>
        </w:rPr>
      </w:pPr>
    </w:p>
    <w:p>
      <w:pPr>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81" w:lineRule="exact"/>
        <w:rPr>
          <w:sz w:val="20"/>
          <w:szCs w:val="20"/>
          <w:color w:val="auto"/>
        </w:rPr>
      </w:pPr>
    </w:p>
    <w:p>
      <w:pPr>
        <w:ind w:left="964" w:hanging="532"/>
        <w:spacing w:after="0"/>
        <w:tabs>
          <w:tab w:leader="none" w:pos="9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Consideration of Investment Opportunities</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Opportunities for Potential Co-Investment Transactions may arise when investment advisory personnel of an Adviser become aware of investment opportunities that may be appropriate for a Regulated Fund and one or more other Regulated Funds and/or one or more Affiliated Funds. If the requested Order is granted, the Advisers will establish, maintain and implement policies and procedures reasonably designed to ensure that, when such opportunities arise, the Advisers to the relevant Regulated Funds are promptly notified and receive the same information about the opportunity as any other Advisers considering the opportunity for their clients. In particular, consistent with Condition 1, if a Potential Co-Investment Transaction falls within the then-current Objectives and Strategies and any Board-Established Criteria of a Regulated Fund, the policies and procedures will require that the Adviser to such Regulated Fund receive sufficient information to allow such Adviser’s investment committee to make its independent determination and recommendations under Conditions 1, 2(a), 6, 7, 8 and 9 (as applicable).</w:t>
      </w:r>
      <w:r>
        <w:rPr>
          <w:rFonts w:ascii="Times New Roman" w:cs="Times New Roman" w:eastAsia="Times New Roman" w:hAnsi="Times New Roman"/>
          <w:sz w:val="15"/>
          <w:szCs w:val="15"/>
          <w:color w:val="auto"/>
        </w:rPr>
        <w:t>10</w:t>
      </w:r>
      <w:r>
        <w:rPr>
          <w:rFonts w:ascii="Times New Roman" w:cs="Times New Roman" w:eastAsia="Times New Roman" w:hAnsi="Times New Roman"/>
          <w:sz w:val="18"/>
          <w:szCs w:val="18"/>
          <w:color w:val="auto"/>
        </w:rPr>
        <w:t xml:space="preserve"> In addition, the policies and procedures will specify the individuals or roles responsible for carrying out the policies and procedures, including ensuring that the Advisers receive such information. After receiving notification of a Potential Co-Investment Transaction under Condition 1(a), the Adviser to each applicable Regulated Fund will then make an independent determination of the appropriateness of the investment for the Regulated Fund in light of the Regulated Fund’s then-current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424" w:right="260" w:hanging="424"/>
        <w:spacing w:after="0" w:line="256" w:lineRule="auto"/>
        <w:tabs>
          <w:tab w:leader="none" w:pos="424"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Representatives from each Adviser to a Regulated Fund are members of each investment committee or otherwise entitled to participate in each meeting of any investment committee that is expected to approve or reject recommended investment opportunities falling within its Regulated Funds’ Objectives and Strategies and Board-Established Criteria. Accordingly, the policies and procedures may provide, for example, that an Adviser will receive the information required under Condition 1 in conjunction with its representatives’ participation in the relevant investment committee’s meetings. The allocation memorandum for each Potential Co-Investment Transaction will document the recommendations by the investment committee.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7" w:name="page8"/>
    <w:bookmarkEnd w:id="7"/>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are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Regulated Fund or Affiliated Funds.</w:t>
      </w:r>
    </w:p>
    <w:p>
      <w:pPr>
        <w:spacing w:after="0" w:line="78" w:lineRule="exact"/>
        <w:rPr>
          <w:sz w:val="20"/>
          <w:szCs w:val="20"/>
          <w:color w:val="auto"/>
        </w:rPr>
      </w:pPr>
    </w:p>
    <w:p>
      <w:pPr>
        <w:ind w:left="964" w:hanging="532"/>
        <w:spacing w:after="0"/>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Order Placement and Allocation</w:t>
      </w:r>
    </w:p>
    <w:p>
      <w:pPr>
        <w:spacing w:after="0" w:line="225" w:lineRule="exact"/>
        <w:rPr>
          <w:sz w:val="20"/>
          <w:szCs w:val="20"/>
          <w:color w:val="auto"/>
        </w:rPr>
      </w:pPr>
    </w:p>
    <w:p>
      <w:pPr>
        <w:ind w:left="4" w:right="7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the Adviser to a Regulated Fund deems the Regulated Fund’s participation in any Potential Co-Investment Transaction to be appropriate, it will formulate a recommendation regarding the proposed order amount for the Regulated Fund.</w:t>
      </w:r>
    </w:p>
    <w:p>
      <w:pPr>
        <w:spacing w:after="0" w:line="16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Allocation Procedure</w:t>
      </w:r>
      <w:r>
        <w:rPr>
          <w:rFonts w:ascii="Times New Roman" w:cs="Times New Roman" w:eastAsia="Times New Roman" w:hAnsi="Times New Roman"/>
          <w:sz w:val="18"/>
          <w:szCs w:val="18"/>
          <w:color w:val="auto"/>
        </w:rPr>
        <w:t>. For each Regulated Fund and Affiliated Fund whose Adviser recommends participating in a Potential Co-Investment Transaction, such Adviser’s investment committee will approve an investment amount to be allocated to each Regulated Fund and/or Affiliated Fund participating in the Potential Co-Investment Transaction. Prior to the External Submission (as defined below), each proposed order amount may be reviewed and adjusted, in accordance with the applicable Adviser’s written allocation policies and procedures, by the applicable Adviser’s investment committee.</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The order of a Regulated Fund or Affiliated Fund resulting from this process is referred to as its “</w:t>
      </w:r>
      <w:r>
        <w:rPr>
          <w:rFonts w:ascii="Times New Roman" w:cs="Times New Roman" w:eastAsia="Times New Roman" w:hAnsi="Times New Roman"/>
          <w:sz w:val="18"/>
          <w:szCs w:val="18"/>
          <w:b w:val="1"/>
          <w:bCs w:val="1"/>
          <w:i w:val="1"/>
          <w:iCs w:val="1"/>
          <w:color w:val="auto"/>
        </w:rPr>
        <w:t>Internal Order</w:t>
      </w:r>
      <w:r>
        <w:rPr>
          <w:rFonts w:ascii="Times New Roman" w:cs="Times New Roman" w:eastAsia="Times New Roman" w:hAnsi="Times New Roman"/>
          <w:sz w:val="18"/>
          <w:szCs w:val="18"/>
          <w:color w:val="auto"/>
        </w:rPr>
        <w:t>”. The Internal Order will be submitted for approval by the Required Majority of any participating Regulated Funds in accordance with the Conditions and as discussed in section III.A.1.c. below.</w:t>
      </w:r>
    </w:p>
    <w:p>
      <w:pPr>
        <w:spacing w:after="0" w:line="18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If the aggregate Internal Orders for a Potential Co-Investment Transaction do not exceed the size of the investment opportunity immediately prior to the submission of the orders to the underwriter, broker, dealer or issuer, as applicable (the “</w:t>
      </w:r>
      <w:r>
        <w:rPr>
          <w:rFonts w:ascii="Times New Roman" w:cs="Times New Roman" w:eastAsia="Times New Roman" w:hAnsi="Times New Roman"/>
          <w:sz w:val="18"/>
          <w:szCs w:val="18"/>
          <w:b w:val="1"/>
          <w:bCs w:val="1"/>
          <w:i w:val="1"/>
          <w:iCs w:val="1"/>
          <w:color w:val="auto"/>
        </w:rPr>
        <w:t>External Submission</w:t>
      </w:r>
      <w:r>
        <w:rPr>
          <w:rFonts w:ascii="Times New Roman" w:cs="Times New Roman" w:eastAsia="Times New Roman" w:hAnsi="Times New Roman"/>
          <w:sz w:val="18"/>
          <w:szCs w:val="18"/>
          <w:color w:val="auto"/>
        </w:rPr>
        <w:t>”),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pro rata on the basis of the size of the Internal Orders.</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If, subsequent to such External Submission, the size of the opportunity is increased or 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The Board of the Regulated Fund will then either approve or disapprove of the investment opportunity in accordance with Condition 2, 6, 7, 8 or 9,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4"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reason for any such adjustment to a proposed order amount will be documented in writing and preserved in the records of each Adviser</w:t>
      </w:r>
    </w:p>
    <w:p>
      <w:pPr>
        <w:spacing w:after="0" w:line="27" w:lineRule="exact"/>
        <w:rPr>
          <w:rFonts w:ascii="Times New Roman" w:cs="Times New Roman" w:eastAsia="Times New Roman" w:hAnsi="Times New Roman"/>
          <w:sz w:val="15"/>
          <w:szCs w:val="15"/>
          <w:color w:val="auto"/>
        </w:rPr>
      </w:pPr>
    </w:p>
    <w:p>
      <w:pPr>
        <w:ind w:left="424" w:hanging="424"/>
        <w:spacing w:after="0" w:line="253" w:lineRule="auto"/>
        <w:tabs>
          <w:tab w:leader="none" w:pos="424"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8" w:name="page9"/>
    <w:bookmarkEnd w:id="8"/>
    <w:p>
      <w:pPr>
        <w:ind w:left="4"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w:t>
      </w:r>
      <w:r>
        <w:rPr>
          <w:rFonts w:ascii="Times New Roman" w:cs="Times New Roman" w:eastAsia="Times New Roman" w:hAnsi="Times New Roman"/>
          <w:sz w:val="18"/>
          <w:szCs w:val="18"/>
          <w:color w:val="auto"/>
        </w:rPr>
        <w:t>. Applicants represent that the Advisers’ allocation review process is a robust process designed as part of their overall compliance policies and procedures to ensure that every client is treated fairly and that the Advisers are following their allocation policies. The entire allocation process is monitored and reviewed by the compliance team, led by the chief compliance officer, and approved by the Board of each Regulated Fund as it applies to such Regulated Fund.</w:t>
      </w:r>
    </w:p>
    <w:p>
      <w:pPr>
        <w:spacing w:after="0" w:line="85" w:lineRule="exact"/>
        <w:rPr>
          <w:sz w:val="20"/>
          <w:szCs w:val="20"/>
          <w:color w:val="auto"/>
        </w:rPr>
      </w:pPr>
    </w:p>
    <w:p>
      <w:pPr>
        <w:ind w:left="964" w:hanging="532"/>
        <w:spacing w:after="0"/>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Potential Co-Investment Transactions</w:t>
      </w:r>
    </w:p>
    <w:p>
      <w:pPr>
        <w:spacing w:after="0" w:line="11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A Regulated Fund will enter into a Potential Co-Investment Transaction with one or more other Regulated Funds and/or Affiliated Funds only if, prior to the Regulated Fund’s participation in the Potential Co-Investment Transaction, the Required Majority approves it in accordance with the Conditions of this Order.</w:t>
      </w:r>
    </w:p>
    <w:p>
      <w:pPr>
        <w:spacing w:after="0" w:line="176"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BDC Downstream Fund with an Independent Party consisting of a transaction committee or advisory committee, the individuals on the committee would possess experience and training comparable to that of the directors of the parent Regulated Fund and sufficient to permit them to make informed decisions on behalf of the applicable BDC Downstream Fund. Applicants represent that the Independent Parties of the BDC Downstream Funds would be bound (by law or by contract) by fiduciary duties comparable to those applicable to the directors of the parent Regulated Fund, including a duty to act in the best interests of their respective funds when approving transactions. These duties would apply in the case of all Potential Co-Investment Transactions, including transactions that could present a conflict of interest.</w:t>
      </w:r>
    </w:p>
    <w:p>
      <w:pPr>
        <w:spacing w:after="0" w:line="187"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Further, Applicants believe that the existence of differing routes of approval between the BDC Downstream Funds and other Regulated Funds would not result in Applicants investing through the BDC Downstream Funds in order to avoid obtaining the approval of a Regulated Fund’s Board. Each Regulated Fund and BDC Downstream Fund has its own Objectives and Strategies and may have its own Board-Established Criteria, the implementation of which depends on the specific circumstances of the entity’s portfolio at the time an investment opportunity is presented. As noted above, consistent with its duty to its BDC Downstream Funds, the Independent Party must reach a conclusion on whether or not an investment is in the best interest of its relevant BDC Downstream Funds. An investment made solely to avoid an approval requirement at the Regulated Fund level should not be viewed as in the best interest of the entity in question and, thus, would not be approved by the Independent Party.</w:t>
      </w:r>
    </w:p>
    <w:p>
      <w:pPr>
        <w:spacing w:after="0" w:line="189"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Pro Rata Dispositions (defined below) and Pro Rata Follow-On Investments (defined below) without obtaining prior approval of the Required Majority in accordance with Conditions 6(c)(i) and 8(b)(i).</w:t>
      </w:r>
    </w:p>
    <w:p>
      <w:pPr>
        <w:spacing w:after="0" w:line="67"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Settlement</w:t>
      </w:r>
    </w:p>
    <w:p>
      <w:pPr>
        <w:spacing w:after="0" w:line="117" w:lineRule="exact"/>
        <w:rPr>
          <w:sz w:val="20"/>
          <w:szCs w:val="20"/>
          <w:color w:val="auto"/>
        </w:rPr>
      </w:pPr>
    </w:p>
    <w:p>
      <w:pPr>
        <w:jc w:val="both"/>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business days after the settlement date for the Regulated Fund, and vice versa.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business days of each other.</w:t>
      </w:r>
    </w:p>
    <w:p>
      <w:pPr>
        <w:spacing w:after="0" w:line="93"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Follow-On Investments and Approval of Follow-On Investments</w:t>
      </w:r>
    </w:p>
    <w:p>
      <w:pPr>
        <w:spacing w:after="0" w:line="117"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the Regulated Funds and Affiliated Funds may have opportunities to make Follow-On Investments in an issuer in which a Regulated Fund and one or more other Regulated Funds and/or Affiliated Funds previously have invested and continue to hold an investment. If the Order is granted, Follow-On Investments will be made in a manner that, over time, is fair and equitable to all of the Regulated Funds and Affiliated Funds and in accordance with the proposed procedures discussed above and with the Conditions of the Order. Affiliated Funds would be permitted to participate in Follow-On Investments in issuers in which at least one Regulated Fund is invested but such Affiliated Funds are not invested. The relief would not permit Follow-On Investments by Regulated Funds that are not invested in the issuer.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9" w:name="page10"/>
    <w:bookmarkEnd w:id="9"/>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Order would divide Follow-On Investments into two categories depending on whether the Regulated Funds and Affiliated Funds holding investments in the issuer previously participated in a Co-Investment Transaction with respect to the issuer and continue to hold any securities acquired in a Co-Investment Transaction for that issuer. If such Regulated Funds and Affiliated Funds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“Standard Review Follow-Ons.”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“Enhanced Review Follow-Ons.”</w:t>
      </w:r>
    </w:p>
    <w:p>
      <w:pPr>
        <w:spacing w:after="0" w:line="97" w:lineRule="exact"/>
        <w:rPr>
          <w:sz w:val="20"/>
          <w:szCs w:val="20"/>
          <w:color w:val="auto"/>
        </w:rPr>
      </w:pPr>
    </w:p>
    <w:p>
      <w:pPr>
        <w:ind w:left="964" w:hanging="532"/>
        <w:spacing w:after="0"/>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Follow-Ons</w:t>
      </w:r>
    </w:p>
    <w:p>
      <w:pPr>
        <w:spacing w:after="0" w:line="117"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Follow-On without obtaining the prior approval of the Required Majority if it is (i) a Pro Rata Follow-On Investment or (ii) a Non-Negotiated Follow-On Investment.</w:t>
      </w:r>
    </w:p>
    <w:p>
      <w:pPr>
        <w:spacing w:after="0" w:line="158"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Follow-On Investment</w:t>
      </w:r>
      <w:r>
        <w:rPr>
          <w:rFonts w:ascii="Times New Roman" w:cs="Times New Roman" w:eastAsia="Times New Roman" w:hAnsi="Times New Roman"/>
          <w:sz w:val="18"/>
          <w:szCs w:val="18"/>
          <w:color w:val="auto"/>
        </w:rPr>
        <w:t>” is a Follow-On Investment (i) in which the participation of each Affiliated Fund and each Regulated Fund is proportionate to its outstanding investments in the issuer or security, as appropriate,</w:t>
      </w:r>
      <w:r>
        <w:rPr>
          <w:rFonts w:ascii="Times New Roman" w:cs="Times New Roman" w:eastAsia="Times New Roman" w:hAnsi="Times New Roman"/>
          <w:sz w:val="15"/>
          <w:szCs w:val="15"/>
          <w:color w:val="auto"/>
        </w:rPr>
        <w:t>13</w:t>
      </w:r>
      <w:r>
        <w:rPr>
          <w:rFonts w:ascii="Times New Roman" w:cs="Times New Roman" w:eastAsia="Times New Roman" w:hAnsi="Times New Roman"/>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their approval of Pro Rata Follow-On Investments, in which case all subsequent Follow-On Investments will be submitted to the Regulated Fund’s Eligible Directors in accordance with Condition 8(c).</w:t>
      </w:r>
    </w:p>
    <w:p>
      <w:pPr>
        <w:spacing w:after="0" w:line="182" w:lineRule="exact"/>
        <w:rPr>
          <w:sz w:val="20"/>
          <w:szCs w:val="20"/>
          <w:color w:val="auto"/>
        </w:rPr>
      </w:pPr>
    </w:p>
    <w:p>
      <w:pPr>
        <w:jc w:val="both"/>
        <w:ind w:left="4" w:right="500" w:firstLine="440"/>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Non-Negotiated Follow-On Investment</w:t>
      </w:r>
      <w:r>
        <w:rPr>
          <w:rFonts w:ascii="Times New Roman" w:cs="Times New Roman" w:eastAsia="Times New Roman" w:hAnsi="Times New Roman"/>
          <w:sz w:val="18"/>
          <w:szCs w:val="18"/>
          <w:color w:val="auto"/>
        </w:rPr>
        <w:t>” is a Follow-On Investment in which a Regulated Fund participates together with one or more Affiliated Funds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75"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Applicants believe that these Pro Rata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81" w:lineRule="exact"/>
        <w:rPr>
          <w:sz w:val="20"/>
          <w:szCs w:val="20"/>
          <w:color w:val="auto"/>
        </w:rPr>
      </w:pPr>
    </w:p>
    <w:p>
      <w:pPr>
        <w:ind w:left="964" w:hanging="532"/>
        <w:spacing w:after="0"/>
        <w:tabs>
          <w:tab w:leader="none" w:pos="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11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One or more Regulated Funds and/or one or more Affiliated Funds holding Pre-Boarding Investments may have the opportunity to make a Follow-On Investment that is a Potential Co-Investment Transaction in an issuer with respect to which they have not previously participated in a Co-Investment Transaction. In these cases, the Regulated Funds and Affiliated Funds may rely on the Order to make such Follow-On Investment subject to the requirements of Condition 9. These enhanced review requirements constitute an “onboarding process” whereby Regulated Funds and Affiliated Funds may utilize the Order to participate in Co-Investment Transactions even though they already hold Pre-Boarding Investments. For a given issuer, the participating Regulated Funds and Affiliated Funds need to comply with these requirements only for the first Co-Investment Transaction. Subsequent Co-Investment Transactions with respect to the issuer will be governed by Condition 8 under the standard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1"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26, below.</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0" w:name="page11"/>
    <w:bookmarkEnd w:id="10"/>
    <w:p>
      <w:pPr>
        <w:ind w:left="424" w:hanging="424"/>
        <w:spacing w:after="0"/>
        <w:tabs>
          <w:tab w:leader="none" w:pos="4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Regulated Funds and Affiliated Funds may be presented with opportunities to sell, exchange or otherwise dispose of securities in a transaction that would be prohibited by Rule 17d-1 or Section 57(a)(4), as applicable. If the Order is granted, such Dispositions will be made in a manner that, over time, is fair and equitable to all of the Regulated and Affiliated Funds and in accordance with procedures set forth in the proposed Conditions to the Order and discussed below.</w:t>
      </w:r>
    </w:p>
    <w:p>
      <w:pPr>
        <w:spacing w:after="0" w:line="180"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The Order would divide these Dispositions into two categories: (i) if the Regulated Funds and Affiliated Funds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“Standard Review Dispositions”)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“Enhanced Review Dispositions”) would be subject to the same “onboarding process” discussed in Section III.A.4.b. below, and governed by Condition 7.</w:t>
      </w:r>
    </w:p>
    <w:p>
      <w:pPr>
        <w:spacing w:after="0" w:line="94" w:lineRule="exact"/>
        <w:rPr>
          <w:sz w:val="20"/>
          <w:szCs w:val="20"/>
          <w:color w:val="auto"/>
        </w:rPr>
      </w:pPr>
    </w:p>
    <w:p>
      <w:pPr>
        <w:ind w:left="964" w:hanging="532"/>
        <w:spacing w:after="0"/>
        <w:tabs>
          <w:tab w:leader="none" w:pos="9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Dispositions</w:t>
      </w:r>
    </w:p>
    <w:p>
      <w:pPr>
        <w:spacing w:after="0" w:line="117"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62" w:lineRule="exact"/>
        <w:rPr>
          <w:sz w:val="20"/>
          <w:szCs w:val="20"/>
          <w:color w:val="auto"/>
        </w:rPr>
      </w:pPr>
    </w:p>
    <w:p>
      <w:pPr>
        <w:jc w:val="center"/>
        <w:ind w:right="56"/>
        <w:spacing w:after="0" w:line="312" w:lineRule="auto"/>
        <w:rPr>
          <w:sz w:val="20"/>
          <w:szCs w:val="20"/>
          <w:color w:val="auto"/>
        </w:rPr>
      </w:pPr>
      <w:r>
        <w:rPr>
          <w:rFonts w:ascii="Times New Roman" w:cs="Times New Roman" w:eastAsia="Times New Roman" w:hAnsi="Times New Roman"/>
          <w:sz w:val="17"/>
          <w:szCs w:val="17"/>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36"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Disposition</w:t>
      </w:r>
      <w:r>
        <w:rPr>
          <w:rFonts w:ascii="Times New Roman" w:cs="Times New Roman" w:eastAsia="Times New Roman" w:hAnsi="Times New Roman"/>
          <w:sz w:val="18"/>
          <w:szCs w:val="18"/>
          <w:color w:val="auto"/>
        </w:rPr>
        <w:t>” is a Disposition (i) in which the participation of each Affiliated Fund and each Regulated Fund is proportionate to its outstanding investment in the security subject to Disposition immediately preceding the Disposition;</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83"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the case of a Tradable Security, approval of the required majority is not required for the Disposition if: (x) the Disposition is not to the issuer or any affiliated person of the issuer;</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and (y) the security is sold for cash in a transaction in which the only term negotiated by or on behalf of the participating Regulated Funds and Affiliated Funds is price. Pro Rata Dispositions and Dispositions of a Tradable Security remain subject to the Board’s periodic review in accordance with Condition 10.</w:t>
      </w:r>
    </w:p>
    <w:p>
      <w:pPr>
        <w:spacing w:after="0" w:line="85" w:lineRule="exact"/>
        <w:rPr>
          <w:sz w:val="20"/>
          <w:szCs w:val="20"/>
          <w:color w:val="auto"/>
        </w:rPr>
      </w:pPr>
    </w:p>
    <w:p>
      <w:pPr>
        <w:ind w:left="964" w:hanging="532"/>
        <w:spacing w:after="0"/>
        <w:tabs>
          <w:tab w:leader="none" w:pos="9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p>
    <w:p>
      <w:pPr>
        <w:spacing w:after="0" w:line="117"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One or more Regulated Funds and one or more Affiliated Funds that have not previously participated in a Co-Investment Transaction with respect to an issuer may have the opportunity to make a Disposition of Pre-Boarding Investments in a Potential Co-Investment Transaction. In these cases, the Regulated Funds and Affiliated Funds may rely on the Order to make such Disposition subject to the requirements of Condition 7. As discussed above, with respect to investment in a given issuer, the participating Regulated Funds and Affiliated Funds need only complete the onboarding process for the first Co-Investment Transaction, which may be an Enhanced Review Follow-On or an Enhanced Review Disposition.</w:t>
      </w:r>
      <w:r>
        <w:rPr>
          <w:rFonts w:ascii="Times New Roman" w:cs="Times New Roman" w:eastAsia="Times New Roman" w:hAnsi="Times New Roman"/>
          <w:sz w:val="15"/>
          <w:szCs w:val="15"/>
          <w:color w:val="auto"/>
        </w:rPr>
        <w:t>16</w:t>
      </w:r>
      <w:r>
        <w:rPr>
          <w:rFonts w:ascii="Times New Roman" w:cs="Times New Roman" w:eastAsia="Times New Roman" w:hAnsi="Times New Roman"/>
          <w:sz w:val="18"/>
          <w:szCs w:val="18"/>
          <w:color w:val="auto"/>
        </w:rPr>
        <w:t xml:space="preserve"> Subsequent Co-Investment Transactions with respect to the issuer will be governed by Condition 6 or 8 under the standard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319405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24, below.</w:t>
      </w:r>
    </w:p>
    <w:p>
      <w:pPr>
        <w:spacing w:after="0" w:line="29" w:lineRule="exact"/>
        <w:rPr>
          <w:rFonts w:ascii="Times New Roman" w:cs="Times New Roman" w:eastAsia="Times New Roman" w:hAnsi="Times New Roman"/>
          <w:sz w:val="15"/>
          <w:szCs w:val="15"/>
          <w:color w:val="auto"/>
        </w:rPr>
      </w:pPr>
    </w:p>
    <w:p>
      <w:pPr>
        <w:ind w:left="424" w:right="80" w:hanging="424"/>
        <w:spacing w:after="0" w:line="250" w:lineRule="auto"/>
        <w:tabs>
          <w:tab w:leader="none" w:pos="424"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(i.e., cash) to pay down long term liabilities.</w:t>
      </w:r>
    </w:p>
    <w:p>
      <w:pPr>
        <w:spacing w:after="0" w:line="1" w:lineRule="exact"/>
        <w:rPr>
          <w:rFonts w:ascii="Times New Roman" w:cs="Times New Roman" w:eastAsia="Times New Roman" w:hAnsi="Times New Roman"/>
          <w:sz w:val="15"/>
          <w:szCs w:val="15"/>
          <w:color w:val="auto"/>
        </w:rPr>
      </w:pPr>
    </w:p>
    <w:p>
      <w:pPr>
        <w:ind w:left="424" w:right="40" w:hanging="424"/>
        <w:spacing w:after="0" w:line="252" w:lineRule="auto"/>
        <w:tabs>
          <w:tab w:leader="none" w:pos="424"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(i.e.,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1" w:name="page12"/>
    <w:bookmarkEnd w:id="11"/>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Wholly-Owned Investment Subs</w:t>
      </w:r>
    </w:p>
    <w:p>
      <w:pPr>
        <w:spacing w:after="0" w:line="117" w:lineRule="exact"/>
        <w:rPr>
          <w:sz w:val="20"/>
          <w:szCs w:val="20"/>
          <w:color w:val="auto"/>
        </w:rPr>
      </w:pPr>
    </w:p>
    <w:p>
      <w:pPr>
        <w:ind w:left="4" w:firstLine="440"/>
        <w:spacing w:after="0" w:line="277" w:lineRule="auto"/>
        <w:rPr>
          <w:sz w:val="20"/>
          <w:szCs w:val="20"/>
          <w:color w:val="auto"/>
        </w:rPr>
      </w:pPr>
      <w:r>
        <w:rPr>
          <w:rFonts w:ascii="Times New Roman" w:cs="Times New Roman" w:eastAsia="Times New Roman" w:hAnsi="Times New Roman"/>
          <w:sz w:val="17"/>
          <w:szCs w:val="17"/>
          <w:color w:val="auto"/>
        </w:rPr>
        <w:t>A Regulated Fund may, from time to time, form one or more Wholly-Owned Investment Subs. Such a subsidiary may be prohibited from investing in a Co-Investment Transaction with a Regulated Fund (other than its parent) or any Affiliated Fund because it would be a company controlled by its parent Regulated Fund for purposes of Section 57(a)(4) and Rule 17d-1. Applicants request that each Wholly-Owned Investment Sub be permitted to participate in Co-Investment Transactions in lieu of the applicable parent Regulated Fund that owns it and that the Wholly-Owned Investment Sub’s participation in any such transaction be treated, for purposes of the Order, as though the parent Regulated Fund were participating directly.</w:t>
      </w:r>
    </w:p>
    <w:p>
      <w:pPr>
        <w:spacing w:after="0" w:line="168"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Applicants note that an entity could not be both a Wholly-Owned Investment Sub and a BDC Downstream Fund because, in the former case, the Board of the parent Regulated Fund makes any determinations regarding the subsidiary’s investments while, in the latter case, the Independent Party makes such determinations.</w:t>
      </w:r>
    </w:p>
    <w:p>
      <w:pPr>
        <w:spacing w:after="0" w:line="81"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p>
    <w:p>
      <w:pPr>
        <w:spacing w:after="0" w:line="131"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17(d) and Section 57(a)(4)</w:t>
      </w:r>
    </w:p>
    <w:p>
      <w:pPr>
        <w:spacing w:after="0" w:line="11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80" w:lineRule="exact"/>
        <w:rPr>
          <w:sz w:val="20"/>
          <w:szCs w:val="20"/>
          <w:color w:val="auto"/>
        </w:rPr>
      </w:pPr>
    </w:p>
    <w:p>
      <w:pPr>
        <w:ind w:left="4" w:right="100" w:firstLine="440"/>
        <w:spacing w:after="0" w:line="312" w:lineRule="auto"/>
        <w:rPr>
          <w:sz w:val="20"/>
          <w:szCs w:val="20"/>
          <w:color w:val="auto"/>
        </w:rPr>
      </w:pPr>
      <w:r>
        <w:rPr>
          <w:rFonts w:ascii="Times New Roman" w:cs="Times New Roman" w:eastAsia="Times New Roman" w:hAnsi="Times New Roman"/>
          <w:sz w:val="17"/>
          <w:szCs w:val="17"/>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45" w:lineRule="exact"/>
        <w:rPr>
          <w:sz w:val="20"/>
          <w:szCs w:val="20"/>
          <w:color w:val="auto"/>
        </w:rPr>
      </w:pPr>
    </w:p>
    <w:p>
      <w:pPr>
        <w:ind w:left="964" w:right="200" w:hanging="424"/>
        <w:spacing w:after="0" w:line="282" w:lineRule="auto"/>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officer, employee, or member of an advisory board of a BDC or any person (other than the BDC itself) who is an affiliated person of the forgoing pursuant to Section 2(a)(3)(C); or</w:t>
      </w:r>
    </w:p>
    <w:p>
      <w:pPr>
        <w:spacing w:after="0" w:line="67" w:lineRule="exact"/>
        <w:rPr>
          <w:rFonts w:ascii="Times New Roman" w:cs="Times New Roman" w:eastAsia="Times New Roman" w:hAnsi="Times New Roman"/>
          <w:sz w:val="18"/>
          <w:szCs w:val="18"/>
          <w:color w:val="auto"/>
        </w:rPr>
      </w:pPr>
    </w:p>
    <w:p>
      <w:pPr>
        <w:ind w:left="964" w:right="20" w:hanging="424"/>
        <w:spacing w:after="0" w:line="261" w:lineRule="auto"/>
        <w:tabs>
          <w:tab w:leader="none" w:pos="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w:t>
      </w:r>
      <w:r>
        <w:rPr>
          <w:rFonts w:ascii="Times New Roman" w:cs="Times New Roman" w:eastAsia="Times New Roman" w:hAnsi="Times New Roman"/>
          <w:sz w:val="15"/>
          <w:szCs w:val="15"/>
          <w:color w:val="auto"/>
        </w:rPr>
        <w:t>17</w:t>
      </w:r>
      <w:r>
        <w:rPr>
          <w:rFonts w:ascii="Times New Roman" w:cs="Times New Roman" w:eastAsia="Times New Roman" w:hAnsi="Times New Roman"/>
          <w:sz w:val="18"/>
          <w:szCs w:val="18"/>
          <w:color w:val="auto"/>
        </w:rPr>
        <w:t xml:space="preserve"> or any person who is an affiliated person of any of the forgoing within the meaning of Section 2(a)(3)(C) or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40" w:hanging="424"/>
        <w:spacing w:after="0" w:line="266" w:lineRule="auto"/>
        <w:tabs>
          <w:tab w:leader="none" w:pos="424"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Also excluded from this category by Rule 57b-1 is any person who would otherwise be included (a) solely because that person is directly or indirectly controlled by a business development company, or (b) solely because that person is, within the meaning of Section 2(a)(3)(C) or (D), an affiliated person of a person described in (a) above.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2" w:name="page13"/>
    <w:bookmarkEnd w:id="12"/>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foregoing application of Section 57(a)(4), BDC Downstream Funds on the one hand and other Regulated Funds and Affiliated Funds on the other, may not co-invest absent an exemptive order because the BDC Downstream Funds are controlled by a BDC and the Affiliated Funds and other Regulated Funds are included in Section 57(b).</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Times New Roman" w:cs="Times New Roman" w:eastAsia="Times New Roman" w:hAnsi="Times New Roman"/>
          <w:sz w:val="15"/>
          <w:szCs w:val="15"/>
          <w:color w:val="auto"/>
        </w:rPr>
        <w:t>18</w:t>
      </w:r>
    </w:p>
    <w:p>
      <w:pPr>
        <w:spacing w:after="0" w:line="97"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17d-1</w:t>
      </w:r>
    </w:p>
    <w:p>
      <w:pPr>
        <w:spacing w:after="0" w:line="117"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7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3"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4" w:lineRule="exact"/>
        <w:rPr>
          <w:sz w:val="20"/>
          <w:szCs w:val="20"/>
          <w:color w:val="auto"/>
        </w:rPr>
      </w:pPr>
    </w:p>
    <w:p>
      <w:pPr>
        <w:ind w:left="424" w:right="120" w:hanging="424"/>
        <w:spacing w:after="0" w:line="258" w:lineRule="auto"/>
        <w:tabs>
          <w:tab w:leader="none" w:pos="424"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SEC Rel. No. IC-4697 (Sept. 8, 1966) (“For purposes of Section 2(a)(3)(C), affiliation based upon control would depend on the facts of the given situation, including such factors as extensive interlocks of officers, directors or key personnel, common investment advisers or underwriters, etc.”); Lazard Freres Asset Management, SEC No-Action Letter (pub. avail. Jan. 10, 1997) (“While, in some circumstances, the nature of an advisory relationship may give an adviser control over its client’s management or policies, whether an investment company and another entity are under common control is a factual question…”).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3" w:name="page14"/>
    <w:bookmarkEnd w:id="13"/>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Times New Roman" w:cs="Times New Roman" w:eastAsia="Times New Roman" w:hAnsi="Times New Roman"/>
          <w:sz w:val="15"/>
          <w:szCs w:val="15"/>
          <w:color w:val="auto"/>
        </w:rPr>
        <w:t>19</w:t>
      </w:r>
      <w:r>
        <w:rPr>
          <w:rFonts w:ascii="Times New Roman" w:cs="Times New Roman" w:eastAsia="Times New Roman" w:hAnsi="Times New Roman"/>
          <w:sz w:val="18"/>
          <w:szCs w:val="18"/>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w:t>
      </w:r>
    </w:p>
    <w:p>
      <w:pPr>
        <w:spacing w:after="0" w:line="2"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participants.”</w:t>
      </w:r>
      <w:r>
        <w:rPr>
          <w:rFonts w:ascii="Times New Roman" w:cs="Times New Roman" w:eastAsia="Times New Roman" w:hAnsi="Times New Roman"/>
          <w:sz w:val="15"/>
          <w:szCs w:val="15"/>
          <w:color w:val="auto"/>
        </w:rPr>
        <w:t>20</w:t>
      </w:r>
      <w:r>
        <w:rPr>
          <w:rFonts w:ascii="Times New Roman" w:cs="Times New Roman" w:eastAsia="Times New Roman" w:hAnsi="Times New Roman"/>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Times New Roman" w:cs="Times New Roman" w:eastAsia="Times New Roman" w:hAnsi="Times New Roman"/>
          <w:sz w:val="15"/>
          <w:szCs w:val="15"/>
          <w:color w:val="auto"/>
        </w:rPr>
        <w:t>21</w:t>
      </w:r>
    </w:p>
    <w:p>
      <w:pPr>
        <w:spacing w:after="0" w:line="18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67"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Need for Relief</w:t>
      </w:r>
    </w:p>
    <w:p>
      <w:pPr>
        <w:spacing w:after="0" w:line="11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Co-Investment Transactions are prohibited by Rule 17d-1 and either or both of Sections 17(d) and 57(a)(4) without a prior exemptive order of the Commission, to the extent that the Affiliated Funds and the Regulated Funds participating in such transactions fall within the category of persons described by Rule 17d-1, Section 17(d) and/or Section 57(b), as modified by Rule 57b-1 thereunder, as applicable, vis-à-vis each participating Regulated Fund.</w:t>
      </w:r>
    </w:p>
    <w:p>
      <w:pPr>
        <w:spacing w:after="0" w:line="180"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Each of the participating Regulated Funds and Affiliated Funds may be deemed to be affiliated persons vis-à-vis a Regulated Fund within the meaning of Section 2(a)(3) by reason of common control because (i) an Adviser, that is either PennantPark or an entity that controls, is controlled by, or under common control with PennantPark, will be the investment adviser (and sub-adviser, if any) to each of the Regulated Funds and the Affiliated Funds; (ii) PennantPark is the Adviser to, and may be deemed to control, the Existing Regulated Funds; and an Adviser will be the investment adviser and sub-adviser to, and may be deemed to control, any Future Regulated Fund; (iii) each BDC Downstream Fund will be deemed to be controlled by its BDC parent and/or its BDC parent’s Adviser; and (iv) the Advisers are under common control. Thus, each Regulated Fund and each Affiliated Fund may be deemed to be a person related to a Regulated Fund or BDC Downstream Fund in a manner described by Section 57(b) (or Section 17(d) in the case of Regulated Funds that are registered under the Act) and therefore would be prohibited by Section 57(a)(4) (or Section 17(d) in the case of Regulated Funds that are registered under the Act) and Rule 17d-1 from participating in Co-Investment Transactions without the Order.</w:t>
      </w:r>
    </w:p>
    <w:p>
      <w:pPr>
        <w:spacing w:after="0" w:line="188"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Further, because the BDC Downstream Funds and Wholly-Owned Investment Subs are controlled by the Regulated Funds, the BDC Downstream Funds and Wholly-Owned Investment Subs are subject to Section 57(a)(4) (or Section 17(d) in the case of Wholly-Owned Investment Subs controlled by Regulated Funds that are registered under the Act), and thus also subject to the provisions of Rule 17d-1, and therefore would be prohibited from participating in Co-Investment Transactions without the Order.</w:t>
      </w:r>
    </w:p>
    <w:p>
      <w:pPr>
        <w:spacing w:after="0" w:line="1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the PennantPark Proprietary Accounts will be controlled by an Adviser or its affiliates and, therefore, may be under common control with the Existing Regulated Funds, PennantPark, and any Future Regulated Funds, the PennantPark Proprietary Accounts could be deemed to be persons related to the Regulated Funds (or a company controlled by the Regulated Funds) in a manner described by Section 17(d) or 57(b) and also prohibited from participating in the Co-Investment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See Protecting Investors: A Half-Century of Investment Company Regulation</w:t>
      </w:r>
      <w:r>
        <w:rPr>
          <w:rFonts w:ascii="Times New Roman" w:cs="Times New Roman" w:eastAsia="Times New Roman" w:hAnsi="Times New Roman"/>
          <w:sz w:val="18"/>
          <w:szCs w:val="18"/>
          <w:color w:val="auto"/>
        </w:rPr>
        <w:t>, 1504 Fed. Sec. L. Rep., Extra Edition (May 29, 1992) at 488 et seq.</w:t>
      </w:r>
    </w:p>
    <w:p>
      <w:pPr>
        <w:spacing w:after="0" w:line="27"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Securities and Exchange Commission v. Talley Industries, Inc</w:t>
      </w:r>
      <w:r>
        <w:rPr>
          <w:rFonts w:ascii="Times New Roman" w:cs="Times New Roman" w:eastAsia="Times New Roman" w:hAnsi="Times New Roman"/>
          <w:sz w:val="18"/>
          <w:szCs w:val="18"/>
          <w:color w:val="auto"/>
        </w:rPr>
        <w:t xml:space="preserve">., 399 F.2d 396, 405 (2d Cir. 1968), </w:t>
      </w:r>
      <w:r>
        <w:rPr>
          <w:rFonts w:ascii="Times New Roman" w:cs="Times New Roman" w:eastAsia="Times New Roman" w:hAnsi="Times New Roman"/>
          <w:sz w:val="18"/>
          <w:szCs w:val="18"/>
          <w:u w:val="single" w:color="auto"/>
          <w:color w:val="auto"/>
        </w:rPr>
        <w:t>cert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denied</w:t>
      </w:r>
      <w:r>
        <w:rPr>
          <w:rFonts w:ascii="Times New Roman" w:cs="Times New Roman" w:eastAsia="Times New Roman" w:hAnsi="Times New Roman"/>
          <w:sz w:val="18"/>
          <w:szCs w:val="18"/>
          <w:color w:val="auto"/>
        </w:rPr>
        <w:t>, 393 U.S. 1015 (1969).</w:t>
      </w:r>
    </w:p>
    <w:p>
      <w:pPr>
        <w:spacing w:after="0" w:line="9" w:lineRule="exact"/>
        <w:rPr>
          <w:rFonts w:ascii="Times New Roman" w:cs="Times New Roman" w:eastAsia="Times New Roman" w:hAnsi="Times New Roman"/>
          <w:sz w:val="15"/>
          <w:szCs w:val="15"/>
          <w:color w:val="auto"/>
        </w:rPr>
      </w:pPr>
    </w:p>
    <w:p>
      <w:pPr>
        <w:ind w:left="424" w:hanging="424"/>
        <w:spacing w:after="0"/>
        <w:tabs>
          <w:tab w:leader="none" w:pos="424"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H.Rep. No. 96-1341, 96th Cong., 2d Sess. 45 (1980) reprinted in 1980 U.S.C.C.A.N. 4827.</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4" w:name="page15"/>
    <w:bookmarkEnd w:id="14"/>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Precedents</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Commission has issued numerous exemptive orders under the Act permitting registered investment companies and BDCs to co-invest with affiliated persons, including precedents involving proprietary accounts.</w:t>
      </w:r>
      <w:r>
        <w:rPr>
          <w:rFonts w:ascii="Times New Roman" w:cs="Times New Roman" w:eastAsia="Times New Roman" w:hAnsi="Times New Roman"/>
          <w:sz w:val="15"/>
          <w:szCs w:val="15"/>
          <w:color w:val="auto"/>
        </w:rPr>
        <w:t>22</w:t>
      </w:r>
      <w:r>
        <w:rPr>
          <w:rFonts w:ascii="Times New Roman" w:cs="Times New Roman" w:eastAsia="Times New Roman" w:hAnsi="Times New Roman"/>
          <w:sz w:val="18"/>
          <w:szCs w:val="18"/>
          <w:color w:val="auto"/>
        </w:rPr>
        <w:t xml:space="preserve"> The relief requested in this Application with respect to Follow-On Investments is based on the temporary relief granted by the Commission on April 8, 2020.</w:t>
      </w:r>
      <w:r>
        <w:rPr>
          <w:rFonts w:ascii="Times New Roman" w:cs="Times New Roman" w:eastAsia="Times New Roman" w:hAnsi="Times New Roman"/>
          <w:sz w:val="15"/>
          <w:szCs w:val="15"/>
          <w:color w:val="auto"/>
        </w:rPr>
        <w:t>23</w:t>
      </w:r>
      <w:r>
        <w:rPr>
          <w:rFonts w:ascii="Times New Roman" w:cs="Times New Roman" w:eastAsia="Times New Roman" w:hAnsi="Times New Roman"/>
          <w:sz w:val="18"/>
          <w:szCs w:val="18"/>
          <w:color w:val="auto"/>
        </w:rPr>
        <w:t xml:space="preserve"> Applicants submit that the allocation procedures set forth in the Conditions for relief are consistent with and expand the range of investor protections found in the orders we cite.</w:t>
      </w:r>
    </w:p>
    <w:p>
      <w:pPr>
        <w:spacing w:after="0" w:line="32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STATEMENT IN SUPPORT OF RELIEF REQUESTED</w:t>
      </w:r>
    </w:p>
    <w:p>
      <w:pPr>
        <w:spacing w:after="0" w:line="121"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3"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85"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Potential Benefits</w:t>
      </w:r>
    </w:p>
    <w:p>
      <w:pPr>
        <w:spacing w:after="0" w:line="11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76" w:lineRule="exact"/>
        <w:rPr>
          <w:sz w:val="20"/>
          <w:szCs w:val="20"/>
          <w:color w:val="auto"/>
        </w:rPr>
      </w:pPr>
    </w:p>
    <w:p>
      <w:pPr>
        <w:ind w:left="4" w:right="220" w:firstLine="440"/>
        <w:spacing w:after="0" w:line="272" w:lineRule="auto"/>
        <w:rPr>
          <w:sz w:val="20"/>
          <w:szCs w:val="20"/>
          <w:color w:val="auto"/>
        </w:rPr>
      </w:pPr>
      <w:r>
        <w:rPr>
          <w:rFonts w:ascii="Times New Roman" w:cs="Times New Roman" w:eastAsia="Times New Roman" w:hAnsi="Times New Roman"/>
          <w:sz w:val="17"/>
          <w:szCs w:val="17"/>
          <w:color w:val="auto"/>
        </w:rPr>
        <w:t>Each Regulated Fund and its shareholders will benefit from the ability to participate in Co-Investment Transactions. The Board, including the Required Majority, of each Regulated Fund has determined that it is in the best interests of the Regulated Fund to participate in Co-Investment Transactions because, among other matters, (i) the Regulated Fund should be able to participate in a larger number and greater variety of transactions;</w:t>
      </w:r>
    </w:p>
    <w:p>
      <w:pPr>
        <w:spacing w:after="0" w:line="2" w:lineRule="exact"/>
        <w:rPr>
          <w:sz w:val="20"/>
          <w:szCs w:val="20"/>
          <w:color w:val="auto"/>
        </w:rPr>
      </w:pPr>
    </w:p>
    <w:p>
      <w:pPr>
        <w:ind w:left="4" w:right="60" w:hanging="4"/>
        <w:spacing w:after="0" w:line="252"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 (v) the Regulated Fund should be able to obtain greater attention and better deal flow from investment bankers and others who act as sources of investments; and (vi) the Conditions are fair to the Regulated Funds and their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6" w:lineRule="exact"/>
        <w:rPr>
          <w:sz w:val="20"/>
          <w:szCs w:val="20"/>
          <w:color w:val="auto"/>
        </w:rPr>
      </w:pPr>
    </w:p>
    <w:p>
      <w:pPr>
        <w:ind w:left="424" w:right="80" w:hanging="424"/>
        <w:spacing w:after="0" w:line="255" w:lineRule="auto"/>
        <w:tabs>
          <w:tab w:leader="none" w:pos="42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See, e.g.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Bain Capital Specialty Finance Inc., et al</w:t>
      </w:r>
      <w:r>
        <w:rPr>
          <w:rFonts w:ascii="Times New Roman" w:cs="Times New Roman" w:eastAsia="Times New Roman" w:hAnsi="Times New Roman"/>
          <w:sz w:val="18"/>
          <w:szCs w:val="18"/>
          <w:color w:val="auto"/>
        </w:rPr>
        <w:t xml:space="preserve">., (File No. 812-15222) Release No. 34422 (November 22, 2021) (notice), Release No. 34445 (December 20, 2021) (order), </w:t>
      </w:r>
      <w:r>
        <w:rPr>
          <w:rFonts w:ascii="Times New Roman" w:cs="Times New Roman" w:eastAsia="Times New Roman" w:hAnsi="Times New Roman"/>
          <w:sz w:val="18"/>
          <w:szCs w:val="18"/>
          <w:u w:val="single" w:color="auto"/>
          <w:color w:val="auto"/>
        </w:rPr>
        <w:t>Blackstone/GSO Floating Rate Enhanced Income Fund, et al.</w:t>
      </w:r>
      <w:r>
        <w:rPr>
          <w:rFonts w:ascii="Times New Roman" w:cs="Times New Roman" w:eastAsia="Times New Roman" w:hAnsi="Times New Roman"/>
          <w:sz w:val="18"/>
          <w:szCs w:val="18"/>
          <w:color w:val="auto"/>
        </w:rPr>
        <w:t xml:space="preserve">, (File No. 812-15135) Release No. 34412 (November 1, 2021) (notice), Release No. 34427 (November 29, 2021) (order), </w:t>
      </w:r>
      <w:r>
        <w:rPr>
          <w:rFonts w:ascii="Times New Roman" w:cs="Times New Roman" w:eastAsia="Times New Roman" w:hAnsi="Times New Roman"/>
          <w:sz w:val="18"/>
          <w:szCs w:val="18"/>
          <w:u w:val="single" w:color="auto"/>
          <w:color w:val="auto"/>
        </w:rPr>
        <w:t>Pomona Investment Fund, et al.</w:t>
      </w:r>
      <w:r>
        <w:rPr>
          <w:rFonts w:ascii="Times New Roman" w:cs="Times New Roman" w:eastAsia="Times New Roman" w:hAnsi="Times New Roman"/>
          <w:sz w:val="18"/>
          <w:szCs w:val="18"/>
          <w:color w:val="auto"/>
        </w:rPr>
        <w:t xml:space="preserve">, (File No. 812-15218) Release No. 34374 (September 14, 2021) (notice), Release No. 34398 (October 13, 2021) (order), </w:t>
      </w:r>
      <w:r>
        <w:rPr>
          <w:rFonts w:ascii="Times New Roman" w:cs="Times New Roman" w:eastAsia="Times New Roman" w:hAnsi="Times New Roman"/>
          <w:sz w:val="18"/>
          <w:szCs w:val="18"/>
          <w:u w:val="single" w:color="auto"/>
          <w:color w:val="auto"/>
        </w:rPr>
        <w:t>Commonwealth Credit Partners BDC I, Inc. et al.</w:t>
      </w:r>
      <w:r>
        <w:rPr>
          <w:rFonts w:ascii="Times New Roman" w:cs="Times New Roman" w:eastAsia="Times New Roman" w:hAnsi="Times New Roman"/>
          <w:sz w:val="18"/>
          <w:szCs w:val="18"/>
          <w:color w:val="auto"/>
        </w:rPr>
        <w:t>, (File</w:t>
      </w:r>
    </w:p>
    <w:p>
      <w:pPr>
        <w:spacing w:after="0" w:line="2" w:lineRule="exact"/>
        <w:rPr>
          <w:rFonts w:ascii="Times New Roman" w:cs="Times New Roman" w:eastAsia="Times New Roman" w:hAnsi="Times New Roman"/>
          <w:sz w:val="15"/>
          <w:szCs w:val="15"/>
          <w:color w:val="auto"/>
        </w:rPr>
      </w:pPr>
    </w:p>
    <w:p>
      <w:pPr>
        <w:ind w:left="424" w:right="280"/>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No. 812-15195) Release No. 34325 (July 7, 2021) (notice), Release No. 34347 (October 2, 2021) (order), </w:t>
      </w:r>
      <w:r>
        <w:rPr>
          <w:rFonts w:ascii="Times New Roman" w:cs="Times New Roman" w:eastAsia="Times New Roman" w:hAnsi="Times New Roman"/>
          <w:sz w:val="18"/>
          <w:szCs w:val="18"/>
          <w:u w:val="single" w:color="auto"/>
          <w:color w:val="auto"/>
        </w:rPr>
        <w:t>First Eagle Alternative Capital BDC,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 et al.</w:t>
      </w:r>
      <w:r>
        <w:rPr>
          <w:rFonts w:ascii="Times New Roman" w:cs="Times New Roman" w:eastAsia="Times New Roman" w:hAnsi="Times New Roman"/>
          <w:sz w:val="18"/>
          <w:szCs w:val="18"/>
          <w:color w:val="auto"/>
        </w:rPr>
        <w:t>, (File No. 812-15151) Release No. 34301 (June 6, 2021) (notice), Release No. 34300 (July 13, 2021) (order).</w:t>
      </w:r>
    </w:p>
    <w:p>
      <w:pPr>
        <w:ind w:left="424" w:right="380" w:hanging="424"/>
        <w:spacing w:after="0" w:line="260" w:lineRule="auto"/>
        <w:tabs>
          <w:tab w:leader="none" w:pos="42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u w:val="single" w:color="auto"/>
          <w:color w:val="auto"/>
        </w:rPr>
        <w:t>BDC Temporary Exemptive Order</w:t>
      </w:r>
      <w:r>
        <w:rPr>
          <w:rFonts w:ascii="Times New Roman" w:cs="Times New Roman" w:eastAsia="Times New Roman" w:hAnsi="Times New Roman"/>
          <w:sz w:val="18"/>
          <w:szCs w:val="18"/>
          <w:color w:val="auto"/>
        </w:rPr>
        <w:t>, Investment Company Act Rel. Nos. 33837 (April 8, 2020) (order) (extension granted January 5, 2021 and further extension granted April 22, 2021).</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5" w:name="page16"/>
    <w:bookmarkEnd w:id="15"/>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Protective Representations and Conditions</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92"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Applicants believe that participation by the Regulated Funds in Pro Rata Follow-On Investments and Pro Rata Dispositions, as provided in Conditions 6(c)(i) 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87"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Applicants also believe that the participation by the Regulated Funds in Non-Negotiated Follow-On Investments and in Dispositions of Tradable Securities without the approval of a Required Majority is consistent with the provisions, policies and purposes of the Act as there is no opportunity for overreaching by affiliates.</w:t>
      </w:r>
    </w:p>
    <w:p>
      <w:pPr>
        <w:spacing w:after="0" w:line="176" w:lineRule="exact"/>
        <w:rPr>
          <w:sz w:val="20"/>
          <w:szCs w:val="20"/>
          <w:color w:val="auto"/>
        </w:rPr>
      </w:pPr>
    </w:p>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t>If an Adviser, its principals, or any person controlling, controlled by, or under common control with the Adviser or its principals, and the Affiliated Funds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own in the aggregate more than 25 percent of the outstanding voting shares of a Regulated Fund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then the Holders will vote such Shares as required under Condition 15.</w:t>
      </w:r>
    </w:p>
    <w:p>
      <w:pPr>
        <w:spacing w:after="0" w:line="176" w:lineRule="exact"/>
        <w:rPr>
          <w:sz w:val="20"/>
          <w:szCs w:val="20"/>
          <w:color w:val="auto"/>
        </w:rPr>
      </w:pPr>
    </w:p>
    <w:p>
      <w:pPr>
        <w:ind w:left="4" w:right="60" w:firstLine="440"/>
        <w:spacing w:after="0" w:line="281" w:lineRule="auto"/>
        <w:rPr>
          <w:sz w:val="20"/>
          <w:szCs w:val="20"/>
          <w:color w:val="auto"/>
        </w:rPr>
      </w:pPr>
      <w:r>
        <w:rPr>
          <w:rFonts w:ascii="Times New Roman" w:cs="Times New Roman" w:eastAsia="Times New Roman" w:hAnsi="Times New Roman"/>
          <w:sz w:val="17"/>
          <w:szCs w:val="17"/>
          <w:color w:val="auto"/>
        </w:rPr>
        <w:t>Applicants believe that this condition will ensure that the Independent Directors will act independently in evaluating Co-Investment Transactions, because the ability of an Adviser or its principals to influence the Independent Directors by a suggestion, explicit or implied, that the Independent Directors can be removed if desired by the Holders will be limited significantly. The Independent Directors shall evaluate and approve any independent party, taking into account its qualifications, reputation for independence, cost to the shareholders, and other factors that they deem relevant.</w:t>
      </w:r>
    </w:p>
    <w:p>
      <w:pPr>
        <w:spacing w:after="0" w:line="164"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In sum,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w:t>
      </w:r>
    </w:p>
    <w:p>
      <w:pPr>
        <w:spacing w:after="0" w:line="1" w:lineRule="exact"/>
        <w:rPr>
          <w:sz w:val="20"/>
          <w:szCs w:val="20"/>
          <w:color w:val="auto"/>
        </w:rPr>
      </w:pPr>
    </w:p>
    <w:p>
      <w:pPr>
        <w:ind w:left="4" w:right="120" w:hanging="4"/>
        <w:spacing w:after="0" w:line="255"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330"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Applicants agree that any Order granting the requested relief shall be subject to the following Conditions:</w:t>
      </w:r>
    </w:p>
    <w:p>
      <w:pPr>
        <w:spacing w:after="0" w:line="131"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Referral of Potential Co-Investment Transactions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6" w:name="page17"/>
    <w:bookmarkEnd w:id="16"/>
    <w:p>
      <w:pPr>
        <w:ind w:left="4" w:right="300" w:firstLine="436"/>
        <w:spacing w:after="0" w:line="266" w:lineRule="auto"/>
        <w:tabs>
          <w:tab w:leader="none" w:pos="68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75" w:lineRule="exact"/>
        <w:rPr>
          <w:rFonts w:ascii="Times New Roman" w:cs="Times New Roman" w:eastAsia="Times New Roman" w:hAnsi="Times New Roman"/>
          <w:sz w:val="18"/>
          <w:szCs w:val="18"/>
          <w:color w:val="auto"/>
        </w:rPr>
      </w:pPr>
    </w:p>
    <w:p>
      <w:pPr>
        <w:ind w:left="4" w:right="60" w:firstLine="436"/>
        <w:spacing w:after="0" w:line="312" w:lineRule="auto"/>
        <w:tabs>
          <w:tab w:leader="none" w:pos="69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45"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Approvals of Co-Investment Transactions</w:t>
      </w:r>
    </w:p>
    <w:p>
      <w:pPr>
        <w:spacing w:after="0" w:line="117"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8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recommended by the Advisers to be invested in the Potential Co-Investment Transaction by the participating</w:t>
      </w:r>
    </w:p>
    <w:p>
      <w:pPr>
        <w:spacing w:after="0" w:line="27"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Funds and any participating Affiliated Funds, collectively, exceeds the amount of the investment opportunity, the investment opportunity will be allocated among them pro rata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80" w:lineRule="exact"/>
        <w:rPr>
          <w:rFonts w:ascii="Times New Roman" w:cs="Times New Roman" w:eastAsia="Times New Roman" w:hAnsi="Times New Roman"/>
          <w:sz w:val="18"/>
          <w:szCs w:val="18"/>
          <w:color w:val="auto"/>
        </w:rPr>
      </w:pPr>
    </w:p>
    <w:p>
      <w:pPr>
        <w:ind w:left="4" w:right="120" w:firstLine="436"/>
        <w:spacing w:after="0" w:line="258" w:lineRule="auto"/>
        <w:tabs>
          <w:tab w:leader="none" w:pos="68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and each participating Affiliated Fund) to the Eligible Directors of its participating Regulated Fund(s) for their consideration. A Regulated Fund will enter into a Co-Investment Transaction with one or more other Regulated Funds or Affiliated Funds only if, prior to the Regulated Fund’s participation in the Potential Co-Investment Transaction, a Required Majority concludes that:</w:t>
      </w:r>
    </w:p>
    <w:p>
      <w:pPr>
        <w:spacing w:after="0" w:line="75" w:lineRule="exact"/>
        <w:rPr>
          <w:rFonts w:ascii="Times New Roman" w:cs="Times New Roman" w:eastAsia="Times New Roman" w:hAnsi="Times New Roman"/>
          <w:sz w:val="18"/>
          <w:szCs w:val="18"/>
          <w:color w:val="auto"/>
        </w:rPr>
      </w:pPr>
    </w:p>
    <w:p>
      <w:pPr>
        <w:ind w:left="444" w:right="200" w:firstLine="419"/>
        <w:spacing w:after="0" w:line="282" w:lineRule="auto"/>
        <w:tabs>
          <w:tab w:leader="none" w:pos="108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4"/>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Regulated Fund’s equity holders; and</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4"/>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Fund’s then-current Objectives and Strategies;</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61" w:lineRule="auto"/>
        <w:tabs>
          <w:tab w:leader="none" w:pos="118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any other Regulated Fund(s) or Affiliated Fund(s) would not disadvantage the Regulated Fund, and participation by the Regulated Fund would not be on a basis different from, or less advantageous than, that of any other Regulated Fund(s) or Affiliated</w:t>
      </w:r>
    </w:p>
    <w:p>
      <w:pPr>
        <w:ind w:left="44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Fund(s) participating in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Required Majority shall not be prohibited from reaching the conclusions required by this Condition 2(c)(iii) if:</w:t>
      </w:r>
    </w:p>
    <w:p>
      <w:pPr>
        <w:spacing w:after="0" w:line="181" w:lineRule="exact"/>
        <w:rPr>
          <w:rFonts w:ascii="Times New Roman" w:cs="Times New Roman" w:eastAsia="Times New Roman" w:hAnsi="Times New Roman"/>
          <w:sz w:val="18"/>
          <w:szCs w:val="18"/>
          <w:color w:val="auto"/>
        </w:rPr>
      </w:pPr>
    </w:p>
    <w:p>
      <w:pPr>
        <w:ind w:left="984" w:right="40" w:firstLine="408"/>
        <w:spacing w:after="0" w:line="258" w:lineRule="auto"/>
        <w:tabs>
          <w:tab w:leader="none" w:pos="1680" w:val="left"/>
        </w:tabs>
        <w:numPr>
          <w:ilvl w:val="3"/>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for another Regulated Fund or an Affiliated Fund in a Co-Investment Transaction is later than the settlement date for the Regulated Fund by no more than ten business days or earlier than the settlement date for the Regulated Fund by no more than ten business days, in either case, so long as: (x) the date on which the commitment of the Affiliated Funds and Regulated Funds is made is the same; and (y) the earliest settlement date and the latest settlement date of any Affiliated Fund or Regulated Fund participating in the transaction will occur within ten business days of each other; or</w:t>
      </w:r>
    </w:p>
    <w:p>
      <w:pPr>
        <w:spacing w:after="0" w:line="75" w:lineRule="exact"/>
        <w:rPr>
          <w:rFonts w:ascii="Times New Roman" w:cs="Times New Roman" w:eastAsia="Times New Roman" w:hAnsi="Times New Roman"/>
          <w:sz w:val="18"/>
          <w:szCs w:val="18"/>
          <w:color w:val="auto"/>
        </w:rPr>
      </w:pPr>
    </w:p>
    <w:p>
      <w:pPr>
        <w:ind w:left="984" w:right="20" w:firstLine="408"/>
        <w:spacing w:after="0" w:line="266" w:lineRule="auto"/>
        <w:tabs>
          <w:tab w:leader="none" w:pos="1670" w:val="left"/>
        </w:tabs>
        <w:numPr>
          <w:ilvl w:val="3"/>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17" w:name="page18"/>
    <w:bookmarkEnd w:id="17"/>
    <w:p>
      <w:pPr>
        <w:ind w:left="98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(who may, in turn, share their portion with their affiliated persons) and any participating Regulated Fund(s) in accordance with the amount of each such party’s investment; and</w:t>
      </w:r>
    </w:p>
    <w:p>
      <w:pPr>
        <w:spacing w:after="0" w:line="80" w:lineRule="exact"/>
        <w:rPr>
          <w:sz w:val="20"/>
          <w:szCs w:val="20"/>
          <w:color w:val="auto"/>
        </w:rPr>
      </w:pPr>
    </w:p>
    <w:p>
      <w:pPr>
        <w:ind w:left="444" w:firstLine="419"/>
        <w:spacing w:after="0" w:line="257" w:lineRule="auto"/>
        <w:tabs>
          <w:tab w:leader="none" w:pos="1172"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investment by the Regulated Fund will not involve compensation, remuneration or a direct or indirect</w:t>
      </w:r>
      <w:r>
        <w:rPr>
          <w:rFonts w:ascii="Times New Roman" w:cs="Times New Roman" w:eastAsia="Times New Roman" w:hAnsi="Times New Roman"/>
          <w:sz w:val="15"/>
          <w:szCs w:val="15"/>
          <w:color w:val="auto"/>
        </w:rPr>
        <w:t>24</w:t>
      </w:r>
      <w:r>
        <w:rPr>
          <w:rFonts w:ascii="Times New Roman" w:cs="Times New Roman" w:eastAsia="Times New Roman" w:hAnsi="Times New Roman"/>
          <w:sz w:val="18"/>
          <w:szCs w:val="18"/>
          <w:color w:val="auto"/>
        </w:rPr>
        <w:t xml:space="preserve"> financial benefit to the Advisers, any other Regulated Fund, the Affiliated Funds or any affiliated person of any of them (other than the parties to the Co-Investment Transaction), except (A) to the extent permitted by Condition 14, (B) to the extent permitted by Section 17(e) or 57(k), as applicable,</w:t>
      </w:r>
    </w:p>
    <w:p>
      <w:pPr>
        <w:spacing w:after="0" w:line="1" w:lineRule="exact"/>
        <w:rPr>
          <w:rFonts w:ascii="Times New Roman" w:cs="Times New Roman" w:eastAsia="Times New Roman" w:hAnsi="Times New Roman"/>
          <w:sz w:val="18"/>
          <w:szCs w:val="18"/>
          <w:color w:val="auto"/>
        </w:rPr>
      </w:pPr>
    </w:p>
    <w:p>
      <w:pPr>
        <w:ind w:left="444" w:right="100" w:hanging="4"/>
        <w:spacing w:after="0" w:line="260" w:lineRule="auto"/>
        <w:tabs>
          <w:tab w:leader="none" w:pos="72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as a result of an interest in the securities issued by one of the parties to the Co-Investment Transaction, or (D) in the case of fees or other compensation described in Condition 2(c)(iii)(B)(z).</w:t>
      </w:r>
    </w:p>
    <w:p>
      <w:pPr>
        <w:spacing w:after="0" w:line="8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Decline.</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 has the right to decline to participate in any Potential Co-Investment Transaction or to invest less than the amount proposed.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Limitation.</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Except for Follow-On Investments made in accordance with Conditions 8 and 9 below,</w:t>
      </w:r>
      <w:r>
        <w:rPr>
          <w:rFonts w:ascii="Times New Roman" w:cs="Times New Roman" w:eastAsia="Times New Roman" w:hAnsi="Times New Roman"/>
          <w:sz w:val="14"/>
          <w:szCs w:val="14"/>
          <w:color w:val="auto"/>
        </w:rPr>
        <w:t>25</w:t>
      </w:r>
      <w:r>
        <w:rPr>
          <w:rFonts w:ascii="Times New Roman" w:cs="Times New Roman" w:eastAsia="Times New Roman" w:hAnsi="Times New Roman"/>
          <w:sz w:val="17"/>
          <w:szCs w:val="17"/>
          <w:color w:val="auto"/>
        </w:rPr>
        <w:t xml:space="preserve"> a Regulated Fund will not invest in reliance on the Order</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any issuer in which a Related Party has an investment.</w:t>
      </w:r>
    </w:p>
    <w:p>
      <w:pPr>
        <w:spacing w:after="0" w:line="110"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 and Conditions</w:t>
      </w:r>
      <w:r>
        <w:rPr>
          <w:rFonts w:ascii="Times New Roman" w:cs="Times New Roman" w:eastAsia="Times New Roman" w:hAnsi="Times New Roman"/>
          <w:sz w:val="18"/>
          <w:szCs w:val="18"/>
          <w:i w:val="1"/>
          <w:iCs w:val="1"/>
          <w:u w:val="single" w:color="auto"/>
          <w:color w:val="auto"/>
        </w:rPr>
        <w:t>.</w:t>
      </w:r>
    </w:p>
    <w:p>
      <w:pPr>
        <w:spacing w:after="0" w:line="11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and Affiliated Fund and (ii) the earliest settlement date and the latest settlement date of any participating Regulated Fund or Affiliated Fund will occur as close in time as practicable and in no event more than ten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94"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Dispositions.</w:t>
      </w:r>
    </w:p>
    <w:p>
      <w:pPr>
        <w:spacing w:after="0" w:line="115" w:lineRule="exact"/>
        <w:rPr>
          <w:rFonts w:ascii="Times New Roman" w:cs="Times New Roman" w:eastAsia="Times New Roman" w:hAnsi="Times New Roman"/>
          <w:sz w:val="18"/>
          <w:szCs w:val="18"/>
          <w:color w:val="auto"/>
        </w:rPr>
      </w:pPr>
    </w:p>
    <w:p>
      <w:pPr>
        <w:ind w:left="4" w:right="320" w:firstLine="436"/>
        <w:spacing w:after="0" w:line="284" w:lineRule="auto"/>
        <w:tabs>
          <w:tab w:leader="none" w:pos="68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elects to sell, exchange or otherwise dispose of an interest in a security and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Funds and Affiliated Funds have previously participated in a Co-Investment Transaction with respect to the issuer,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715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6" w:lineRule="exact"/>
        <w:rPr>
          <w:sz w:val="20"/>
          <w:szCs w:val="20"/>
          <w:color w:val="auto"/>
        </w:rPr>
      </w:pPr>
    </w:p>
    <w:p>
      <w:pPr>
        <w:ind w:left="424" w:right="380" w:hanging="424"/>
        <w:spacing w:after="0" w:line="261" w:lineRule="auto"/>
        <w:tabs>
          <w:tab w:leader="none" w:pos="424"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ind w:left="424" w:hanging="424"/>
        <w:spacing w:after="0"/>
        <w:tabs>
          <w:tab w:leader="none" w:pos="424"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exception applies only to Follow-On Investments by a Regulated Fund in issuers in which that Regulated Fund already holds investments.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18" w:name="page19"/>
    <w:bookmarkEnd w:id="18"/>
    <w:p>
      <w:pPr>
        <w:ind w:left="444" w:right="300" w:firstLine="419"/>
        <w:spacing w:after="0" w:line="282" w:lineRule="auto"/>
        <w:tabs>
          <w:tab w:leader="none" w:pos="1082"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Adviser to such Regulated Fund or Affiliated Fund</w:t>
      </w:r>
      <w:r>
        <w:rPr>
          <w:rFonts w:ascii="Times New Roman" w:cs="Times New Roman" w:eastAsia="Times New Roman" w:hAnsi="Times New Roman"/>
          <w:sz w:val="15"/>
          <w:szCs w:val="15"/>
          <w:color w:val="auto"/>
        </w:rPr>
        <w:t>26</w:t>
      </w:r>
      <w:r>
        <w:rPr>
          <w:rFonts w:ascii="Times New Roman" w:cs="Times New Roman" w:eastAsia="Times New Roman" w:hAnsi="Times New Roman"/>
          <w:sz w:val="18"/>
          <w:szCs w:val="18"/>
          <w:color w:val="auto"/>
        </w:rPr>
        <w:t xml:space="preserve"> will notify each Regulated Fund that holds an investment in the issuer of the proposed Disposition at the earliest practical time; and</w:t>
      </w:r>
    </w:p>
    <w:p>
      <w:pPr>
        <w:spacing w:after="0" w:line="53" w:lineRule="exact"/>
        <w:rPr>
          <w:rFonts w:ascii="Times New Roman" w:cs="Times New Roman" w:eastAsia="Times New Roman" w:hAnsi="Times New Roman"/>
          <w:sz w:val="18"/>
          <w:szCs w:val="18"/>
          <w:color w:val="auto"/>
        </w:rPr>
      </w:pPr>
    </w:p>
    <w:p>
      <w:pPr>
        <w:ind w:left="444" w:right="200" w:firstLine="419"/>
        <w:spacing w:after="0" w:line="282" w:lineRule="auto"/>
        <w:tabs>
          <w:tab w:leader="none" w:pos="1132"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participation by such Regulated Fund in the Disposition.</w:t>
      </w:r>
    </w:p>
    <w:p>
      <w:pPr>
        <w:spacing w:after="0" w:line="51" w:lineRule="exact"/>
        <w:rPr>
          <w:rFonts w:ascii="Times New Roman" w:cs="Times New Roman" w:eastAsia="Times New Roman" w:hAnsi="Times New Roman"/>
          <w:sz w:val="18"/>
          <w:szCs w:val="18"/>
          <w:color w:val="auto"/>
        </w:rPr>
      </w:pPr>
    </w:p>
    <w:p>
      <w:pPr>
        <w:ind w:left="4" w:right="200" w:firstLine="436"/>
        <w:spacing w:after="0" w:line="284" w:lineRule="auto"/>
        <w:tabs>
          <w:tab w:leader="none" w:pos="69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 and Conditions</w:t>
      </w:r>
      <w:r>
        <w:rPr>
          <w:rFonts w:ascii="Times New Roman" w:cs="Times New Roman" w:eastAsia="Times New Roman" w:hAnsi="Times New Roman"/>
          <w:sz w:val="18"/>
          <w:szCs w:val="18"/>
          <w:color w:val="auto"/>
        </w:rPr>
        <w:t>. Each Regulated Fund will have the right to participate in such Disposition on a proportionate basis, at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on the same terms and conditions as those applicable to the Affiliated Funds and any other Regulated Fund.</w:t>
      </w:r>
    </w:p>
    <w:p>
      <w:pPr>
        <w:spacing w:after="0" w:line="50" w:lineRule="exact"/>
        <w:rPr>
          <w:rFonts w:ascii="Times New Roman" w:cs="Times New Roman" w:eastAsia="Times New Roman" w:hAnsi="Times New Roman"/>
          <w:sz w:val="18"/>
          <w:szCs w:val="18"/>
          <w:color w:val="auto"/>
        </w:rPr>
      </w:pPr>
    </w:p>
    <w:p>
      <w:pPr>
        <w:ind w:left="4" w:right="540" w:firstLine="436"/>
        <w:spacing w:after="0" w:line="284" w:lineRule="auto"/>
        <w:tabs>
          <w:tab w:leader="none" w:pos="68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Board Approval Required</w:t>
      </w:r>
      <w:r>
        <w:rPr>
          <w:rFonts w:ascii="Times New Roman" w:cs="Times New Roman" w:eastAsia="Times New Roman" w:hAnsi="Times New Roman"/>
          <w:sz w:val="18"/>
          <w:szCs w:val="18"/>
          <w:color w:val="auto"/>
        </w:rPr>
        <w:t>. A Regulated Fund may participate in such a Disposition without obtaining prior approval of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if:</w:t>
      </w:r>
    </w:p>
    <w:p>
      <w:pPr>
        <w:spacing w:after="0" w:line="52" w:lineRule="exact"/>
        <w:rPr>
          <w:rFonts w:ascii="Times New Roman" w:cs="Times New Roman" w:eastAsia="Times New Roman" w:hAnsi="Times New Roman"/>
          <w:sz w:val="18"/>
          <w:szCs w:val="18"/>
          <w:color w:val="auto"/>
        </w:rPr>
      </w:pPr>
    </w:p>
    <w:p>
      <w:pPr>
        <w:ind w:left="444" w:right="60" w:firstLine="419"/>
        <w:spacing w:after="0" w:line="258" w:lineRule="auto"/>
        <w:tabs>
          <w:tab w:leader="none" w:pos="108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participation of each Regulated Fund and Affiliated Fund in such Disposition is proportionate to its then-current holding of the security (or securities) of the issuer that is (or are) the subject of the Disposition;</w:t>
      </w:r>
      <w:r>
        <w:rPr>
          <w:rFonts w:ascii="Times New Roman" w:cs="Times New Roman" w:eastAsia="Times New Roman" w:hAnsi="Times New Roman"/>
          <w:sz w:val="15"/>
          <w:szCs w:val="15"/>
          <w:color w:val="auto"/>
        </w:rPr>
        <w:t>27</w:t>
      </w:r>
      <w:r>
        <w:rPr>
          <w:rFonts w:ascii="Times New Roman" w:cs="Times New Roman" w:eastAsia="Times New Roman" w:hAnsi="Times New Roman"/>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75"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13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is a Tradable Security and (A) the Disposition is not to the issuer or any affiliated person of the issuer; and (B) the security is sold for cash in a transaction in which the only term negotiated by or on behalf of the participating Regulated Funds and Affiliated Funds is price.</w:t>
      </w:r>
    </w:p>
    <w:p>
      <w:pPr>
        <w:spacing w:after="0" w:line="65" w:lineRule="exact"/>
        <w:rPr>
          <w:rFonts w:ascii="Times New Roman" w:cs="Times New Roman" w:eastAsia="Times New Roman" w:hAnsi="Times New Roman"/>
          <w:sz w:val="18"/>
          <w:szCs w:val="18"/>
          <w:color w:val="auto"/>
        </w:rPr>
      </w:pPr>
    </w:p>
    <w:p>
      <w:pPr>
        <w:ind w:left="4" w:firstLine="436"/>
        <w:spacing w:after="0" w:line="267" w:lineRule="auto"/>
        <w:tabs>
          <w:tab w:leader="none" w:pos="69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Eligible Directors and the Regulated Fund will participate in such Disposition solely to the extent that a Required Majority determines that it is in the Regulated Fund’s best interests.</w:t>
      </w:r>
    </w:p>
    <w:p>
      <w:pPr>
        <w:spacing w:after="0" w:line="7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r>
        <w:rPr>
          <w:rFonts w:ascii="Times New Roman" w:cs="Times New Roman" w:eastAsia="Times New Roman" w:hAnsi="Times New Roman"/>
          <w:sz w:val="18"/>
          <w:szCs w:val="18"/>
          <w:i w:val="1"/>
          <w:iCs w:val="1"/>
          <w:u w:val="single" w:color="auto"/>
          <w:color w:val="auto"/>
        </w:rPr>
        <w:t>.</w:t>
      </w:r>
    </w:p>
    <w:p>
      <w:pPr>
        <w:spacing w:after="0" w:line="117" w:lineRule="exact"/>
        <w:rPr>
          <w:rFonts w:ascii="Times New Roman" w:cs="Times New Roman" w:eastAsia="Times New Roman" w:hAnsi="Times New Roman"/>
          <w:sz w:val="18"/>
          <w:szCs w:val="18"/>
          <w:color w:val="auto"/>
        </w:rPr>
      </w:pPr>
    </w:p>
    <w:p>
      <w:pPr>
        <w:ind w:left="4" w:right="100" w:firstLine="436"/>
        <w:spacing w:after="0" w:line="267" w:lineRule="auto"/>
        <w:tabs>
          <w:tab w:leader="none" w:pos="68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elects to sell, exchange or otherwise dispose of a Pre-Boarding Investment in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Co-Investment Transaction and the Regulated Funds and Affiliated Funds have not previously participated in a Co-Investment Transaction with respect to the issuer:</w:t>
      </w:r>
    </w:p>
    <w:p>
      <w:pPr>
        <w:spacing w:after="0" w:line="67" w:lineRule="exact"/>
        <w:rPr>
          <w:rFonts w:ascii="Times New Roman" w:cs="Times New Roman" w:eastAsia="Times New Roman" w:hAnsi="Times New Roman"/>
          <w:sz w:val="18"/>
          <w:szCs w:val="18"/>
          <w:color w:val="auto"/>
        </w:rPr>
      </w:pPr>
    </w:p>
    <w:p>
      <w:pPr>
        <w:ind w:left="444" w:right="460" w:firstLine="419"/>
        <w:spacing w:after="0" w:line="282" w:lineRule="auto"/>
        <w:tabs>
          <w:tab w:leader="none" w:pos="1082"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such Regulated Fund or Affiliated Fund will notify each Regulated Fund that holds an investment in the issuer of the proposed Disposition at the earliest practical time;</w:t>
      </w:r>
    </w:p>
    <w:p>
      <w:pPr>
        <w:spacing w:after="0" w:line="53" w:lineRule="exact"/>
        <w:rPr>
          <w:rFonts w:ascii="Times New Roman" w:cs="Times New Roman" w:eastAsia="Times New Roman" w:hAnsi="Times New Roman"/>
          <w:sz w:val="18"/>
          <w:szCs w:val="18"/>
          <w:color w:val="auto"/>
        </w:rPr>
      </w:pPr>
    </w:p>
    <w:p>
      <w:pPr>
        <w:ind w:left="444" w:right="200" w:firstLine="419"/>
        <w:spacing w:after="0" w:line="282" w:lineRule="auto"/>
        <w:tabs>
          <w:tab w:leader="none" w:pos="1132"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participation by such Regulated Fund in the Disposition; and</w:t>
      </w:r>
    </w:p>
    <w:p>
      <w:pPr>
        <w:spacing w:after="0" w:line="53"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182"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65" w:lineRule="exact"/>
        <w:rPr>
          <w:rFonts w:ascii="Times New Roman" w:cs="Times New Roman" w:eastAsia="Times New Roman" w:hAnsi="Times New Roman"/>
          <w:sz w:val="18"/>
          <w:szCs w:val="18"/>
          <w:color w:val="auto"/>
        </w:rPr>
      </w:pPr>
    </w:p>
    <w:p>
      <w:pPr>
        <w:ind w:left="4" w:right="500" w:firstLine="436"/>
        <w:spacing w:after="0" w:line="284" w:lineRule="auto"/>
        <w:tabs>
          <w:tab w:leader="none" w:pos="69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Board Approval</w:t>
      </w:r>
      <w:r>
        <w:rPr>
          <w:rFonts w:ascii="Times New Roman" w:cs="Times New Roman" w:eastAsia="Times New Roman" w:hAnsi="Times New Roman"/>
          <w:sz w:val="18"/>
          <w:szCs w:val="18"/>
          <w:color w:val="auto"/>
        </w:rPr>
        <w:t>. The Adviser will provide its written recommendation as to the Regulated Fund’s participation to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Regulated Fund will participate in such Disposition solely to the extent that a Required Majority determines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6" w:lineRule="exact"/>
        <w:rPr>
          <w:sz w:val="20"/>
          <w:szCs w:val="20"/>
          <w:color w:val="auto"/>
        </w:rPr>
      </w:pPr>
    </w:p>
    <w:p>
      <w:pPr>
        <w:ind w:left="424" w:right="140" w:hanging="424"/>
        <w:spacing w:after="0" w:line="261" w:lineRule="auto"/>
        <w:tabs>
          <w:tab w:leader="none" w:pos="424"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Any PennantPark Proprietary Account that is not advised by an Adviser is itself deemed to be an Adviser for purposes of Conditions 6(a)(i), 7(a) (i), 8(a)(i) and 9(a)(i).</w:t>
      </w:r>
    </w:p>
    <w:p>
      <w:pPr>
        <w:ind w:left="424" w:right="660" w:hanging="424"/>
        <w:spacing w:after="0" w:line="260" w:lineRule="auto"/>
        <w:tabs>
          <w:tab w:leader="none" w:pos="424"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case of any Disposition, proportionality will be measured by each participating Regulated Fund’s and Affiliated Fund’s outstanding investment in the security in question immediately preceding the Disposition.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19" w:name="page20"/>
    <w:bookmarkEnd w:id="19"/>
    <w:p>
      <w:pPr>
        <w:ind w:left="1084" w:hanging="221"/>
        <w:spacing w:after="0"/>
        <w:tabs>
          <w:tab w:leader="none" w:pos="108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Disposition complies with Condition 2(c)(i), (ii), (iii)(A), and (iv); and</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32"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and holding of the Pre-Boarding Investments were not prohibited by Section 57 or Rule 17d-1, as applicable, and records the basis for the finding in the Board minutes.</w:t>
      </w:r>
    </w:p>
    <w:p>
      <w:pPr>
        <w:spacing w:after="0" w:line="5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Requirements: </w:t>
      </w:r>
      <w:r>
        <w:rPr>
          <w:rFonts w:ascii="Times New Roman" w:cs="Times New Roman" w:eastAsia="Times New Roman" w:hAnsi="Times New Roman"/>
          <w:sz w:val="18"/>
          <w:szCs w:val="18"/>
          <w:color w:val="auto"/>
        </w:rPr>
        <w:t>The Disposition may only be completed in reliance on the Order if:</w:t>
      </w:r>
    </w:p>
    <w:p>
      <w:pPr>
        <w:spacing w:after="0" w:line="117" w:lineRule="exact"/>
        <w:rPr>
          <w:rFonts w:ascii="Times New Roman" w:cs="Times New Roman" w:eastAsia="Times New Roman" w:hAnsi="Times New Roman"/>
          <w:sz w:val="18"/>
          <w:szCs w:val="18"/>
          <w:color w:val="auto"/>
        </w:rPr>
      </w:pPr>
    </w:p>
    <w:p>
      <w:pPr>
        <w:ind w:left="444" w:right="260" w:firstLine="419"/>
        <w:spacing w:after="0" w:line="284" w:lineRule="auto"/>
        <w:tabs>
          <w:tab w:leader="none" w:pos="108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 and Conditions</w:t>
      </w:r>
      <w:r>
        <w:rPr>
          <w:rFonts w:ascii="Times New Roman" w:cs="Times New Roman" w:eastAsia="Times New Roman" w:hAnsi="Times New Roman"/>
          <w:sz w:val="18"/>
          <w:szCs w:val="18"/>
          <w:color w:val="auto"/>
        </w:rPr>
        <w:t>. Each Regulated Fund has the right to participate in such Disposition on a proportionate basis, at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on the same terms and Conditions as those applicable to the Affiliated Funds and any other Regulated Fund;</w:t>
      </w:r>
    </w:p>
    <w:p>
      <w:pPr>
        <w:spacing w:after="0" w:line="50"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and Regulated Funds’ investments in the issuer are Pre-Boarding Investments;</w:t>
      </w:r>
    </w:p>
    <w:p>
      <w:pPr>
        <w:spacing w:after="0" w:line="117" w:lineRule="exact"/>
        <w:rPr>
          <w:rFonts w:ascii="Times New Roman" w:cs="Times New Roman" w:eastAsia="Times New Roman" w:hAnsi="Times New Roman"/>
          <w:sz w:val="18"/>
          <w:szCs w:val="18"/>
          <w:color w:val="auto"/>
        </w:rPr>
      </w:pPr>
    </w:p>
    <w:p>
      <w:pPr>
        <w:ind w:left="444" w:right="600" w:firstLine="419"/>
        <w:spacing w:after="0" w:line="284" w:lineRule="auto"/>
        <w:tabs>
          <w:tab w:leader="none" w:pos="118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were not prohibited by Section 57 (as modified by Rule 57b-1) or Rule 17d-1, as applicable;</w:t>
      </w:r>
    </w:p>
    <w:p>
      <w:pPr>
        <w:spacing w:after="0" w:line="50" w:lineRule="exact"/>
        <w:rPr>
          <w:rFonts w:ascii="Times New Roman" w:cs="Times New Roman" w:eastAsia="Times New Roman" w:hAnsi="Times New Roman"/>
          <w:sz w:val="18"/>
          <w:szCs w:val="18"/>
          <w:color w:val="auto"/>
        </w:rPr>
      </w:pPr>
    </w:p>
    <w:p>
      <w:pPr>
        <w:ind w:left="444" w:firstLine="419"/>
        <w:spacing w:after="0" w:line="256" w:lineRule="auto"/>
        <w:tabs>
          <w:tab w:leader="none" w:pos="117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Multiple Classes of Securities. </w:t>
      </w:r>
      <w:r>
        <w:rPr>
          <w:rFonts w:ascii="Times New Roman" w:cs="Times New Roman" w:eastAsia="Times New Roman" w:hAnsi="Times New Roman"/>
          <w:sz w:val="18"/>
          <w:szCs w:val="18"/>
          <w:color w:val="auto"/>
        </w:rPr>
        <w:t>All Regulated Funds and Affiliated Funds that hold Pre-Boarding Investments in the issuer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w:t>
      </w:r>
      <w:r>
        <w:rPr>
          <w:rFonts w:ascii="Times New Roman" w:cs="Times New Roman" w:eastAsia="Times New Roman" w:hAnsi="Times New Roman"/>
          <w:sz w:val="15"/>
          <w:szCs w:val="15"/>
          <w:color w:val="auto"/>
        </w:rPr>
        <w:t>28</w:t>
      </w:r>
      <w:r>
        <w:rPr>
          <w:rFonts w:ascii="Times New Roman" w:cs="Times New Roman" w:eastAsia="Times New Roman" w:hAnsi="Times New Roman"/>
          <w:sz w:val="18"/>
          <w:szCs w:val="18"/>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74" w:lineRule="exact"/>
        <w:rPr>
          <w:rFonts w:ascii="Times New Roman" w:cs="Times New Roman" w:eastAsia="Times New Roman" w:hAnsi="Times New Roman"/>
          <w:sz w:val="18"/>
          <w:szCs w:val="18"/>
          <w:color w:val="auto"/>
        </w:rPr>
      </w:pPr>
    </w:p>
    <w:p>
      <w:pPr>
        <w:ind w:left="444" w:right="80" w:firstLine="419"/>
        <w:spacing w:after="0" w:line="284" w:lineRule="auto"/>
        <w:tabs>
          <w:tab w:leader="none" w:pos="1122"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control</w:t>
      </w:r>
      <w:r>
        <w:rPr>
          <w:rFonts w:ascii="Times New Roman" w:cs="Times New Roman" w:eastAsia="Times New Roman" w:hAnsi="Times New Roman"/>
          <w:sz w:val="18"/>
          <w:szCs w:val="18"/>
          <w:color w:val="auto"/>
        </w:rPr>
        <w:t>. The Affiliated Funds, the other Regulated Funds and their affiliated persons (within the meaning of Section 2(a)(3)(C)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individually or in the aggregate, do not control the issuer of the securities (within the meaning of Section 2(a)(9) of the Act).</w:t>
      </w:r>
    </w:p>
    <w:p>
      <w:pPr>
        <w:spacing w:after="0" w:line="6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Follow-Ons.</w:t>
      </w:r>
    </w:p>
    <w:p>
      <w:pPr>
        <w:spacing w:after="0" w:line="115" w:lineRule="exact"/>
        <w:rPr>
          <w:rFonts w:ascii="Times New Roman" w:cs="Times New Roman" w:eastAsia="Times New Roman" w:hAnsi="Times New Roman"/>
          <w:sz w:val="18"/>
          <w:szCs w:val="18"/>
          <w:color w:val="auto"/>
        </w:rPr>
      </w:pPr>
    </w:p>
    <w:p>
      <w:pPr>
        <w:ind w:left="4" w:right="720" w:firstLine="436"/>
        <w:spacing w:after="0" w:line="284" w:lineRule="auto"/>
        <w:tabs>
          <w:tab w:leader="none" w:pos="68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desires to make a Follow-On Investment in an issuer and the Regulated Funds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Affiliated Funds holding investments in the issuer previously participated in a Co-Investment Transaction with respect to the issuer:</w:t>
      </w:r>
    </w:p>
    <w:p>
      <w:pPr>
        <w:spacing w:after="0" w:line="52" w:lineRule="exact"/>
        <w:rPr>
          <w:rFonts w:ascii="Times New Roman" w:cs="Times New Roman" w:eastAsia="Times New Roman" w:hAnsi="Times New Roman"/>
          <w:sz w:val="18"/>
          <w:szCs w:val="18"/>
          <w:color w:val="auto"/>
        </w:rPr>
      </w:pPr>
    </w:p>
    <w:p>
      <w:pPr>
        <w:ind w:left="444" w:right="660" w:firstLine="419"/>
        <w:spacing w:after="0" w:line="282" w:lineRule="auto"/>
        <w:tabs>
          <w:tab w:leader="none" w:pos="1082"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or Affiliated Fund will notify each Regulated Fund that holds securities of the portfolio company of the proposed transaction at the earliest practical time; and</w:t>
      </w:r>
    </w:p>
    <w:p>
      <w:pPr>
        <w:spacing w:after="0" w:line="53" w:lineRule="exact"/>
        <w:rPr>
          <w:rFonts w:ascii="Times New Roman" w:cs="Times New Roman" w:eastAsia="Times New Roman" w:hAnsi="Times New Roman"/>
          <w:sz w:val="18"/>
          <w:szCs w:val="18"/>
          <w:color w:val="auto"/>
        </w:rPr>
      </w:pPr>
    </w:p>
    <w:p>
      <w:pPr>
        <w:ind w:left="444" w:right="800" w:firstLine="419"/>
        <w:spacing w:after="0" w:line="282" w:lineRule="auto"/>
        <w:tabs>
          <w:tab w:leader="none" w:pos="1132"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59" w:lineRule="exact"/>
        <w:rPr>
          <w:rFonts w:ascii="Times New Roman" w:cs="Times New Roman" w:eastAsia="Times New Roman" w:hAnsi="Times New Roman"/>
          <w:sz w:val="18"/>
          <w:szCs w:val="18"/>
          <w:color w:val="auto"/>
        </w:rPr>
      </w:pPr>
    </w:p>
    <w:p>
      <w:pPr>
        <w:ind w:left="4" w:right="680" w:firstLine="436"/>
        <w:spacing w:after="0" w:line="284" w:lineRule="auto"/>
        <w:tabs>
          <w:tab w:leader="none" w:pos="6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Board Approval Required</w:t>
      </w:r>
      <w:r>
        <w:rPr>
          <w:rFonts w:ascii="Times New Roman" w:cs="Times New Roman" w:eastAsia="Times New Roman" w:hAnsi="Times New Roman"/>
          <w:sz w:val="18"/>
          <w:szCs w:val="18"/>
          <w:color w:val="auto"/>
        </w:rPr>
        <w:t>. A Regulated Fund may participate in the Follow-On Investment without obtaining prior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Majority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715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5" w:lineRule="exact"/>
        <w:rPr>
          <w:sz w:val="20"/>
          <w:szCs w:val="20"/>
          <w:color w:val="auto"/>
        </w:rPr>
      </w:pPr>
    </w:p>
    <w:p>
      <w:pPr>
        <w:ind w:left="424" w:right="140" w:hanging="424"/>
        <w:spacing w:after="0" w:line="266" w:lineRule="auto"/>
        <w:tabs>
          <w:tab w:leader="none" w:pos="424"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20" w:name="page21"/>
    <w:bookmarkEnd w:id="20"/>
    <w:p>
      <w:pPr>
        <w:jc w:val="both"/>
        <w:ind w:left="444" w:right="40" w:firstLine="419"/>
        <w:spacing w:after="0" w:line="261" w:lineRule="auto"/>
        <w:tabs>
          <w:tab w:leader="none" w:pos="108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proposed participation of each Regulated Fund and each Affiliated Fund in such investment is proportionate to its outstanding investments in the issuer or the security at issue, as appropriate,</w:t>
      </w:r>
      <w:r>
        <w:rPr>
          <w:rFonts w:ascii="Times New Roman" w:cs="Times New Roman" w:eastAsia="Times New Roman" w:hAnsi="Times New Roman"/>
          <w:sz w:val="15"/>
          <w:szCs w:val="15"/>
          <w:color w:val="auto"/>
        </w:rPr>
        <w:t>29</w:t>
      </w:r>
      <w:r>
        <w:rPr>
          <w:rFonts w:ascii="Times New Roman" w:cs="Times New Roman" w:eastAsia="Times New Roman" w:hAnsi="Times New Roman"/>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71"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Non-Negotiated Follow-On Investment.</w:t>
      </w:r>
    </w:p>
    <w:p>
      <w:pPr>
        <w:spacing w:after="0" w:line="115" w:lineRule="exact"/>
        <w:rPr>
          <w:rFonts w:ascii="Times New Roman" w:cs="Times New Roman" w:eastAsia="Times New Roman" w:hAnsi="Times New Roman"/>
          <w:sz w:val="18"/>
          <w:szCs w:val="18"/>
          <w:color w:val="auto"/>
        </w:rPr>
      </w:pPr>
    </w:p>
    <w:p>
      <w:pPr>
        <w:ind w:left="4" w:right="180" w:firstLine="436"/>
        <w:spacing w:after="0" w:line="258" w:lineRule="auto"/>
        <w:tabs>
          <w:tab w:leader="none" w:pos="68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If, with respect to any such Follow-On Investment:</w:t>
      </w:r>
    </w:p>
    <w:p>
      <w:pPr>
        <w:spacing w:after="0" w:line="119" w:lineRule="exact"/>
        <w:rPr>
          <w:rFonts w:ascii="Times New Roman" w:cs="Times New Roman" w:eastAsia="Times New Roman" w:hAnsi="Times New Roman"/>
          <w:sz w:val="18"/>
          <w:szCs w:val="18"/>
          <w:color w:val="auto"/>
        </w:rPr>
      </w:pPr>
    </w:p>
    <w:p>
      <w:pPr>
        <w:ind w:left="444" w:right="100" w:firstLine="419"/>
        <w:spacing w:after="0" w:line="266" w:lineRule="auto"/>
        <w:tabs>
          <w:tab w:leader="none" w:pos="108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67" w:lineRule="exact"/>
        <w:rPr>
          <w:rFonts w:ascii="Times New Roman" w:cs="Times New Roman" w:eastAsia="Times New Roman" w:hAnsi="Times New Roman"/>
          <w:sz w:val="18"/>
          <w:szCs w:val="18"/>
          <w:color w:val="auto"/>
        </w:rPr>
      </w:pPr>
    </w:p>
    <w:p>
      <w:pPr>
        <w:ind w:left="444" w:right="200" w:firstLine="419"/>
        <w:spacing w:after="0" w:line="282" w:lineRule="auto"/>
        <w:tabs>
          <w:tab w:leader="none" w:pos="113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collectively, exceeds the amount of the investment opportunity,</w:t>
      </w:r>
    </w:p>
    <w:p>
      <w:pPr>
        <w:spacing w:after="0" w:line="162"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then the Follow-On Investment opportunity will be allocated among them pro rata based on the size of the Internal Orders, as described in section III.A.1.b. above.</w:t>
      </w:r>
    </w:p>
    <w:p>
      <w:pPr>
        <w:spacing w:after="0" w:line="52" w:lineRule="exact"/>
        <w:rPr>
          <w:sz w:val="20"/>
          <w:szCs w:val="20"/>
          <w:color w:val="auto"/>
        </w:rPr>
      </w:pPr>
    </w:p>
    <w:p>
      <w:pPr>
        <w:ind w:left="4" w:right="180" w:firstLine="436"/>
        <w:spacing w:after="0" w:line="284"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 and subject to the other Conditions set forth in this application.</w:t>
      </w:r>
    </w:p>
    <w:p>
      <w:pPr>
        <w:spacing w:after="0" w:line="6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115" w:lineRule="exact"/>
        <w:rPr>
          <w:rFonts w:ascii="Times New Roman" w:cs="Times New Roman" w:eastAsia="Times New Roman" w:hAnsi="Times New Roman"/>
          <w:sz w:val="18"/>
          <w:szCs w:val="18"/>
          <w:color w:val="auto"/>
        </w:rPr>
      </w:pPr>
    </w:p>
    <w:p>
      <w:pPr>
        <w:ind w:left="4" w:right="420" w:firstLine="436"/>
        <w:spacing w:after="0" w:line="267" w:lineRule="auto"/>
        <w:tabs>
          <w:tab w:leader="none" w:pos="6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or Affiliated Fund desires to make a Follow-On Investment in an issuer that is a Potential Co-Investment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and the Regulated Funds and Affiliated Funds holding investments in the issuer have not previously participated in a Co-Investment Transaction with respect to the issuer:</w:t>
      </w:r>
    </w:p>
    <w:p>
      <w:pPr>
        <w:spacing w:after="0" w:line="67" w:lineRule="exact"/>
        <w:rPr>
          <w:rFonts w:ascii="Times New Roman" w:cs="Times New Roman" w:eastAsia="Times New Roman" w:hAnsi="Times New Roman"/>
          <w:sz w:val="18"/>
          <w:szCs w:val="18"/>
          <w:color w:val="auto"/>
        </w:rPr>
      </w:pPr>
    </w:p>
    <w:p>
      <w:pPr>
        <w:ind w:left="444" w:right="620" w:firstLine="419"/>
        <w:spacing w:after="0" w:line="282" w:lineRule="auto"/>
        <w:tabs>
          <w:tab w:leader="none" w:pos="108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or Affiliated Fund will notify each Regulated Fund that holds securities of the portfolio company of the proposed transaction at the earliest practical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6" w:lineRule="exact"/>
        <w:rPr>
          <w:sz w:val="20"/>
          <w:szCs w:val="20"/>
          <w:color w:val="auto"/>
        </w:rPr>
      </w:pPr>
    </w:p>
    <w:p>
      <w:pPr>
        <w:ind w:left="424" w:hanging="424"/>
        <w:spacing w:after="0" w:line="256" w:lineRule="auto"/>
        <w:tabs>
          <w:tab w:leader="none" w:pos="424"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the extent that a Follow-On Investment opportunity is in a security or arises in respect of a security held by the participating Regulated Funds and Affiliated Funds, proportionality will be measured by each participating Regulated Fund’s and Affiliated Fund’s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or Affiliated Funds, proportionality will be measured by each participating Regulated Fund’s and Affiliated Fund’s outstanding investment in the issuer immediately preceding the Follow-On Investment using the most recent available valuation thereof.</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21" w:name="page22"/>
    <w:bookmarkEnd w:id="21"/>
    <w:p>
      <w:pPr>
        <w:ind w:left="440" w:right="800" w:firstLine="419"/>
        <w:spacing w:after="0" w:line="282" w:lineRule="auto"/>
        <w:tabs>
          <w:tab w:leader="none" w:pos="112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Adviser to each Regulated Fund that holds an investment in the issuer will formulate a recommendation as to the proposed participation, including the amount of the proposed investment, by such Regulated Fund; and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7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and Affiliated Funds, including the terms of such investments and how they were made, that is necessary for the Required Majority to make the findings required by this Condition.</w:t>
      </w:r>
    </w:p>
    <w:p>
      <w:pPr>
        <w:spacing w:after="0" w:line="65" w:lineRule="exact"/>
        <w:rPr>
          <w:rFonts w:ascii="Times New Roman" w:cs="Times New Roman" w:eastAsia="Times New Roman" w:hAnsi="Times New Roman"/>
          <w:sz w:val="18"/>
          <w:szCs w:val="18"/>
          <w:color w:val="auto"/>
        </w:rPr>
      </w:pPr>
    </w:p>
    <w:p>
      <w:pPr>
        <w:ind w:right="20" w:firstLine="436"/>
        <w:spacing w:after="0" w:line="257"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Board Approval</w:t>
      </w:r>
      <w:r>
        <w:rPr>
          <w:rFonts w:ascii="Times New Roman" w:cs="Times New Roman" w:eastAsia="Times New Roman" w:hAnsi="Times New Roman"/>
          <w:sz w:val="18"/>
          <w:szCs w:val="18"/>
          <w:color w:val="auto"/>
        </w:rPr>
        <w:t>. The Adviser will provide its written recommendation as to the Regulated Fund’s participation to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Regulated Fund will participate in such Follow-On Investment solely to the extent that a Required Majority reviews the proposed Follow-On Investment both on a stand-alone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7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Requirements</w:t>
      </w:r>
      <w:r>
        <w:rPr>
          <w:rFonts w:ascii="Times New Roman" w:cs="Times New Roman" w:eastAsia="Times New Roman" w:hAnsi="Times New Roman"/>
          <w:sz w:val="18"/>
          <w:szCs w:val="18"/>
          <w:color w:val="auto"/>
        </w:rPr>
        <w:t>. The Follow-On Investment may only be completed in reliance on the Order if:</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and Regulated Funds’ investments in the issuer are Pre-Boarding Investments;</w:t>
      </w:r>
    </w:p>
    <w:p>
      <w:pPr>
        <w:spacing w:after="0" w:line="117" w:lineRule="exact"/>
        <w:rPr>
          <w:rFonts w:ascii="Times New Roman" w:cs="Times New Roman" w:eastAsia="Times New Roman" w:hAnsi="Times New Roman"/>
          <w:sz w:val="18"/>
          <w:szCs w:val="18"/>
          <w:color w:val="auto"/>
        </w:rPr>
      </w:pPr>
    </w:p>
    <w:p>
      <w:pPr>
        <w:ind w:left="440" w:right="660" w:firstLine="419"/>
        <w:spacing w:after="0" w:line="284" w:lineRule="auto"/>
        <w:tabs>
          <w:tab w:leader="none" w:pos="112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were not prohibited by Section 57 (as modified by Rule 57b-1) or Rule 17d-1, as applicable;</w:t>
      </w:r>
    </w:p>
    <w:p>
      <w:pPr>
        <w:spacing w:after="0" w:line="50" w:lineRule="exact"/>
        <w:rPr>
          <w:rFonts w:ascii="Times New Roman" w:cs="Times New Roman" w:eastAsia="Times New Roman" w:hAnsi="Times New Roman"/>
          <w:sz w:val="18"/>
          <w:szCs w:val="18"/>
          <w:color w:val="auto"/>
        </w:rPr>
      </w:pPr>
    </w:p>
    <w:p>
      <w:pPr>
        <w:ind w:left="440" w:firstLine="419"/>
        <w:spacing w:after="0" w:line="256" w:lineRule="auto"/>
        <w:tabs>
          <w:tab w:leader="none" w:pos="117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Multiple Classes of Securities</w:t>
      </w:r>
      <w:r>
        <w:rPr>
          <w:rFonts w:ascii="Times New Roman" w:cs="Times New Roman" w:eastAsia="Times New Roman" w:hAnsi="Times New Roman"/>
          <w:sz w:val="18"/>
          <w:szCs w:val="18"/>
          <w:color w:val="auto"/>
        </w:rPr>
        <w:t>. All Regulated Funds and Affiliated Funds that hold Pre-Boarding Investments in the issuer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time of completion of the Co-Investment Transaction hold the same security or securities of the issuer. For the purpose of determining whether the Regulated Funds and Affiliated Funds hold the same security or securities, they may disregard any security held by some but not all of them if, prior to relying on the Order, the Required Majority is presented with all information necessary to make a finding, and finds, that: (x) any Regulated Fund’s or Affiliated Fund’s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74" w:lineRule="exact"/>
        <w:rPr>
          <w:rFonts w:ascii="Times New Roman" w:cs="Times New Roman" w:eastAsia="Times New Roman" w:hAnsi="Times New Roman"/>
          <w:sz w:val="18"/>
          <w:szCs w:val="18"/>
          <w:color w:val="auto"/>
        </w:rPr>
      </w:pPr>
    </w:p>
    <w:p>
      <w:pPr>
        <w:ind w:left="440" w:right="20" w:firstLine="419"/>
        <w:spacing w:after="0" w:line="284" w:lineRule="auto"/>
        <w:tabs>
          <w:tab w:leader="none" w:pos="11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control</w:t>
      </w:r>
      <w:r>
        <w:rPr>
          <w:rFonts w:ascii="Times New Roman" w:cs="Times New Roman" w:eastAsia="Times New Roman" w:hAnsi="Times New Roman"/>
          <w:sz w:val="18"/>
          <w:szCs w:val="18"/>
          <w:color w:val="auto"/>
        </w:rPr>
        <w:t>. The Affiliated Funds, the other Regulated Funds and their affiliated persons (within the meaning of Section 2(a)(3)(C)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individually or in the aggregate, do not control the issuer of the securities (within the meaning of Section 2(a)(9) of the Act).</w:t>
      </w:r>
    </w:p>
    <w:p>
      <w:pPr>
        <w:spacing w:after="0" w:line="5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If, with respect to any such Follow-On Investment:</w:t>
      </w:r>
    </w:p>
    <w:p>
      <w:pPr>
        <w:spacing w:after="0" w:line="119"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7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proposed to be made available to any Regulated Fund is not based on the Regulated Funds’ and the Affiliated Funds’ outstanding investments in the issuer or the security at issue, as appropriate, immediately preceding the Follow-On Investment; and</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2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collectively, exceeds the amount of the investment opportunity, then the Follow-On Investment opportunity will be allocated among them pro rata based on the size of the Internal Orders, as described in section III.A.1.b. above.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2" w:name="page23"/>
    <w:bookmarkEnd w:id="22"/>
    <w:p>
      <w:pPr>
        <w:ind w:left="4" w:right="200" w:firstLine="436"/>
        <w:spacing w:after="0" w:line="284" w:lineRule="auto"/>
        <w:tabs>
          <w:tab w:leader="none" w:pos="68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 and subject to the other Conditions set forth in this application.</w:t>
      </w:r>
    </w:p>
    <w:p>
      <w:pPr>
        <w:spacing w:after="0" w:line="6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Reporting, Compliance and Annual Re-Approval</w:t>
      </w:r>
    </w:p>
    <w:p>
      <w:pPr>
        <w:spacing w:after="0" w:line="117" w:lineRule="exact"/>
        <w:rPr>
          <w:rFonts w:ascii="Times New Roman" w:cs="Times New Roman" w:eastAsia="Times New Roman" w:hAnsi="Times New Roman"/>
          <w:sz w:val="18"/>
          <w:szCs w:val="18"/>
          <w:color w:val="auto"/>
        </w:rPr>
      </w:pPr>
    </w:p>
    <w:p>
      <w:pPr>
        <w:ind w:left="4" w:right="20" w:firstLine="436"/>
        <w:spacing w:after="0" w:line="271" w:lineRule="auto"/>
        <w:tabs>
          <w:tab w:leader="none" w:pos="689"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Adviser to a Regulated Fund will present to the Board of each Regulated Fund, on a quarterly basis, and at such other times as the Board may request, (i) a record of all investments in Potential Co-Investment Transactions made by any of the other Regulated Funds or any of the Affiliated Funds during the preceding quarter that fell within the Regulated Fund’s then-current Objectives and Strategies and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other Regulated Fund during the prior quarter; and (iii) all information concerning Potential Co-Investment Transactions and Co-Investment Transactions, including investments made by other Regulated Funds or Affiliated Funds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65" w:lineRule="exact"/>
        <w:rPr>
          <w:rFonts w:ascii="Times New Roman" w:cs="Times New Roman" w:eastAsia="Times New Roman" w:hAnsi="Times New Roman"/>
          <w:sz w:val="17"/>
          <w:szCs w:val="17"/>
          <w:color w:val="auto"/>
        </w:rPr>
      </w:pPr>
    </w:p>
    <w:p>
      <w:pPr>
        <w:ind w:left="4" w:right="80" w:firstLine="436"/>
        <w:spacing w:after="0" w:line="282" w:lineRule="auto"/>
        <w:tabs>
          <w:tab w:leader="none" w:pos="69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53" w:lineRule="exact"/>
        <w:rPr>
          <w:rFonts w:ascii="Times New Roman" w:cs="Times New Roman" w:eastAsia="Times New Roman" w:hAnsi="Times New Roman"/>
          <w:sz w:val="18"/>
          <w:szCs w:val="18"/>
          <w:color w:val="auto"/>
        </w:rPr>
      </w:pPr>
    </w:p>
    <w:p>
      <w:pPr>
        <w:ind w:left="4" w:right="380" w:firstLine="436"/>
        <w:spacing w:after="0" w:line="261" w:lineRule="auto"/>
        <w:tabs>
          <w:tab w:leader="none" w:pos="68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 In the case of a BDC Downstream Fund that does not have a chief compliance officer, the chief compliance officer of the BDC that controls the BDC Downstream Fund will prepare the report for the relevant Independent Party.</w:t>
      </w:r>
    </w:p>
    <w:p>
      <w:pPr>
        <w:spacing w:after="0" w:line="71"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(including the non-interested members of each Independent Party) will consider at least annually whether continued participation in new and existing Co-Investment Transactions is in the Regulated Fund’s best interests.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Keeping.</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 will maintain the records required by Section 57(f)(3) of the Act as if each of the Regulated Funds were a BDC and each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investments permitted under these Conditions were approved by the Required Majority under Section 57(f).</w:t>
      </w:r>
    </w:p>
    <w:p>
      <w:pPr>
        <w:spacing w:after="0" w:line="112" w:lineRule="exact"/>
        <w:rPr>
          <w:sz w:val="20"/>
          <w:szCs w:val="20"/>
          <w:color w:val="auto"/>
        </w:rPr>
      </w:pPr>
    </w:p>
    <w:p>
      <w:pPr>
        <w:ind w:left="424" w:hanging="424"/>
        <w:spacing w:after="0"/>
        <w:tabs>
          <w:tab w:leader="none" w:pos="4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Independence.</w:t>
      </w:r>
    </w:p>
    <w:p>
      <w:pPr>
        <w:spacing w:after="0" w:line="117"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No Independent Director (including the non-interested members of any Independent Party) of a Regulated Fund will also be a director, general partner, managing member or principal, or otherwise be an “affiliated person” (as defined in the Act) of any Affiliated Fund.</w:t>
      </w:r>
    </w:p>
    <w:p>
      <w:pPr>
        <w:spacing w:after="0" w:line="67" w:lineRule="exact"/>
        <w:rPr>
          <w:sz w:val="20"/>
          <w:szCs w:val="20"/>
          <w:color w:val="auto"/>
        </w:rPr>
      </w:pPr>
    </w:p>
    <w:p>
      <w:pPr>
        <w:ind w:left="424" w:hanging="424"/>
        <w:spacing w:after="0"/>
        <w:tabs>
          <w:tab w:leader="none" w:pos="4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p>
    <w:p>
      <w:pPr>
        <w:spacing w:after="0" w:line="117"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in proportion to the relative amounts of the securities held or being acquired or disposed of, as the case may be.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8" w:right="459" w:bottom="1440" w:gutter="0" w:footer="0" w:header="0"/>
        </w:sectPr>
      </w:pPr>
    </w:p>
    <w:bookmarkStart w:id="23" w:name="page24"/>
    <w:bookmarkEnd w:id="23"/>
    <w:p>
      <w:pPr>
        <w:ind w:left="424" w:hanging="424"/>
        <w:spacing w:after="0"/>
        <w:tabs>
          <w:tab w:leader="none" w:pos="4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Fees</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30</w:t>
      </w:r>
    </w:p>
    <w:p>
      <w:pPr>
        <w:spacing w:after="0" w:line="11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Advisers, the Affiliated Funds, the other Regulated Funds or any affiliated person of the Affiliated Funds or the Regulated Funds will receive any additional compensation or remuneration of any kind as a result of or in connection with a Co-Investment Transaction other than</w:t>
      </w:r>
    </w:p>
    <w:p>
      <w:pPr>
        <w:spacing w:after="0" w:line="3" w:lineRule="exact"/>
        <w:rPr>
          <w:sz w:val="20"/>
          <w:szCs w:val="20"/>
          <w:color w:val="auto"/>
        </w:rPr>
      </w:pPr>
    </w:p>
    <w:p>
      <w:pPr>
        <w:ind w:left="4" w:right="20" w:hanging="4"/>
        <w:spacing w:after="0" w:line="253" w:lineRule="auto"/>
        <w:tabs>
          <w:tab w:leader="none" w:pos="2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Regulated Funds and the Affiliated Funds, the pro rata transaction fees described above and fees or other compensation described in Condition 2(c)(iii)(B)(z), (ii) brokerage or underwriting compensation permitted by Section 17(e) or 57(k), or (iii) in the case of the Advisers, investment advisory compensation paid in accordance with investment advisory agreements between the applicable Regulated Fund(s) or Affiliated Fund(s) and its Adviser.</w:t>
      </w:r>
    </w:p>
    <w:p>
      <w:pPr>
        <w:spacing w:after="0" w:line="94" w:lineRule="exact"/>
        <w:rPr>
          <w:sz w:val="20"/>
          <w:szCs w:val="20"/>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Independence.</w:t>
      </w:r>
    </w:p>
    <w:p>
      <w:pPr>
        <w:spacing w:after="0" w:line="117" w:lineRule="exact"/>
        <w:rPr>
          <w:sz w:val="20"/>
          <w:szCs w:val="20"/>
          <w:color w:val="auto"/>
        </w:rPr>
      </w:pPr>
    </w:p>
    <w:p>
      <w:pPr>
        <w:ind w:left="4" w:right="140" w:firstLine="440"/>
        <w:spacing w:after="0" w:line="289" w:lineRule="auto"/>
        <w:rPr>
          <w:sz w:val="20"/>
          <w:szCs w:val="20"/>
          <w:color w:val="auto"/>
        </w:rPr>
      </w:pPr>
      <w:r>
        <w:rPr>
          <w:rFonts w:ascii="Times New Roman" w:cs="Times New Roman" w:eastAsia="Times New Roman" w:hAnsi="Times New Roman"/>
          <w:sz w:val="17"/>
          <w:szCs w:val="17"/>
          <w:color w:val="auto"/>
        </w:rPr>
        <w:t>If the Holders own in the aggregate more than 25 percent of the Shares of a Regulated Fund, then the Holders will vote such Shares in the percentages as the Regulated Fund’s other shareholders (not including the Holders) when voting on (1) the election of directors; (2) the removal of one or more directors; or (3) any other matter under either the Act or applicable State law affecting the Board’s composition, size or manner of election.</w:t>
      </w:r>
    </w:p>
    <w:p>
      <w:pPr>
        <w:spacing w:after="0" w:line="30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PROCEDURAL MATTERS</w:t>
      </w:r>
    </w:p>
    <w:p>
      <w:pPr>
        <w:spacing w:after="0" w:line="135" w:lineRule="exact"/>
        <w:rPr>
          <w:sz w:val="20"/>
          <w:szCs w:val="20"/>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address all communications concerning this Application and the Notice and Order to:</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(212) 905-1000</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Order to:</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Thomas J. Friedman</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David J. Harris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Dechert LLP</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One International Place,</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40th Floor, 100 Oliver Street,</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Boston, MA, 02110-2605</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(617) 728-7120</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Applicants desire that the Commission issue an Order pursuant to Rule 0-5 without conducting a hearing.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0" w:lineRule="exact"/>
        <w:rPr>
          <w:sz w:val="20"/>
          <w:szCs w:val="20"/>
          <w:color w:val="auto"/>
        </w:rPr>
      </w:pPr>
    </w:p>
    <w:p>
      <w:pPr>
        <w:ind w:left="424" w:right="140" w:hanging="424"/>
        <w:spacing w:after="0" w:line="282" w:lineRule="auto"/>
        <w:tabs>
          <w:tab w:leader="none" w:pos="424"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4" w:name="page25"/>
    <w:bookmarkEnd w:id="24"/>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Rule 0-2, each person executing the Application on behalf of an Applicant says that he or she has duly executed the Application for and on behalf of such Applicant; that he or she is authorized to execute the Application pursuant to the terms of an operating agreement, management agreement or otherwise; and that all actions by members, directors or other bodies necessary to authorize each deponent to execute and file the Application have been taken.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verifications required by Rule 0-2(d) and the authorizations required by Rule 0-2(c) are attached hereto as Exhibit A and Exhibit B.</w:t>
      </w:r>
    </w:p>
    <w:p>
      <w:pPr>
        <w:spacing w:after="0" w:line="113" w:lineRule="exact"/>
        <w:rPr>
          <w:sz w:val="20"/>
          <w:szCs w:val="20"/>
          <w:color w:val="auto"/>
        </w:rPr>
      </w:pPr>
    </w:p>
    <w:p>
      <w:pPr>
        <w:ind w:left="204" w:hanging="204"/>
        <w:spacing w:after="0"/>
        <w:tabs>
          <w:tab w:leader="none" w:pos="20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Authorization</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29th day of April, 2022.</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PENNANTPARK CREDIT OPPORTUNITIES FUND II,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PENNANTPARK CREDIT OPPORTUNITIES FUND III,</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PENNANTPARK SENIOR CREDIT FUND, LLC</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color w:val="auto"/>
        </w:rPr>
        <w:t>PENNANTPARK SENIOR CREDIT FUND LEVERED, LP</w:t>
      </w:r>
    </w:p>
    <w:p>
      <w:pPr>
        <w:spacing w:after="0" w:line="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BERKELEY ROAD WC FUNDING SPV, LP</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BERKELEY ROAD WC FUNDING SPV 2, LP</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SP CREDIT ACQUISITIONS LLC</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PENNANTPARK SENIOR CREDIT FUND SMA, LP</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TPDS I PLATINUM HOLDINGS LP</w:t>
      </w:r>
    </w:p>
    <w:p>
      <w:pPr>
        <w:spacing w:after="0" w:line="220"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5" w:name="page26"/>
    <w:bookmarkEnd w:id="25"/>
    <w:p>
      <w:pPr>
        <w:jc w:val="right"/>
        <w:ind w:right="40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Existing Affiliated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Credit Opportunities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Credit Opportunities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Levered,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Berkeley Road WC Funding SPV,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Berkeley Road WC Funding SPV 2,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 Credit Acquisitions,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Senior Credit Fund, SMA,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TPDS I Platinum Holdings LP</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019"/>
          </w:cols>
          <w:pgMar w:left="440" w:top="266"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Verification</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undersigned states that he has duly executed the attached Application dated April 29, 2022 for and on behalf of the Applicants, as the case may be, that he holds the office with each such entity as indicated below, and that all actions by stockholders, officers, directors, and other bodies necessary to authorize the undersigned to execute and file such Application have been taken. The undersigned further states that he is familiar with the instrument and the contents thereof, and that the facts set forth therein are true to the best of his knowledge, information, and belief.</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CREDIT OPPORTUNITIES FUND II,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CREDIT OPPORTUNITIES FUND III,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SENIOR CREDIT FUND,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PENNANTPARK SENIOR CREDIT FUND LEVERED, LP</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SENIOR CREDIT FUND SMA,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BERKELEY ROAD WC FUNDING SPV,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BERKELEY ROAD WC FUNDING SPV 2,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 CREDIT ACQUISITIONS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TPDS I PLATINUM HOLDINGS LP</w:t>
      </w:r>
    </w:p>
    <w:p>
      <w:pPr>
        <w:spacing w:after="0" w:line="220"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Directors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 AND PENNANTPARK FLOATING RATE CAPITAL LTD.</w:t>
      </w:r>
    </w:p>
    <w:p>
      <w:pPr>
        <w:spacing w:after="0" w:line="225" w:lineRule="exact"/>
        <w:rPr>
          <w:sz w:val="20"/>
          <w:szCs w:val="20"/>
          <w:color w:val="auto"/>
        </w:rPr>
      </w:pPr>
    </w:p>
    <w:p>
      <w:pPr>
        <w:jc w:val="both"/>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Boards previously approved an application (the “</w:t>
      </w:r>
      <w:r>
        <w:rPr>
          <w:rFonts w:ascii="Times New Roman" w:cs="Times New Roman" w:eastAsia="Times New Roman" w:hAnsi="Times New Roman"/>
          <w:sz w:val="18"/>
          <w:szCs w:val="18"/>
          <w:u w:val="single" w:color="auto"/>
          <w:color w:val="auto"/>
        </w:rPr>
        <w:t>Original Application</w:t>
      </w:r>
      <w:r>
        <w:rPr>
          <w:rFonts w:ascii="Times New Roman" w:cs="Times New Roman" w:eastAsia="Times New Roman" w:hAnsi="Times New Roman"/>
          <w:sz w:val="18"/>
          <w:szCs w:val="18"/>
          <w:color w:val="auto"/>
        </w:rPr>
        <w:t>”) that was filed with the U.S. Securities and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behalf of PennantPark Investment Corporation (“</w:t>
      </w:r>
      <w:r>
        <w:rPr>
          <w:rFonts w:ascii="Times New Roman" w:cs="Times New Roman" w:eastAsia="Times New Roman" w:hAnsi="Times New Roman"/>
          <w:sz w:val="18"/>
          <w:szCs w:val="18"/>
          <w:u w:val="single" w:color="auto"/>
          <w:color w:val="auto"/>
        </w:rPr>
        <w:t>PNNT</w:t>
      </w:r>
      <w:r>
        <w:rPr>
          <w:rFonts w:ascii="Times New Roman" w:cs="Times New Roman" w:eastAsia="Times New Roman" w:hAnsi="Times New Roman"/>
          <w:sz w:val="18"/>
          <w:szCs w:val="18"/>
          <w:color w:val="auto"/>
        </w:rPr>
        <w:t>”), PennantPark Floating Rate Capital Ltd. (“</w:t>
      </w:r>
      <w:r>
        <w:rPr>
          <w:rFonts w:ascii="Times New Roman" w:cs="Times New Roman" w:eastAsia="Times New Roman" w:hAnsi="Times New Roman"/>
          <w:sz w:val="18"/>
          <w:szCs w:val="18"/>
          <w:u w:val="single" w:color="auto"/>
          <w:color w:val="auto"/>
        </w:rPr>
        <w:t>PFLT</w:t>
      </w:r>
      <w:r>
        <w:rPr>
          <w:rFonts w:ascii="Times New Roman" w:cs="Times New Roman" w:eastAsia="Times New Roman" w:hAnsi="Times New Roman"/>
          <w:sz w:val="18"/>
          <w:szCs w:val="18"/>
          <w:color w:val="auto"/>
        </w:rPr>
        <w:t>” and together with PNNT,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and certain affiliated entities for an order granting exemptions under Sections 17(d), 57(a)4) and 57(i) of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and Rule 17d-1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Commission approved the Original Application, as amended, pursuant to an order issued on April 15, 2014 (“</w:t>
      </w:r>
      <w:r>
        <w:rPr>
          <w:rFonts w:ascii="Times New Roman" w:cs="Times New Roman" w:eastAsia="Times New Roman" w:hAnsi="Times New Roman"/>
          <w:sz w:val="18"/>
          <w:szCs w:val="18"/>
          <w:u w:val="single" w:color="auto"/>
          <w:color w:val="auto"/>
        </w:rPr>
        <w:t>Prior Order</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Boards have reviewed a draft Exemptive Application (the “</w:t>
      </w:r>
      <w:r>
        <w:rPr>
          <w:rFonts w:ascii="Times New Roman" w:cs="Times New Roman" w:eastAsia="Times New Roman" w:hAnsi="Times New Roman"/>
          <w:sz w:val="18"/>
          <w:szCs w:val="18"/>
          <w:u w:val="single" w:color="auto"/>
          <w:color w:val="auto"/>
        </w:rPr>
        <w:t>Exemptive Application</w:t>
      </w:r>
      <w:r>
        <w:rPr>
          <w:rFonts w:ascii="Times New Roman" w:cs="Times New Roman" w:eastAsia="Times New Roman" w:hAnsi="Times New Roman"/>
          <w:sz w:val="18"/>
          <w:szCs w:val="18"/>
          <w:color w:val="auto"/>
        </w:rPr>
        <w:t>”), a copy of which is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Appendix A, that requests the Commission grant a new exemptive order that will supersede and replace the Prior Order;</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that the Chief Executive Officer, the Chief Financial Officer, and the Secretary of the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Authorized Officers</w:t>
      </w:r>
      <w:r>
        <w:rPr>
          <w:rFonts w:ascii="Times New Roman" w:cs="Times New Roman" w:eastAsia="Times New Roman" w:hAnsi="Times New Roman"/>
          <w:sz w:val="18"/>
          <w:szCs w:val="18"/>
          <w:color w:val="auto"/>
        </w:rPr>
        <w:t>”) shall be, and each of them individually hereby is, authorized, empowered and directed, in the name and on behalf of each of the Companies, to cause to be executed, delivered and filed with the Commission the Exemptive Application, in substantially the form attached hereto as Appendix A;</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Authorized Officers shall be, and each of them individually hereby is, authorized, empowered and directed,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and on behalf of the Companies, to cause to be made, executed, delivered and filed with the Commission any amendments to the Exemptive Application and any additional applications for exemptive relief as are determined necessary, advisable or appropriate by any such officers, and to do such other acts or things and execute such other documents, including but not limited to, requests for no-action relief or interpretive positions under the Securities Act of 1933, Securities Exchange Act of 1934, 1940 Act, or any other applicable federal or state securities law, as they deem necessary or desirable, in such form and accompanied by such exhibits and other documents as the Authorized Officers may approves, in order to effectuate the foregoing, such determinations, acts, or things to be conclusively evidenced by the same;</w:t>
      </w:r>
    </w:p>
    <w:p>
      <w:pPr>
        <w:spacing w:after="0" w:line="183"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all acts and things previously done by any of the Authorized Officers, on or prior to the date hereof, in the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behalf of each of the Companies in connection with the foregoing resolutions are in all respects authorized, ratified, approved, confirmed and adopted as the acts and deeds by and on behalf of the Companies; and</w:t>
      </w:r>
    </w:p>
    <w:p>
      <w:pPr>
        <w:spacing w:after="0" w:line="171"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any officer of the Companies be, and each of them hereby is, authorized, empowered and directed to certify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copies of these resolutions to such governmental bodies, agencies, persons, firms or corporations as such officer may deem necessary and to identify by such officer’s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617"/>
    </w:lvl>
  </w:abstractNum>
  <w:abstractNum w:abstractNumId="1">
    <w:nsid w:val="7A6D8D3C"/>
    <w:multiLevelType w:val="hybridMultilevel"/>
    <w:lvl w:ilvl="0">
      <w:lvlJc w:val="left"/>
      <w:lvlText w:val="%1."/>
      <w:numFmt w:val="upperLetter"/>
      <w:start w:val="9"/>
    </w:lvl>
  </w:abstractNum>
  <w:abstractNum w:abstractNumId="2">
    <w:nsid w:val="4B588F54"/>
    <w:multiLevelType w:val="hybridMultilevel"/>
    <w:lvl w:ilvl="0">
      <w:lvlJc w:val="left"/>
      <w:lvlText w:val="%1."/>
      <w:numFmt w:val="upperLetter"/>
      <w:start w:val="1"/>
    </w:lvl>
  </w:abstractNum>
  <w:abstractNum w:abstractNumId="3">
    <w:nsid w:val="542289EC"/>
    <w:multiLevelType w:val="hybridMultilevel"/>
    <w:lvl w:ilvl="0">
      <w:lvlJc w:val="left"/>
      <w:lvlText w:val="%1."/>
      <w:numFmt w:val="upperLetter"/>
      <w:start w:val="2"/>
    </w:lvl>
    <w:lvl w:ilvl="1">
      <w:lvlJc w:val="left"/>
      <w:lvlText w:val="•"/>
      <w:numFmt w:val="bullet"/>
      <w:start w:val="1"/>
    </w:lvl>
  </w:abstractNum>
  <w:abstractNum w:abstractNumId="4">
    <w:nsid w:val="6DE91B18"/>
    <w:multiLevelType w:val="hybridMultilevel"/>
    <w:lvl w:ilvl="0">
      <w:lvlJc w:val="left"/>
      <w:lvlText w:val="1"/>
      <w:numFmt w:val="bullet"/>
      <w:start w:val="1"/>
    </w:lvl>
  </w:abstractNum>
  <w:abstractNum w:abstractNumId="5">
    <w:nsid w:val="38437FDB"/>
    <w:multiLevelType w:val="hybridMultilevel"/>
    <w:lvl w:ilvl="0">
      <w:lvlJc w:val="left"/>
      <w:lvlText w:val="2"/>
      <w:numFmt w:val="bullet"/>
      <w:start w:val="1"/>
    </w:lvl>
  </w:abstractNum>
  <w:abstractNum w:abstractNumId="6">
    <w:nsid w:val="7644A45C"/>
    <w:multiLevelType w:val="hybridMultilevel"/>
    <w:lvl w:ilvl="0">
      <w:lvlJc w:val="left"/>
      <w:lvlText w:val="3"/>
      <w:numFmt w:val="bullet"/>
      <w:start w:val="1"/>
    </w:lvl>
  </w:abstractNum>
  <w:abstractNum w:abstractNumId="7">
    <w:nsid w:val="32FFF902"/>
    <w:multiLevelType w:val="hybridMultilevel"/>
    <w:lvl w:ilvl="0">
      <w:lvlJc w:val="left"/>
      <w:lvlText w:val="4"/>
      <w:numFmt w:val="bullet"/>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Roman"/>
      <w:start w:val="2"/>
    </w:lvl>
  </w:abstractNum>
  <w:abstractNum w:abstractNumId="10">
    <w:nsid w:val="749ABB43"/>
    <w:multiLevelType w:val="hybridMultilevel"/>
    <w:lvl w:ilvl="0">
      <w:lvlJc w:val="left"/>
      <w:lvlText w:val="5"/>
      <w:numFmt w:val="bullet"/>
      <w:start w:val="1"/>
    </w:lvl>
  </w:abstractNum>
  <w:abstractNum w:abstractNumId="11">
    <w:nsid w:val="3DC240FB"/>
    <w:multiLevelType w:val="hybridMultilevel"/>
    <w:lvl w:ilvl="0">
      <w:lvlJc w:val="left"/>
      <w:lvlText w:val="6"/>
      <w:numFmt w:val="bullet"/>
      <w:start w:val="1"/>
    </w:lvl>
  </w:abstractNum>
  <w:abstractNum w:abstractNumId="12">
    <w:nsid w:val="1BA026FA"/>
    <w:multiLevelType w:val="hybridMultilevel"/>
    <w:lvl w:ilvl="0">
      <w:lvlJc w:val="left"/>
      <w:lvlText w:val="7"/>
      <w:numFmt w:val="bullet"/>
      <w:start w:val="1"/>
    </w:lvl>
  </w:abstractNum>
  <w:abstractNum w:abstractNumId="13">
    <w:nsid w:val="79A1DEAA"/>
    <w:multiLevelType w:val="hybridMultilevel"/>
    <w:lvl w:ilvl="0">
      <w:lvlJc w:val="left"/>
      <w:lvlText w:val="%1)"/>
      <w:numFmt w:val="lowerRoman"/>
      <w:start w:val="1"/>
    </w:lvl>
  </w:abstractNum>
  <w:abstractNum w:abstractNumId="14">
    <w:nsid w:val="75C6C33A"/>
    <w:multiLevelType w:val="hybridMultilevel"/>
    <w:lvl w:ilvl="0">
      <w:lvlJc w:val="left"/>
      <w:lvlText w:val="%1)"/>
      <w:numFmt w:val="lowerRoman"/>
      <w:start w:val="1"/>
    </w:lvl>
  </w:abstractNum>
  <w:abstractNum w:abstractNumId="15">
    <w:nsid w:val="12E685FB"/>
    <w:multiLevelType w:val="hybridMultilevel"/>
    <w:lvl w:ilvl="0">
      <w:lvlJc w:val="left"/>
      <w:lvlText w:val="8"/>
      <w:numFmt w:val="bullet"/>
      <w:start w:val="1"/>
    </w:lvl>
  </w:abstractNum>
  <w:abstractNum w:abstractNumId="16">
    <w:nsid w:val="70C6A529"/>
    <w:multiLevelType w:val="hybridMultilevel"/>
    <w:lvl w:ilvl="0">
      <w:lvlJc w:val="left"/>
      <w:lvlText w:val="%1."/>
      <w:numFmt w:val="upperLetter"/>
      <w:start w:val="35"/>
    </w:lvl>
  </w:abstractNum>
  <w:abstractNum w:abstractNumId="17">
    <w:nsid w:val="520EEDD1"/>
    <w:multiLevelType w:val="hybridMultilevel"/>
    <w:lvl w:ilvl="0">
      <w:lvlJc w:val="left"/>
      <w:lvlText w:val="%1."/>
      <w:numFmt w:val="upperLetter"/>
      <w:start w:val="1"/>
    </w:lvl>
  </w:abstractNum>
  <w:abstractNum w:abstractNumId="18">
    <w:nsid w:val="374A3FE6"/>
    <w:multiLevelType w:val="hybridMultilevel"/>
    <w:lvl w:ilvl="0">
      <w:lvlJc w:val="left"/>
      <w:lvlText w:val="%1."/>
      <w:numFmt w:val="upperLetter"/>
      <w:start w:val="2"/>
    </w:lvl>
  </w:abstractNum>
  <w:abstractNum w:abstractNumId="19">
    <w:nsid w:val="4F4EF005"/>
    <w:multiLevelType w:val="hybridMultilevel"/>
    <w:lvl w:ilvl="0">
      <w:lvlJc w:val="left"/>
      <w:lvlText w:val="%1."/>
      <w:numFmt w:val="upperLetter"/>
      <w:start w:val="3"/>
    </w:lvl>
  </w:abstractNum>
  <w:abstractNum w:abstractNumId="20">
    <w:nsid w:val="23F9C13C"/>
    <w:multiLevelType w:val="hybridMultilevel"/>
    <w:lvl w:ilvl="0">
      <w:lvlJc w:val="left"/>
      <w:lvlText w:val="%1."/>
      <w:numFmt w:val="upperLetter"/>
      <w:start w:val="4"/>
    </w:lvl>
  </w:abstractNum>
  <w:abstractNum w:abstractNumId="21">
    <w:nsid w:val="649BB77C"/>
    <w:multiLevelType w:val="hybridMultilevel"/>
    <w:lvl w:ilvl="0">
      <w:lvlJc w:val="left"/>
      <w:lvlText w:val="9"/>
      <w:numFmt w:val="bullet"/>
      <w:start w:val="1"/>
    </w:lvl>
  </w:abstractNum>
  <w:abstractNum w:abstractNumId="22">
    <w:nsid w:val="275AC794"/>
    <w:multiLevelType w:val="hybridMultilevel"/>
    <w:lvl w:ilvl="0">
      <w:lvlJc w:val="left"/>
      <w:lvlText w:val="%1."/>
      <w:numFmt w:val="upperLetter"/>
      <w:start w:val="61"/>
    </w:lvl>
  </w:abstractNum>
  <w:abstractNum w:abstractNumId="23">
    <w:nsid w:val="39386575"/>
    <w:multiLevelType w:val="hybridMultilevel"/>
    <w:lvl w:ilvl="0">
      <w:lvlJc w:val="left"/>
      <w:lvlText w:val="%1."/>
      <w:numFmt w:val="upperLetter"/>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decimal"/>
      <w:start w:val="10"/>
    </w:lvl>
  </w:abstractNum>
  <w:abstractNum w:abstractNumId="27">
    <w:nsid w:val="47398C89"/>
    <w:multiLevelType w:val="hybridMultilevel"/>
    <w:lvl w:ilvl="0">
      <w:lvlJc w:val="left"/>
      <w:lvlText w:val="(%1)"/>
      <w:numFmt w:val="lowerLetter"/>
      <w:start w:val="2"/>
    </w:lvl>
  </w:abstractNum>
  <w:abstractNum w:abstractNumId="28">
    <w:nsid w:val="354FE9F9"/>
    <w:multiLevelType w:val="hybridMultilevel"/>
    <w:lvl w:ilvl="0">
      <w:lvlJc w:val="left"/>
      <w:lvlText w:val="%1"/>
      <w:numFmt w:val="decimal"/>
      <w:start w:val="11"/>
    </w:lvl>
  </w:abstractNum>
  <w:abstractNum w:abstractNumId="29">
    <w:nsid w:val="15B5AF5C"/>
    <w:multiLevelType w:val="hybridMultilevel"/>
    <w:lvl w:ilvl="0">
      <w:lvlJc w:val="left"/>
      <w:lvlText w:val="(%1)"/>
      <w:numFmt w:val="lowerLetter"/>
      <w:start w:val="3"/>
    </w:lvl>
  </w:abstractNum>
  <w:abstractNum w:abstractNumId="30">
    <w:nsid w:val="741226BB"/>
    <w:multiLevelType w:val="hybridMultilevel"/>
    <w:lvl w:ilvl="0">
      <w:lvlJc w:val="left"/>
      <w:lvlText w:val="%1."/>
      <w:numFmt w:val="decimal"/>
      <w:start w:val="2"/>
    </w:lvl>
  </w:abstractNum>
  <w:abstractNum w:abstractNumId="31">
    <w:nsid w:val="D34B6A8"/>
    <w:multiLevelType w:val="hybridMultilevel"/>
    <w:lvl w:ilvl="0">
      <w:lvlJc w:val="left"/>
      <w:lvlText w:val="%1."/>
      <w:numFmt w:val="decimal"/>
      <w:start w:val="3"/>
    </w:lvl>
  </w:abstractNum>
  <w:abstractNum w:abstractNumId="32">
    <w:nsid w:val="10233C99"/>
    <w:multiLevelType w:val="hybridMultilevel"/>
    <w:lvl w:ilvl="0">
      <w:lvlJc w:val="left"/>
      <w:lvlText w:val="(%1)"/>
      <w:numFmt w:val="lowerLetter"/>
      <w:start w:val="1"/>
    </w:lvl>
  </w:abstractNum>
  <w:abstractNum w:abstractNumId="33">
    <w:nsid w:val="3F6AB60F"/>
    <w:multiLevelType w:val="hybridMultilevel"/>
    <w:lvl w:ilvl="0">
      <w:lvlJc w:val="left"/>
      <w:lvlText w:val="(%1)"/>
      <w:numFmt w:val="lowerLetter"/>
      <w:start w:val="2"/>
    </w:lvl>
  </w:abstractNum>
  <w:abstractNum w:abstractNumId="34">
    <w:nsid w:val="61574095"/>
    <w:multiLevelType w:val="hybridMultilevel"/>
    <w:lvl w:ilvl="0">
      <w:lvlJc w:val="left"/>
      <w:lvlText w:val="%1"/>
      <w:numFmt w:val="decimal"/>
      <w:start w:val="13"/>
    </w:lvl>
  </w:abstractNum>
  <w:abstractNum w:abstractNumId="35">
    <w:nsid w:val="7E0C57B1"/>
    <w:multiLevelType w:val="hybridMultilevel"/>
    <w:lvl w:ilvl="0">
      <w:lvlJc w:val="left"/>
      <w:lvlText w:val="%1."/>
      <w:numFmt w:val="decimal"/>
      <w:start w:val="4"/>
    </w:lvl>
  </w:abstractNum>
  <w:abstractNum w:abstractNumId="36">
    <w:nsid w:val="77AE35EB"/>
    <w:multiLevelType w:val="hybridMultilevel"/>
    <w:lvl w:ilvl="0">
      <w:lvlJc w:val="left"/>
      <w:lvlText w:val="(%1)"/>
      <w:numFmt w:val="lowerLetter"/>
      <w:start w:val="1"/>
    </w:lvl>
  </w:abstractNum>
  <w:abstractNum w:abstractNumId="37">
    <w:nsid w:val="579BE4F1"/>
    <w:multiLevelType w:val="hybridMultilevel"/>
    <w:lvl w:ilvl="0">
      <w:lvlJc w:val="left"/>
      <w:lvlText w:val="(%1)"/>
      <w:numFmt w:val="lowerLetter"/>
      <w:start w:val="2"/>
    </w:lvl>
  </w:abstractNum>
  <w:abstractNum w:abstractNumId="38">
    <w:nsid w:val="310C50B3"/>
    <w:multiLevelType w:val="hybridMultilevel"/>
    <w:lvl w:ilvl="0">
      <w:lvlJc w:val="left"/>
      <w:lvlText w:val="%1"/>
      <w:numFmt w:val="decimal"/>
      <w:start w:val="14"/>
    </w:lvl>
  </w:abstractNum>
  <w:abstractNum w:abstractNumId="39">
    <w:nsid w:val="5FF87E05"/>
    <w:multiLevelType w:val="hybridMultilevel"/>
    <w:lvl w:ilvl="0">
      <w:lvlJc w:val="left"/>
      <w:lvlText w:val="%1."/>
      <w:numFmt w:val="decimal"/>
      <w:start w:val="5"/>
    </w:lvl>
  </w:abstractNum>
  <w:abstractNum w:abstractNumId="40">
    <w:nsid w:val="2F305DEF"/>
    <w:multiLevelType w:val="hybridMultilevel"/>
    <w:lvl w:ilvl="0">
      <w:lvlJc w:val="left"/>
      <w:lvlText w:val="%1."/>
      <w:numFmt w:val="upperLetter"/>
      <w:start w:val="2"/>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1"/>
      <w:numFmt w:val="decimal"/>
      <w:start w:val="17"/>
    </w:lvl>
  </w:abstractNum>
  <w:abstractNum w:abstractNumId="44">
    <w:nsid w:val="1F48EAA1"/>
    <w:multiLevelType w:val="hybridMultilevel"/>
    <w:lvl w:ilvl="0">
      <w:lvlJc w:val="left"/>
      <w:lvlText w:val="%1."/>
      <w:numFmt w:val="decimal"/>
      <w:start w:val="2"/>
    </w:lvl>
  </w:abstractNum>
  <w:abstractNum w:abstractNumId="45">
    <w:nsid w:val="1381823A"/>
    <w:multiLevelType w:val="hybridMultilevel"/>
    <w:lvl w:ilvl="0">
      <w:lvlJc w:val="left"/>
      <w:lvlText w:val="%1"/>
      <w:numFmt w:val="decimal"/>
      <w:start w:val="18"/>
    </w:lvl>
  </w:abstractNum>
  <w:abstractNum w:abstractNumId="46">
    <w:nsid w:val="5DB70AE5"/>
    <w:multiLevelType w:val="hybridMultilevel"/>
    <w:lvl w:ilvl="0">
      <w:lvlJc w:val="left"/>
      <w:lvlText w:val="%1."/>
      <w:numFmt w:val="upperLetter"/>
      <w:start w:val="3"/>
    </w:lvl>
  </w:abstractNum>
  <w:abstractNum w:abstractNumId="47">
    <w:nsid w:val="100F8FCA"/>
    <w:multiLevelType w:val="hybridMultilevel"/>
    <w:lvl w:ilvl="0">
      <w:lvlJc w:val="left"/>
      <w:lvlText w:val="%1"/>
      <w:numFmt w:val="decimal"/>
      <w:start w:val="19"/>
    </w:lvl>
  </w:abstractNum>
  <w:abstractNum w:abstractNumId="48">
    <w:nsid w:val="6590700B"/>
    <w:multiLevelType w:val="hybridMultilevel"/>
    <w:lvl w:ilvl="0">
      <w:lvlJc w:val="left"/>
      <w:lvlText w:val="%1."/>
      <w:numFmt w:val="upperLetter"/>
      <w:start w:val="4"/>
    </w:lvl>
  </w:abstractNum>
  <w:abstractNum w:abstractNumId="49">
    <w:nsid w:val="15014ACB"/>
    <w:multiLevelType w:val="hybridMultilevel"/>
    <w:lvl w:ilvl="0">
      <w:lvlJc w:val="left"/>
      <w:lvlText w:val="%1."/>
      <w:numFmt w:val="upperLetter"/>
      <w:start w:val="1"/>
    </w:lvl>
  </w:abstractNum>
  <w:abstractNum w:abstractNumId="50">
    <w:nsid w:val="5F5E7FD0"/>
    <w:multiLevelType w:val="hybridMultilevel"/>
    <w:lvl w:ilvl="0">
      <w:lvlJc w:val="left"/>
      <w:lvlText w:val="(%1)"/>
      <w:numFmt w:val="lowerRoman"/>
      <w:start w:val="2"/>
    </w:lvl>
  </w:abstractNum>
  <w:abstractNum w:abstractNumId="51">
    <w:nsid w:val="98A3148"/>
    <w:multiLevelType w:val="hybridMultilevel"/>
    <w:lvl w:ilvl="0">
      <w:lvlJc w:val="left"/>
      <w:lvlText w:val="%1"/>
      <w:numFmt w:val="decimal"/>
      <w:start w:val="22"/>
    </w:lvl>
  </w:abstractNum>
  <w:abstractNum w:abstractNumId="52">
    <w:nsid w:val="799D0247"/>
    <w:multiLevelType w:val="hybridMultilevel"/>
    <w:lvl w:ilvl="0">
      <w:lvlJc w:val="left"/>
      <w:lvlText w:val="%1."/>
      <w:numFmt w:val="upperLetter"/>
      <w:start w:val="2"/>
    </w:lvl>
  </w:abstractNum>
  <w:abstractNum w:abstractNumId="53">
    <w:nsid w:val="6B94764"/>
    <w:multiLevelType w:val="hybridMultilevel"/>
    <w:lvl w:ilvl="0">
      <w:lvlJc w:val="left"/>
      <w:lvlText w:val="(%1)"/>
      <w:numFmt w:val="decimal"/>
      <w:start w:val="4"/>
    </w:lvl>
  </w:abstractNum>
  <w:abstractNum w:abstractNumId="54">
    <w:nsid w:val="42C296BD"/>
    <w:multiLevelType w:val="hybridMultilevel"/>
    <w:lvl w:ilvl="0">
      <w:lvlJc w:val="left"/>
      <w:lvlText w:val="%1."/>
      <w:numFmt w:val="upperLetter"/>
      <w:start w:val="22"/>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57">
    <w:nsid w:val="661E3F1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58">
    <w:nsid w:val="5DC79EA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59">
    <w:nsid w:val="540A471C"/>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60">
    <w:nsid w:val="7BD3EE7B"/>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61">
    <w:nsid w:val="51D9C564"/>
    <w:multiLevelType w:val="hybridMultilevel"/>
    <w:lvl w:ilvl="0">
      <w:lvlJc w:val="left"/>
      <w:lvlText w:val="%1."/>
      <w:numFmt w:val="decimal"/>
      <w:start w:val="5"/>
    </w:lvl>
  </w:abstractNum>
  <w:abstractNum w:abstractNumId="62">
    <w:nsid w:val="613EFDC5"/>
    <w:multiLevelType w:val="hybridMultilevel"/>
    <w:lvl w:ilvl="0">
      <w:lvlJc w:val="left"/>
      <w:lvlText w:val="%1."/>
      <w:numFmt w:val="decimal"/>
      <w:start w:val="6"/>
    </w:lvl>
    <w:lvl w:ilvl="1">
      <w:lvlJc w:val="left"/>
      <w:lvlText w:val="(%2)"/>
      <w:numFmt w:val="lowerLetter"/>
      <w:start w:val="1"/>
    </w:lvl>
  </w:abstractNum>
  <w:abstractNum w:abstractNumId="63">
    <w:nsid w:val="BF72B14"/>
    <w:multiLevelType w:val="hybridMultilevel"/>
    <w:lvl w:ilvl="0">
      <w:lvlJc w:val="left"/>
      <w:lvlText w:val="%1"/>
      <w:numFmt w:val="decimal"/>
      <w:start w:val="24"/>
    </w:lvl>
  </w:abstractNum>
  <w:abstractNum w:abstractNumId="64">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42963E5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6">
    <w:nsid w:val="A0382C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7">
    <w:nsid w:val="8F2B15E"/>
    <w:multiLevelType w:val="hybridMultilevel"/>
    <w:lvl w:ilvl="0">
      <w:lvlJc w:val="left"/>
      <w:lvlText w:val="%1"/>
      <w:numFmt w:val="decimal"/>
      <w:start w:val="26"/>
    </w:lvl>
  </w:abstractNum>
  <w:abstractNum w:abstractNumId="68">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3B0FD3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0">
    <w:nsid w:val="68EB2F6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1">
    <w:nsid w:val="4962813B"/>
    <w:multiLevelType w:val="hybridMultilevel"/>
    <w:lvl w:ilvl="0">
      <w:lvlJc w:val="left"/>
      <w:lvlText w:val="%1"/>
      <w:numFmt w:val="decimal"/>
      <w:start w:val="28"/>
    </w:lvl>
  </w:abstractNum>
  <w:abstractNum w:abstractNumId="72">
    <w:nsid w:val="60B6DF70"/>
    <w:multiLevelType w:val="hybridMultilevel"/>
    <w:lvl w:ilvl="0">
      <w:lvlJc w:val="left"/>
      <w:lvlText w:val="%1"/>
      <w:numFmt w:val="lowerLetter"/>
      <w:start w:val="1"/>
    </w:lvl>
    <w:lvl w:ilvl="1">
      <w:lvlJc w:val="left"/>
      <w:lvlText w:val="(%2)"/>
      <w:numFmt w:val="lowerRoman"/>
      <w:start w:val="1"/>
    </w:lvl>
  </w:abstractNum>
  <w:abstractNum w:abstractNumId="73">
    <w:nsid w:val="6A5EE64"/>
    <w:multiLevelType w:val="hybridMultilevel"/>
    <w:lvl w:ilvl="0">
      <w:lvlJc w:val="left"/>
      <w:lvlText w:val="(%1)"/>
      <w:numFmt w:val="lowerLetter"/>
      <w:start w:val="3"/>
    </w:lvl>
    <w:lvl w:ilvl="1">
      <w:lvlJc w:val="left"/>
      <w:lvlText w:val="(%2)"/>
      <w:numFmt w:val="lowerRoman"/>
      <w:start w:val="1"/>
    </w:lvl>
  </w:abstractNum>
  <w:abstractNum w:abstractNumId="74">
    <w:nsid w:val="1433062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75">
    <w:nsid w:val="7FFFCA1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76">
    <w:nsid w:val="1A27709E"/>
    <w:multiLevelType w:val="hybridMultilevel"/>
    <w:lvl w:ilvl="0">
      <w:lvlJc w:val="left"/>
      <w:lvlText w:val="%1"/>
      <w:numFmt w:val="decimal"/>
      <w:start w:val="29"/>
    </w:lvl>
  </w:abstractNum>
  <w:abstractNum w:abstractNumId="77">
    <w:nsid w:val="71EA1109"/>
    <w:multiLevelType w:val="hybridMultilevel"/>
    <w:lvl w:ilvl="0">
      <w:lvlJc w:val="left"/>
      <w:lvlText w:val="%1"/>
      <w:numFmt w:val="lowerLetter"/>
      <w:start w:val="1"/>
    </w:lvl>
    <w:lvl w:ilvl="1">
      <w:lvlJc w:val="left"/>
      <w:lvlText w:val="(%2)"/>
      <w:numFmt w:val="lowerRoman"/>
      <w:start w:val="2"/>
    </w:lvl>
  </w:abstractNum>
  <w:abstractNum w:abstractNumId="78">
    <w:nsid w:val="100F59DC"/>
    <w:multiLevelType w:val="hybridMultilevel"/>
    <w:lvl w:ilvl="0">
      <w:lvlJc w:val="left"/>
      <w:lvlText w:val="(%1)"/>
      <w:numFmt w:val="lowerLetter"/>
      <w:start w:val="2"/>
    </w:lvl>
    <w:lvl w:ilvl="1">
      <w:lvlJc w:val="left"/>
      <w:lvlText w:val="(%2)"/>
      <w:numFmt w:val="lowerRoman"/>
      <w:start w:val="1"/>
    </w:lvl>
  </w:abstractNum>
  <w:abstractNum w:abstractNumId="79">
    <w:nsid w:val="7FB7E0AA"/>
    <w:multiLevelType w:val="hybridMultilevel"/>
    <w:lvl w:ilvl="0">
      <w:lvlJc w:val="left"/>
      <w:lvlText w:val="%1"/>
      <w:numFmt w:val="decimal"/>
      <w:start w:val="1"/>
    </w:lvl>
    <w:lvl w:ilvl="1">
      <w:lvlJc w:val="left"/>
      <w:lvlText w:val="(%2)"/>
      <w:numFmt w:val="lowerLetter"/>
      <w:start w:val="5"/>
    </w:lvl>
  </w:abstractNum>
  <w:abstractNum w:abstractNumId="80">
    <w:nsid w:val="6EB5BD4"/>
    <w:multiLevelType w:val="hybridMultilevel"/>
    <w:lvl w:ilvl="0">
      <w:lvlJc w:val="left"/>
      <w:lvlText w:val="%1."/>
      <w:numFmt w:val="decimal"/>
      <w:start w:val="10"/>
    </w:lvl>
    <w:lvl w:ilvl="1">
      <w:lvlJc w:val="left"/>
      <w:lvlText w:val="(%2)"/>
      <w:numFmt w:val="lowerLetter"/>
      <w:start w:val="1"/>
    </w:lvl>
  </w:abstractNum>
  <w:abstractNum w:abstractNumId="81">
    <w:nsid w:val="6F6DD9AC"/>
    <w:multiLevelType w:val="hybridMultilevel"/>
    <w:lvl w:ilvl="0">
      <w:lvlJc w:val="left"/>
      <w:lvlText w:val="%1."/>
      <w:numFmt w:val="decimal"/>
      <w:start w:val="12"/>
    </w:lvl>
  </w:abstractNum>
  <w:abstractNum w:abstractNumId="82">
    <w:nsid w:val="94211F2"/>
    <w:multiLevelType w:val="hybridMultilevel"/>
    <w:lvl w:ilvl="0">
      <w:lvlJc w:val="left"/>
      <w:lvlText w:val="%1."/>
      <w:numFmt w:val="decimal"/>
      <w:start w:val="13"/>
    </w:lvl>
  </w:abstractNum>
  <w:abstractNum w:abstractNumId="83">
    <w:nsid w:val="885E1B"/>
    <w:multiLevelType w:val="hybridMultilevel"/>
    <w:lvl w:ilvl="0">
      <w:lvlJc w:val="left"/>
      <w:lvlText w:val="%1."/>
      <w:numFmt w:val="decimal"/>
      <w:start w:val="14"/>
    </w:lvl>
  </w:abstractNum>
  <w:abstractNum w:abstractNumId="84">
    <w:nsid w:val="76272110"/>
    <w:multiLevelType w:val="hybridMultilevel"/>
    <w:lvl w:ilvl="0">
      <w:lvlJc w:val="left"/>
      <w:lvlText w:val="(%1)"/>
      <w:numFmt w:val="lowerRoman"/>
      <w:start w:val="1"/>
    </w:lvl>
  </w:abstractNum>
  <w:abstractNum w:abstractNumId="85">
    <w:nsid w:val="4C04A8AF"/>
    <w:multiLevelType w:val="hybridMultilevel"/>
    <w:lvl w:ilvl="0">
      <w:lvlJc w:val="left"/>
      <w:lvlText w:val="%1."/>
      <w:numFmt w:val="decimal"/>
      <w:start w:val="15"/>
    </w:lvl>
  </w:abstractNum>
  <w:abstractNum w:abstractNumId="86">
    <w:nsid w:val="1716703B"/>
    <w:multiLevelType w:val="hybridMultilevel"/>
    <w:lvl w:ilvl="0">
      <w:lvlJc w:val="left"/>
      <w:lvlText w:val="%1."/>
      <w:numFmt w:val="upperLetter"/>
      <w:start w:val="1"/>
    </w:lvl>
  </w:abstractNum>
  <w:abstractNum w:abstractNumId="87">
    <w:nsid w:val="14E17E33"/>
    <w:multiLevelType w:val="hybridMultilevel"/>
    <w:lvl w:ilvl="0">
      <w:lvlJc w:val="left"/>
      <w:lvlText w:val="%1"/>
      <w:numFmt w:val="decimal"/>
      <w:start w:val="30"/>
    </w:lvl>
  </w:abstractNum>
  <w:abstractNum w:abstractNumId="88">
    <w:nsid w:val="3222E7CD"/>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2022-04-29T22:42:21Z</dcterms:created>
  <dcterms:modified xsi:type="dcterms:W3CDTF">2022-04-29T22:42:21Z</dcterms:modified>
</cp:coreProperties>
</file>