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August 17, 2007</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PENNANTPARK INVESTMENT CORPORATION</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File No. 814-00743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resolutions approved at the February 13, 2007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bond in the amount of at least $900,000 as required under paragraph (d) of the Rule. An initial premium of $20,200 was paid for the period May 17, 2007 through May 17, 2008.</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307-3273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1400"/>
          </w:cols>
          <w:pgMar w:left="240" w:top="239" w:right="259" w:bottom="1440" w:gutter="0" w:footer="0" w:header="0"/>
        </w:sectPr>
      </w:pPr>
    </w:p>
    <w:bookmarkStart w:id="1" w:name="page2"/>
    <w:bookmarkEnd w:id="1"/>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UNION FIRE INSURANCE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PITTSBURGH, PA.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Stock Insurance Company, herein called the Underwriter)</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 Water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10038</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COMPANY BLANKET BOND</w:t>
      </w:r>
    </w:p>
    <w:p>
      <w:pPr>
        <w:spacing w:after="0" w:line="171" w:lineRule="exact"/>
        <w:rPr>
          <w:sz w:val="20"/>
          <w:szCs w:val="20"/>
          <w:color w:val="auto"/>
        </w:rPr>
      </w:pPr>
    </w:p>
    <w:p>
      <w:pPr>
        <w:ind w:left="9380"/>
        <w:spacing w:after="0"/>
        <w:rPr>
          <w:sz w:val="20"/>
          <w:szCs w:val="20"/>
          <w:color w:val="auto"/>
        </w:rPr>
      </w:pPr>
      <w:r>
        <w:rPr>
          <w:rFonts w:ascii="Arial" w:cs="Arial" w:eastAsia="Arial" w:hAnsi="Arial"/>
          <w:sz w:val="18"/>
          <w:szCs w:val="18"/>
          <w:color w:val="auto"/>
        </w:rPr>
        <w:t xml:space="preserve">Bond No.: </w:t>
      </w:r>
      <w:r>
        <w:rPr>
          <w:rFonts w:ascii="Arial" w:cs="Arial" w:eastAsia="Arial" w:hAnsi="Arial"/>
          <w:sz w:val="18"/>
          <w:szCs w:val="18"/>
          <w:b w:val="1"/>
          <w:bCs w:val="1"/>
          <w:color w:val="auto"/>
        </w:rPr>
        <w:t>742-18-68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DECLARATIONS</w:t>
      </w:r>
    </w:p>
    <w:p>
      <w:pPr>
        <w:sectPr>
          <w:pgSz w:w="11900" w:h="16864" w:orient="portrait"/>
          <w:cols w:equalWidth="0" w:num="1">
            <w:col w:w="11420"/>
          </w:cols>
          <w:pgMar w:left="240" w:top="125"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Name of Insured (herein called Insured):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140" w:lineRule="exact"/>
        <w:rPr>
          <w:sz w:val="20"/>
          <w:szCs w:val="20"/>
          <w:color w:val="auto"/>
        </w:rPr>
      </w:pPr>
    </w:p>
    <w:p>
      <w:pPr>
        <w:sectPr>
          <w:pgSz w:w="11900" w:h="16864" w:orient="portrait"/>
          <w:cols w:equalWidth="0" w:num="3">
            <w:col w:w="540" w:space="300"/>
            <w:col w:w="4400" w:space="720"/>
            <w:col w:w="5460"/>
          </w:cols>
          <w:pgMar w:left="240" w:top="125" w:right="239" w:bottom="0" w:gutter="0" w:footer="0" w:header="0"/>
          <w:type w:val="continuous"/>
        </w:sectPr>
      </w:pPr>
    </w:p>
    <w:p>
      <w:pPr>
        <w:spacing w:after="0" w:line="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445 PARK AVENUE, 9</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0" w:lineRule="exact"/>
        <w:rPr>
          <w:sz w:val="20"/>
          <w:szCs w:val="20"/>
          <w:color w:val="auto"/>
        </w:rPr>
      </w:pPr>
    </w:p>
    <w:p>
      <w:pPr>
        <w:sectPr>
          <w:pgSz w:w="11900" w:h="16864" w:orient="portrait"/>
          <w:cols w:equalWidth="0" w:num="2">
            <w:col w:w="5240" w:space="720"/>
            <w:col w:w="5460"/>
          </w:cols>
          <w:pgMar w:left="240" w:top="125" w:right="239" w:bottom="0" w:gutter="0" w:footer="0" w:header="0"/>
          <w:type w:val="continuous"/>
        </w:sectPr>
      </w:pPr>
    </w:p>
    <w:p>
      <w:pPr>
        <w:spacing w:after="0" w:line="13" w:lineRule="exact"/>
        <w:rPr>
          <w:sz w:val="20"/>
          <w:szCs w:val="20"/>
          <w:color w:val="auto"/>
        </w:rPr>
      </w:pPr>
    </w:p>
    <w:p>
      <w:pPr>
        <w:ind w:left="1040" w:right="2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 xml:space="preserve">Bond Period: from </w:t>
      </w:r>
      <w:r>
        <w:rPr>
          <w:rFonts w:ascii="Arial" w:cs="Arial" w:eastAsia="Arial" w:hAnsi="Arial"/>
          <w:sz w:val="18"/>
          <w:szCs w:val="18"/>
          <w:b w:val="1"/>
          <w:bCs w:val="1"/>
          <w:color w:val="auto"/>
        </w:rPr>
        <w:t>12:01 a.m. May 17, 2007 to May 17, 2008</w:t>
      </w:r>
      <w:r>
        <w:rPr>
          <w:rFonts w:ascii="Arial" w:cs="Arial" w:eastAsia="Arial" w:hAnsi="Arial"/>
          <w:sz w:val="18"/>
          <w:szCs w:val="18"/>
          <w:color w:val="auto"/>
        </w:rPr>
        <w:t xml:space="preserve"> the effective date of the termination or cancellation of this bond, standard time at the Principal Address as to each of said dates.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8340" w:type="dxa"/>
            <w:vAlign w:val="bottom"/>
          </w:tcPr>
          <w:p>
            <w:pPr>
              <w:ind w:left="260"/>
              <w:spacing w:after="0"/>
              <w:rPr>
                <w:sz w:val="20"/>
                <w:szCs w:val="20"/>
                <w:color w:val="auto"/>
              </w:rPr>
            </w:pPr>
            <w:r>
              <w:rPr>
                <w:rFonts w:ascii="Arial" w:cs="Arial" w:eastAsia="Arial" w:hAnsi="Arial"/>
                <w:sz w:val="18"/>
                <w:szCs w:val="18"/>
                <w:color w:val="auto"/>
              </w:rPr>
              <w:t>Limit of Liability—Subject to Sections 9, 10 and 12 hereof,</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 applicable to</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b w:val="1"/>
                <w:bCs w:val="1"/>
                <w:color w:val="auto"/>
              </w:rPr>
              <w:t>Limit of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0" w:type="dxa"/>
            <w:vAlign w:val="bottom"/>
            <w:vMerge w:val="continue"/>
          </w:tcPr>
          <w:p>
            <w:pPr>
              <w:spacing w:after="0"/>
              <w:rPr>
                <w:sz w:val="13"/>
                <w:szCs w:val="13"/>
                <w:color w:val="auto"/>
              </w:rPr>
            </w:pPr>
          </w:p>
        </w:tc>
        <w:tc>
          <w:tcPr>
            <w:tcW w:w="8660" w:type="dxa"/>
            <w:vAlign w:val="bottom"/>
            <w:tcBorders>
              <w:bottom w:val="single" w:sz="8" w:color="auto"/>
            </w:tcBorders>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5"/>
              <w:spacing w:after="0" w:line="148"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3"/>
                <w:szCs w:val="13"/>
                <w:color w:val="auto"/>
              </w:rPr>
            </w:pPr>
          </w:p>
        </w:tc>
        <w:tc>
          <w:tcPr>
            <w:tcW w:w="640" w:type="dxa"/>
            <w:vAlign w:val="bottom"/>
            <w:tcBorders>
              <w:bottom w:val="single" w:sz="8" w:color="auto"/>
            </w:tcBorders>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Deductible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(A)-FIDELITY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Insuring Agreement (B)-AUDIT EXPENSE</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(C)-ON PREMISES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Insuring Agreement (D)-IN TRANSIT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(E)-FORGERY OR ALTERATION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Insuring Agreement (F)-SECURITIES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(G)-COUNTERFEIT CURRENCY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Insuring Agreement (H)-STOP PAYMENT</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(I)-COMPUTER SYSTEMS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Insuring Agreement (J)-UNAUTHORIZED SIGNATURES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Insuring Agreement (K)-VOICE INITIATED TRANSFER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Insuring Agreement (L)-TELEFACSIMILE TRANSFERS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5,000,000</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040" w:right="20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166" w:lineRule="exact"/>
        <w:rPr>
          <w:sz w:val="20"/>
          <w:szCs w:val="20"/>
          <w:color w:val="auto"/>
        </w:rPr>
      </w:pPr>
    </w:p>
    <w:p>
      <w:pPr>
        <w:ind w:left="1040" w:right="40" w:hanging="1025"/>
        <w:spacing w:after="0" w:line="259" w:lineRule="auto"/>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color w:val="auto"/>
        </w:rPr>
        <w:t xml:space="preserve">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w:t>
      </w:r>
      <w:r>
        <w:rPr>
          <w:rFonts w:ascii="Arial" w:cs="Arial" w:eastAsia="Arial" w:hAnsi="Arial"/>
          <w:sz w:val="18"/>
          <w:szCs w:val="18"/>
          <w:b w:val="1"/>
          <w:bCs w:val="1"/>
          <w:color w:val="auto"/>
        </w:rPr>
        <w:t>No Exceptions.</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 xml:space="preserve">The liability of the Underwriter is subject to the terms of the following riders attached hereto: </w:t>
      </w:r>
      <w:r>
        <w:rPr>
          <w:rFonts w:ascii="Arial" w:cs="Arial" w:eastAsia="Arial" w:hAnsi="Arial"/>
          <w:sz w:val="16"/>
          <w:szCs w:val="16"/>
          <w:b w:val="1"/>
          <w:bCs w:val="1"/>
          <w:color w:val="auto"/>
        </w:rPr>
        <w:t>Endorsements No.: 1, 2, 3 , 4, 5, 6 , 7</w:t>
      </w:r>
    </w:p>
    <w:p>
      <w:pPr>
        <w:spacing w:after="0" w:line="21" w:lineRule="exact"/>
        <w:rPr>
          <w:sz w:val="20"/>
          <w:szCs w:val="20"/>
          <w:color w:val="auto"/>
        </w:rPr>
      </w:pPr>
    </w:p>
    <w:p>
      <w:pPr>
        <w:ind w:left="1040" w:right="660" w:hanging="1025"/>
        <w:spacing w:after="0" w:line="261" w:lineRule="auto"/>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color w:val="auto"/>
        </w:rPr>
        <w:t xml:space="preserve">The Insured by the acceptance of this bond gives to the Underwriter terminating or cancelling prior bond(s) or policy(ies) No.(s) </w:t>
      </w:r>
      <w:r>
        <w:rPr>
          <w:rFonts w:ascii="Arial" w:cs="Arial" w:eastAsia="Arial" w:hAnsi="Arial"/>
          <w:sz w:val="18"/>
          <w:szCs w:val="18"/>
          <w:b w:val="1"/>
          <w:bCs w:val="1"/>
          <w:color w:val="auto"/>
        </w:rPr>
        <w:t>N/A</w:t>
      </w:r>
      <w:r>
        <w:rPr>
          <w:rFonts w:ascii="Arial" w:cs="Arial" w:eastAsia="Arial" w:hAnsi="Arial"/>
          <w:sz w:val="18"/>
          <w:szCs w:val="18"/>
          <w:color w:val="auto"/>
        </w:rPr>
        <w:t xml:space="preserve"> such termination or cancellation to be effective as of the time this bond becomes effective.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20"/>
                <w:szCs w:val="20"/>
                <w:color w:val="auto"/>
              </w:rPr>
            </w:pPr>
            <w:r>
              <w:rPr>
                <w:rFonts w:ascii="Arial" w:cs="Arial" w:eastAsia="Arial" w:hAnsi="Arial"/>
                <w:sz w:val="18"/>
                <w:szCs w:val="18"/>
                <w:b w:val="1"/>
                <w:bCs w:val="1"/>
                <w:color w:val="auto"/>
              </w:rPr>
              <w:t>Premium:</w:t>
            </w:r>
          </w:p>
        </w:tc>
        <w:tc>
          <w:tcPr>
            <w:tcW w:w="2380" w:type="dxa"/>
            <w:vAlign w:val="bottom"/>
          </w:tcPr>
          <w:p>
            <w:pPr>
              <w:jc w:val="right"/>
              <w:ind w:right="1452"/>
              <w:spacing w:after="0"/>
              <w:rPr>
                <w:sz w:val="20"/>
                <w:szCs w:val="20"/>
                <w:color w:val="auto"/>
              </w:rPr>
            </w:pPr>
            <w:r>
              <w:rPr>
                <w:rFonts w:ascii="Arial" w:cs="Arial" w:eastAsia="Arial" w:hAnsi="Arial"/>
                <w:sz w:val="18"/>
                <w:szCs w:val="18"/>
                <w:b w:val="1"/>
                <w:bCs w:val="1"/>
                <w:color w:val="auto"/>
              </w:rPr>
              <w:t>$20,200</w:t>
            </w:r>
          </w:p>
        </w:tc>
        <w:tc>
          <w:tcPr>
            <w:tcW w:w="1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9"/>
        </w:trPr>
        <w:tc>
          <w:tcPr>
            <w:tcW w:w="1060" w:type="dxa"/>
            <w:vAlign w:val="bottom"/>
          </w:tcPr>
          <w:p>
            <w:pPr>
              <w:spacing w:after="0"/>
              <w:rPr>
                <w:sz w:val="24"/>
                <w:szCs w:val="24"/>
                <w:color w:val="auto"/>
              </w:rPr>
            </w:pPr>
          </w:p>
        </w:tc>
        <w:tc>
          <w:tcPr>
            <w:tcW w:w="5920" w:type="dxa"/>
            <w:vAlign w:val="bottom"/>
            <w:gridSpan w:val="4"/>
          </w:tcPr>
          <w:p>
            <w:pPr>
              <w:jc w:val="center"/>
              <w:ind w:right="2640"/>
              <w:spacing w:after="0"/>
              <w:rPr>
                <w:sz w:val="20"/>
                <w:szCs w:val="20"/>
                <w:color w:val="auto"/>
              </w:rPr>
            </w:pPr>
            <w:r>
              <w:rPr>
                <w:rFonts w:ascii="Arial" w:cs="Arial" w:eastAsia="Arial" w:hAnsi="Arial"/>
                <w:sz w:val="18"/>
                <w:szCs w:val="18"/>
                <w:color w:val="auto"/>
                <w:w w:val="90"/>
              </w:rPr>
              <w:t>/s/ Elizabeth M. Tuck</w:t>
            </w:r>
          </w:p>
        </w:tc>
        <w:tc>
          <w:tcPr>
            <w:tcW w:w="1020" w:type="dxa"/>
            <w:vAlign w:val="bottom"/>
          </w:tcPr>
          <w:p>
            <w:pPr>
              <w:spacing w:after="0"/>
              <w:rPr>
                <w:sz w:val="24"/>
                <w:szCs w:val="24"/>
                <w:color w:val="auto"/>
              </w:rPr>
            </w:pPr>
          </w:p>
        </w:tc>
        <w:tc>
          <w:tcPr>
            <w:tcW w:w="3420" w:type="dxa"/>
            <w:vAlign w:val="bottom"/>
          </w:tcPr>
          <w:p>
            <w:pPr>
              <w:ind w:left="220"/>
              <w:spacing w:after="0"/>
              <w:rPr>
                <w:sz w:val="20"/>
                <w:szCs w:val="20"/>
                <w:color w:val="auto"/>
              </w:rPr>
            </w:pPr>
            <w:r>
              <w:rPr>
                <w:rFonts w:ascii="Arial" w:cs="Arial" w:eastAsia="Arial" w:hAnsi="Arial"/>
                <w:sz w:val="18"/>
                <w:szCs w:val="18"/>
                <w:color w:val="auto"/>
              </w:rPr>
              <w:t>/s/</w:t>
            </w:r>
          </w:p>
        </w:tc>
      </w:tr>
      <w:tr>
        <w:trPr>
          <w:trHeight w:val="224"/>
        </w:trPr>
        <w:tc>
          <w:tcPr>
            <w:tcW w:w="106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gridSpan w:val="2"/>
          </w:tcPr>
          <w:p>
            <w:pPr>
              <w:jc w:val="center"/>
              <w:ind w:right="972"/>
              <w:spacing w:after="0"/>
              <w:rPr>
                <w:sz w:val="20"/>
                <w:szCs w:val="20"/>
                <w:color w:val="auto"/>
              </w:rPr>
            </w:pPr>
            <w:r>
              <w:rPr>
                <w:rFonts w:ascii="Arial" w:cs="Arial" w:eastAsia="Arial" w:hAnsi="Arial"/>
                <w:sz w:val="18"/>
                <w:szCs w:val="18"/>
                <w:b w:val="1"/>
                <w:bCs w:val="1"/>
                <w:color w:val="auto"/>
                <w:w w:val="95"/>
              </w:rPr>
              <w:t>SECRETARY</w:t>
            </w:r>
          </w:p>
        </w:tc>
        <w:tc>
          <w:tcPr>
            <w:tcW w:w="5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PRESIDENT</w:t>
            </w:r>
          </w:p>
        </w:tc>
      </w:tr>
      <w:tr>
        <w:trPr>
          <w:trHeight w:val="405"/>
        </w:trPr>
        <w:tc>
          <w:tcPr>
            <w:tcW w:w="1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540" w:type="dxa"/>
            <w:vAlign w:val="bottom"/>
            <w:tcBorders>
              <w:bottom w:val="single" w:sz="8" w:color="auto"/>
            </w:tcBorders>
            <w:gridSpan w:val="3"/>
          </w:tcPr>
          <w:p>
            <w:pPr>
              <w:ind w:left="1760"/>
              <w:spacing w:after="0"/>
              <w:rPr>
                <w:sz w:val="20"/>
                <w:szCs w:val="20"/>
                <w:color w:val="auto"/>
              </w:rPr>
            </w:pPr>
            <w:r>
              <w:rPr>
                <w:rFonts w:ascii="Arial" w:cs="Arial" w:eastAsia="Arial" w:hAnsi="Arial"/>
                <w:sz w:val="18"/>
                <w:szCs w:val="18"/>
                <w:color w:val="auto"/>
              </w:rPr>
              <w:t>/s/</w:t>
            </w:r>
          </w:p>
        </w:tc>
        <w:tc>
          <w:tcPr>
            <w:tcW w:w="102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r>
      <w:tr>
        <w:trPr>
          <w:trHeight w:val="217"/>
        </w:trPr>
        <w:tc>
          <w:tcPr>
            <w:tcW w:w="1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AUTHORIZED REPRESENTATIVE</w:t>
            </w:r>
          </w:p>
        </w:tc>
        <w:tc>
          <w:tcPr>
            <w:tcW w:w="10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439"/>
        </w:trPr>
        <w:tc>
          <w:tcPr>
            <w:tcW w:w="1060" w:type="dxa"/>
            <w:vAlign w:val="bottom"/>
          </w:tcPr>
          <w:p>
            <w:pPr>
              <w:spacing w:after="0"/>
              <w:rPr>
                <w:sz w:val="24"/>
                <w:szCs w:val="24"/>
                <w:color w:val="auto"/>
              </w:rPr>
            </w:pPr>
          </w:p>
        </w:tc>
        <w:tc>
          <w:tcPr>
            <w:tcW w:w="5920" w:type="dxa"/>
            <w:vAlign w:val="bottom"/>
            <w:gridSpan w:val="4"/>
          </w:tcPr>
          <w:p>
            <w:pPr>
              <w:spacing w:after="0"/>
              <w:rPr>
                <w:sz w:val="24"/>
                <w:szCs w:val="24"/>
                <w:color w:val="auto"/>
              </w:rPr>
            </w:pPr>
          </w:p>
        </w:tc>
        <w:tc>
          <w:tcPr>
            <w:tcW w:w="4440" w:type="dxa"/>
            <w:vAlign w:val="bottom"/>
            <w:gridSpan w:val="2"/>
          </w:tcPr>
          <w:p>
            <w:pPr>
              <w:spacing w:after="0"/>
              <w:rPr>
                <w:sz w:val="24"/>
                <w:szCs w:val="24"/>
                <w:color w:val="auto"/>
              </w:rPr>
            </w:pPr>
          </w:p>
        </w:tc>
      </w:tr>
      <w:tr>
        <w:trPr>
          <w:trHeight w:val="216"/>
        </w:trPr>
        <w:tc>
          <w:tcPr>
            <w:tcW w:w="106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gridSpan w:val="2"/>
          </w:tcPr>
          <w:p>
            <w:pPr>
              <w:jc w:val="center"/>
              <w:ind w:right="972"/>
              <w:spacing w:after="0"/>
              <w:rPr>
                <w:sz w:val="20"/>
                <w:szCs w:val="20"/>
                <w:color w:val="auto"/>
              </w:rPr>
            </w:pPr>
            <w:r>
              <w:rPr>
                <w:rFonts w:ascii="Arial" w:cs="Arial" w:eastAsia="Arial" w:hAnsi="Arial"/>
                <w:sz w:val="18"/>
                <w:szCs w:val="18"/>
                <w:color w:val="auto"/>
                <w:w w:val="93"/>
              </w:rPr>
              <w:t>COUNTERSIGNATURE DATE</w:t>
            </w:r>
          </w:p>
        </w:tc>
        <w:tc>
          <w:tcPr>
            <w:tcW w:w="5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COUNTERSIGNED AT</w:t>
            </w:r>
          </w:p>
        </w:tc>
      </w:tr>
      <w:tr>
        <w:trPr>
          <w:trHeight w:val="370"/>
        </w:trPr>
        <w:tc>
          <w:tcPr>
            <w:tcW w:w="6980" w:type="dxa"/>
            <w:vAlign w:val="bottom"/>
            <w:gridSpan w:val="5"/>
          </w:tcPr>
          <w:p>
            <w:pPr>
              <w:spacing w:after="0"/>
              <w:rPr>
                <w:sz w:val="20"/>
                <w:szCs w:val="20"/>
                <w:color w:val="auto"/>
              </w:rPr>
            </w:pPr>
            <w:r>
              <w:rPr>
                <w:rFonts w:ascii="Arial" w:cs="Arial" w:eastAsia="Arial" w:hAnsi="Arial"/>
                <w:sz w:val="18"/>
                <w:szCs w:val="18"/>
                <w:b w:val="1"/>
                <w:bCs w:val="1"/>
                <w:color w:val="auto"/>
              </w:rPr>
              <w:t>AON RISK SERVICES INC OF NY</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05"/>
        </w:trPr>
        <w:tc>
          <w:tcPr>
            <w:tcW w:w="6980" w:type="dxa"/>
            <w:vAlign w:val="bottom"/>
            <w:gridSpan w:val="5"/>
          </w:tcPr>
          <w:p>
            <w:pPr>
              <w:spacing w:after="0"/>
              <w:rPr>
                <w:sz w:val="20"/>
                <w:szCs w:val="20"/>
                <w:color w:val="auto"/>
              </w:rPr>
            </w:pPr>
            <w:r>
              <w:rPr>
                <w:rFonts w:ascii="Arial" w:cs="Arial" w:eastAsia="Arial" w:hAnsi="Arial"/>
                <w:sz w:val="18"/>
                <w:szCs w:val="18"/>
                <w:b w:val="1"/>
                <w:bCs w:val="1"/>
                <w:color w:val="auto"/>
              </w:rPr>
              <w:t>55 EAST 52</w:t>
            </w:r>
            <w:r>
              <w:rPr>
                <w:rFonts w:ascii="Arial" w:cs="Arial" w:eastAsia="Arial" w:hAnsi="Arial"/>
                <w:sz w:val="22"/>
                <w:szCs w:val="22"/>
                <w:b w:val="1"/>
                <w:bCs w:val="1"/>
                <w:color w:val="auto"/>
                <w:vertAlign w:val="superscript"/>
              </w:rPr>
              <w:t>ND</w:t>
            </w:r>
            <w:r>
              <w:rPr>
                <w:rFonts w:ascii="Arial" w:cs="Arial" w:eastAsia="Arial" w:hAnsi="Arial"/>
                <w:sz w:val="18"/>
                <w:szCs w:val="18"/>
                <w:b w:val="1"/>
                <w:bCs w:val="1"/>
                <w:color w:val="auto"/>
              </w:rPr>
              <w:t xml:space="preserve"> STREET</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30" w:lineRule="auto"/>
        <w:rPr>
          <w:sz w:val="20"/>
          <w:szCs w:val="20"/>
          <w:color w:val="auto"/>
        </w:rPr>
      </w:pPr>
      <w:r>
        <w:rPr>
          <w:rFonts w:ascii="Arial" w:cs="Arial" w:eastAsia="Arial" w:hAnsi="Arial"/>
          <w:sz w:val="18"/>
          <w:szCs w:val="18"/>
          <w:b w:val="1"/>
          <w:bCs w:val="1"/>
          <w:color w:val="auto"/>
        </w:rPr>
        <w:t>33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10055-47-25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COMPANY BLANKET BOND</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INSURING AGREEMENTS</w:t>
      </w:r>
    </w:p>
    <w:p>
      <w:pPr>
        <w:spacing w:after="0" w:line="21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FIDELITY</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ectPr>
          <w:pgSz w:w="11900" w:h="16864" w:orient="portrait"/>
          <w:cols w:equalWidth="0" w:num="1">
            <w:col w:w="11420"/>
          </w:cols>
          <w:pgMar w:left="240" w:top="125" w:right="239" w:bottom="0" w:gutter="0" w:footer="0" w:header="0"/>
          <w:type w:val="continuous"/>
        </w:sectPr>
      </w:pPr>
    </w:p>
    <w:bookmarkStart w:id="2" w:name="page3"/>
    <w:bookmarkEnd w:id="2"/>
    <w:p>
      <w:pPr>
        <w:spacing w:after="0" w:line="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51" w:lineRule="exact"/>
        <w:rPr>
          <w:sz w:val="20"/>
          <w:szCs w:val="20"/>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900" w:right="340" w:hanging="446"/>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6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 examinations required by any governmental regulatory authority to be conducted</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4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 and Equipment</w:t>
      </w:r>
    </w:p>
    <w:p>
      <w:pPr>
        <w:spacing w:after="0" w:line="212" w:lineRule="exact"/>
        <w:rPr>
          <w:sz w:val="20"/>
          <w:szCs w:val="20"/>
          <w:color w:val="auto"/>
        </w:rPr>
      </w:pPr>
    </w:p>
    <w:p>
      <w:pPr>
        <w:ind w:left="900" w:right="16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4"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TRANSIT</w:t>
      </w:r>
    </w:p>
    <w:p>
      <w:pPr>
        <w:spacing w:after="0" w:line="84"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3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 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12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9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59" w:lineRule="exact"/>
        <w:rPr>
          <w:sz w:val="20"/>
          <w:szCs w:val="20"/>
          <w:color w:val="auto"/>
        </w:rPr>
      </w:pPr>
    </w:p>
    <w:p>
      <w:pPr>
        <w:ind w:left="900" w:right="2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forged as to the signature of any maker, drawer, issuer, endorser, assignor, lessee, transfer agent or registrar, acceptor, surety or guarantor or as to the signature of any person signing in any other capacity,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guaranteed in writing or witnessed any signatures whether for valuable consideration or not and whether or not such guaranteeing or</w:t>
      </w:r>
    </w:p>
    <w:p>
      <w:pPr>
        <w:sectPr>
          <w:pgSz w:w="11900" w:h="16865" w:orient="portrait"/>
          <w:cols w:equalWidth="0" w:num="1">
            <w:col w:w="11420"/>
          </w:cols>
          <w:pgMar w:left="240" w:top="131" w:right="239" w:bottom="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920" w:right="60"/>
        <w:spacing w:after="0" w:line="254" w:lineRule="auto"/>
        <w:rPr>
          <w:sz w:val="20"/>
          <w:szCs w:val="20"/>
          <w:color w:val="auto"/>
        </w:rPr>
      </w:pPr>
      <w:r>
        <w:rPr>
          <w:rFonts w:ascii="Arial" w:cs="Arial" w:eastAsia="Arial" w:hAnsi="Arial"/>
          <w:sz w:val="18"/>
          <w:szCs w:val="18"/>
          <w:color w:val="auto"/>
        </w:rPr>
        <w:t>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63"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2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The word “counterfeited” as used in this Insuring Agreement shall be deemed to mean any security, document or other written instrument which is intended to deceive and to be taken for an original.</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9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COUNTERFEIT CURRENCY</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6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STOP PAYMENT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Loss against any and all sums which the Insured shall become obligated to pay by reason of the Liability imposed upon the Insured by law for damages:</w:t>
      </w:r>
    </w:p>
    <w:p>
      <w:pPr>
        <w:spacing w:after="0" w:line="113"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59"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For having refused to pay any check or draft made or drawn by any customer, shareholder or subscriber of the Insured or any Authorized Representative of such customer, shareholder or subscriber.</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loss resulting from any Item of Deposit processed through an Automated Clearing House which is reversed by the customer, shareholder or subscriber and deemed uncollectible by the Insured.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AGREEMENTS</w:t>
      </w:r>
    </w:p>
    <w:p>
      <w:pPr>
        <w:spacing w:after="0" w:line="20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OFFICES OR EMPLOYEES-CONSOLIDATION OR MERGER-NOTICE</w:t>
      </w:r>
    </w:p>
    <w:p>
      <w:pPr>
        <w:spacing w:after="0" w:line="90" w:lineRule="exact"/>
        <w:rPr>
          <w:rFonts w:ascii="Arial" w:cs="Arial" w:eastAsia="Arial" w:hAnsi="Arial"/>
          <w:sz w:val="18"/>
          <w:szCs w:val="18"/>
          <w:color w:val="auto"/>
        </w:rPr>
      </w:pPr>
    </w:p>
    <w:p>
      <w:pPr>
        <w:ind w:left="900" w:right="140" w:hanging="446"/>
        <w:spacing w:after="0" w:line="256"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62" w:lineRule="exact"/>
        <w:rPr>
          <w:rFonts w:ascii="Arial" w:cs="Arial" w:eastAsia="Arial" w:hAnsi="Arial"/>
          <w:sz w:val="18"/>
          <w:szCs w:val="18"/>
          <w:color w:val="auto"/>
        </w:rPr>
      </w:pPr>
    </w:p>
    <w:p>
      <w:pPr>
        <w:ind w:left="900" w:right="220" w:hanging="446"/>
        <w:spacing w:after="0" w:line="256"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64"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5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COURT COSTS AND ATTORNEYS’ FEES (Applicable to all Insuring Agreements or Coverages now or hereafter forming part of this bond)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3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 including Larceny or Embezzlement;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Employee is adjudicated to be guilty of any dishonest or fraudulent act(s), including Larceny or Embezzlement;</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 agreed statement of facts, that an Employee would be found guilty of dishonesty if such Employee were prosecuted.</w:t>
      </w:r>
    </w:p>
    <w:p>
      <w:pPr>
        <w:spacing w:after="0" w:line="132"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w:t>
      </w:r>
    </w:p>
    <w:p>
      <w:pPr>
        <w:sectPr>
          <w:pgSz w:w="11900" w:h="16838" w:orient="portrait"/>
          <w:cols w:equalWidth="0" w:num="1">
            <w:col w:w="11400"/>
          </w:cols>
          <w:pgMar w:left="240" w:top="280" w:right="259" w:bottom="0" w:gutter="0" w:footer="0" w:header="0"/>
        </w:sectPr>
      </w:pPr>
    </w:p>
    <w:bookmarkStart w:id="4" w:name="page5"/>
    <w:bookmarkEnd w:id="4"/>
    <w:p>
      <w:pPr>
        <w:ind w:right="20"/>
        <w:spacing w:after="0" w:line="268" w:lineRule="auto"/>
        <w:rPr>
          <w:sz w:val="20"/>
          <w:szCs w:val="20"/>
          <w:color w:val="auto"/>
        </w:rPr>
      </w:pPr>
      <w:r>
        <w:rPr>
          <w:rFonts w:ascii="Arial" w:cs="Arial" w:eastAsia="Arial" w:hAnsi="Arial"/>
          <w:sz w:val="18"/>
          <w:szCs w:val="18"/>
          <w:color w:val="auto"/>
        </w:rPr>
        <w:t>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3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FOREGOING INSURING AGREEMENTS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 ARE SUBJECT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FOLLOWING CONDITIONS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LIMITATIONS: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9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pacing w:after="0" w:line="5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90" w:lineRule="exact"/>
        <w:rPr>
          <w:rFonts w:ascii="Arial" w:cs="Arial" w:eastAsia="Arial" w:hAnsi="Arial"/>
          <w:sz w:val="18"/>
          <w:szCs w:val="18"/>
          <w:color w:val="auto"/>
        </w:rPr>
      </w:pPr>
    </w:p>
    <w:p>
      <w:pPr>
        <w:ind w:left="1480" w:right="60" w:hanging="567"/>
        <w:spacing w:after="0" w:line="298"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31" w:lineRule="exact"/>
        <w:rPr>
          <w:rFonts w:ascii="Arial" w:cs="Arial" w:eastAsia="Arial" w:hAnsi="Arial"/>
          <w:sz w:val="16"/>
          <w:szCs w:val="16"/>
          <w:color w:val="auto"/>
        </w:rPr>
      </w:pPr>
    </w:p>
    <w:p>
      <w:pPr>
        <w:ind w:left="1480" w:right="160" w:hanging="567"/>
        <w:spacing w:after="0" w:line="268"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50" w:lineRule="exact"/>
        <w:rPr>
          <w:rFonts w:ascii="Arial" w:cs="Arial" w:eastAsia="Arial" w:hAnsi="Arial"/>
          <w:sz w:val="18"/>
          <w:szCs w:val="18"/>
          <w:color w:val="auto"/>
        </w:rPr>
      </w:pPr>
    </w:p>
    <w:p>
      <w:pPr>
        <w:ind w:left="1480" w:right="200" w:hanging="567"/>
        <w:spacing w:after="0" w:line="306"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 section (9) hereof, and</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90" w:lineRule="exact"/>
        <w:rPr>
          <w:sz w:val="20"/>
          <w:szCs w:val="20"/>
          <w:color w:val="auto"/>
        </w:rPr>
      </w:pPr>
    </w:p>
    <w:p>
      <w:pPr>
        <w:ind w:left="1500"/>
        <w:spacing w:after="0" w:line="291"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5" w:lineRule="exact"/>
        <w:rPr>
          <w:sz w:val="20"/>
          <w:szCs w:val="20"/>
          <w:color w:val="auto"/>
        </w:rPr>
      </w:pPr>
    </w:p>
    <w:p>
      <w:pPr>
        <w:ind w:left="1500" w:right="460"/>
        <w:spacing w:after="0" w:line="255" w:lineRule="auto"/>
        <w:rPr>
          <w:sz w:val="20"/>
          <w:szCs w:val="20"/>
          <w:color w:val="auto"/>
        </w:rPr>
      </w:pPr>
      <w:r>
        <w:rPr>
          <w:rFonts w:ascii="Arial" w:cs="Arial" w:eastAsia="Arial" w:hAnsi="Arial"/>
          <w:sz w:val="18"/>
          <w:szCs w:val="18"/>
          <w:color w:val="auto"/>
        </w:rPr>
        <w:t>Each employer of temporary personnel or processors as set forth in Sub-Sections (6) and of Section l(a) and their partners, officers and employees shall collectively be deemed to be one person for all the purposes of this bond, excepting, however, the last paragraph of Section 13.</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90" w:lineRule="exact"/>
        <w:rPr>
          <w:sz w:val="20"/>
          <w:szCs w:val="20"/>
          <w:color w:val="auto"/>
        </w:rPr>
      </w:pPr>
    </w:p>
    <w:p>
      <w:pPr>
        <w:ind w:left="900" w:right="20" w:hanging="446"/>
        <w:spacing w:after="0" w:line="307"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30" w:lineRule="exact"/>
        <w:rPr>
          <w:rFonts w:ascii="Arial" w:cs="Arial" w:eastAsia="Arial" w:hAnsi="Arial"/>
          <w:sz w:val="15"/>
          <w:szCs w:val="15"/>
          <w:color w:val="auto"/>
        </w:rPr>
      </w:pPr>
    </w:p>
    <w:p>
      <w:pPr>
        <w:ind w:left="900" w:right="6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 include the signing of one’s own name with or without authority, in any capacity, for any purpose.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“Larceny and Embezzlement” as it applies to any named Insured means those acts as set forth in Section 37 of the Investment Company Act of 1940.</w:t>
      </w:r>
    </w:p>
    <w:p>
      <w:pPr>
        <w:sectPr>
          <w:pgSz w:w="11900" w:h="16838" w:orient="portrait"/>
          <w:cols w:equalWidth="0" w:num="1">
            <w:col w:w="11420"/>
          </w:cols>
          <w:pgMar w:left="240" w:top="131" w:right="239" w:bottom="0" w:gutter="0" w:footer="0" w:header="0"/>
        </w:sectPr>
      </w:pPr>
    </w:p>
    <w:bookmarkStart w:id="5" w:name="page6"/>
    <w:bookmarkEnd w:id="5"/>
    <w:p>
      <w:pPr>
        <w:spacing w:after="0" w:line="58" w:lineRule="exact"/>
        <w:rPr>
          <w:sz w:val="20"/>
          <w:szCs w:val="20"/>
          <w:color w:val="auto"/>
        </w:rPr>
      </w:pPr>
    </w:p>
    <w:p>
      <w:pPr>
        <w:ind w:left="900" w:right="5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“Items of Deposit” means any one or more checks and drafts. Items of Deposit shall not be deemed uncollectible until the Insured’s collection procedures have failed.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2. EXCLUSIONS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90" w:lineRule="exact"/>
        <w:rPr>
          <w:sz w:val="20"/>
          <w:szCs w:val="20"/>
          <w:color w:val="auto"/>
        </w:rPr>
      </w:pPr>
    </w:p>
    <w:p>
      <w:pPr>
        <w:ind w:left="900" w:right="3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50" w:lineRule="exact"/>
        <w:rPr>
          <w:rFonts w:ascii="Arial" w:cs="Arial" w:eastAsia="Arial" w:hAnsi="Arial"/>
          <w:sz w:val="18"/>
          <w:szCs w:val="18"/>
          <w:color w:val="auto"/>
        </w:rPr>
      </w:pPr>
    </w:p>
    <w:p>
      <w:pPr>
        <w:ind w:left="900" w:right="160" w:hanging="446"/>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62"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15" w:lineRule="exact"/>
        <w:rPr>
          <w:sz w:val="20"/>
          <w:szCs w:val="20"/>
          <w:color w:val="auto"/>
        </w:rPr>
      </w:pPr>
    </w:p>
    <w:p>
      <w:pPr>
        <w:ind w:left="900" w:right="80" w:hanging="446"/>
        <w:spacing w:after="0" w:line="25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6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9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of law regulating (a) the issuance, purchase or sale of securities, (b) securities transactions upon Security Exchanges or over the counter market, (c) Investment Companies, or (d) Investment Advisors, or</w:t>
      </w:r>
    </w:p>
    <w:p>
      <w:pPr>
        <w:spacing w:after="0" w:line="50" w:lineRule="exact"/>
        <w:rPr>
          <w:rFonts w:ascii="Arial" w:cs="Arial" w:eastAsia="Arial" w:hAnsi="Arial"/>
          <w:sz w:val="18"/>
          <w:szCs w:val="18"/>
          <w:color w:val="auto"/>
        </w:rPr>
      </w:pPr>
    </w:p>
    <w:p>
      <w:pPr>
        <w:ind w:left="1480" w:right="40" w:hanging="567"/>
        <w:spacing w:after="0" w:line="268" w:lineRule="auto"/>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such loss, in the absence of such laws, rules or regulations, would be covered under Insuring Agreements (A) or (E).</w:t>
      </w:r>
    </w:p>
    <w:p>
      <w:pPr>
        <w:spacing w:after="0" w:line="50" w:lineRule="exact"/>
        <w:rPr>
          <w:rFonts w:ascii="Arial" w:cs="Arial" w:eastAsia="Arial" w:hAnsi="Arial"/>
          <w:sz w:val="18"/>
          <w:szCs w:val="18"/>
          <w:color w:val="auto"/>
        </w:rPr>
      </w:pPr>
    </w:p>
    <w:p>
      <w:pPr>
        <w:ind w:left="900" w:right="60" w:hanging="446"/>
        <w:spacing w:after="0" w:line="305"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loss of Property or loss of privileges through the misplacement or loss of Property as set forth in Insuring Agreement (C) or (D) while the Property is in the custody of any armored motor vehicle company, unless such loss shall be in excess of the amount recovered or received by the Insured under</w:t>
      </w:r>
    </w:p>
    <w:p>
      <w:pPr>
        <w:jc w:val="both"/>
        <w:ind w:left="900" w:right="60" w:hanging="1"/>
        <w:spacing w:after="0" w:line="255" w:lineRule="auto"/>
        <w:tabs>
          <w:tab w:leader="none" w:pos="113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Insured’s contract with said armored motor vehicle company, (b)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6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 because of a loss covered under this bond, except as included under Insuring Agreement (I).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damages of any type for which the Insured is legally liable, except direct compensatory damages arising from a loss covered under this bond.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5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5" w:lineRule="exact"/>
        <w:rPr>
          <w:sz w:val="20"/>
          <w:szCs w:val="20"/>
          <w:color w:val="auto"/>
        </w:rPr>
      </w:pPr>
    </w:p>
    <w:p>
      <w:pPr>
        <w:ind w:left="900" w:right="360" w:hanging="446"/>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SECTION 3. ASSIGNMENT OF RIGHTS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This bond does not afford coverage in favor of any Employers of temporary personnel or of processors as set forth in sub-sections (6) and (7) of Section l(a)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 LOSS -NOTICE -PROOF-LEGAL PROCEEDINGS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w:t>
      </w:r>
    </w:p>
    <w:p>
      <w:pPr>
        <w:sectPr>
          <w:pgSz w:w="11900" w:h="16897" w:orient="portrait"/>
          <w:cols w:equalWidth="0" w:num="1">
            <w:col w:w="11420"/>
          </w:cols>
          <w:pgMar w:left="240" w:top="131" w:right="239" w:bottom="0" w:gutter="0" w:footer="0" w:header="0"/>
        </w:sectPr>
      </w:pPr>
    </w:p>
    <w:bookmarkStart w:id="6" w:name="page7"/>
    <w:bookmarkEnd w:id="6"/>
    <w:p>
      <w:pPr>
        <w:ind w:right="60"/>
        <w:spacing w:after="0" w:line="268" w:lineRule="auto"/>
        <w:rPr>
          <w:sz w:val="20"/>
          <w:szCs w:val="20"/>
          <w:color w:val="auto"/>
        </w:rPr>
      </w:pPr>
      <w:r>
        <w:rPr>
          <w:rFonts w:ascii="Arial" w:cs="Arial" w:eastAsia="Arial" w:hAnsi="Arial"/>
          <w:sz w:val="18"/>
          <w:szCs w:val="18"/>
          <w:color w:val="auto"/>
        </w:rPr>
        <w:t>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Discovery occurs when the Insured</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receives written notice of an actual or potential claim by a third party which alleges that the Insured is liable under circumstance</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5. VALUATION OF PROPERTY</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1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6. VALUATION OF PREMISES AND FURNISHINGS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7. LOST SECURITIES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Underwriter shall make payment to the Insured for any loss of securities, the Insured shall thereupon assign to the Underwriter all of the Insured’s rights, title and interests in and to said securities.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8. SALVAGE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9. NON-REDUCTION AND NON-ACCUMULATION OF LIABILITY AND TOTAL LIABILITY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62" w:lineRule="exact"/>
        <w:rPr>
          <w:sz w:val="20"/>
          <w:szCs w:val="20"/>
          <w:color w:val="auto"/>
        </w:rPr>
      </w:pPr>
    </w:p>
    <w:p>
      <w:pPr>
        <w:ind w:left="9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15" w:lineRule="exact"/>
        <w:rPr>
          <w:sz w:val="20"/>
          <w:szCs w:val="20"/>
          <w:color w:val="auto"/>
        </w:rPr>
      </w:pPr>
    </w:p>
    <w:p>
      <w:pPr>
        <w:ind w:left="900" w:right="440" w:hanging="446"/>
        <w:spacing w:after="0" w:line="261"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one unintentional or negligent act on the part of any one person resulting in damage to or destruction or misplacement of Property, shall be deemed to be one loss, or</w:t>
      </w:r>
    </w:p>
    <w:p>
      <w:pPr>
        <w:spacing w:after="0" w:line="56"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any one person shall be deemed to be one loss, or</w:t>
      </w:r>
    </w:p>
    <w:p>
      <w:pPr>
        <w:spacing w:after="0" w:line="90"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one casualty or event other than those specified in (a), (b), (c) or (d) preceding, shall be deemed to be one loss, and</w:t>
      </w:r>
    </w:p>
    <w:p>
      <w:pPr>
        <w:sectPr>
          <w:pgSz w:w="11900" w:h="16838" w:orient="portrait"/>
          <w:cols w:equalWidth="0" w:num="1">
            <w:col w:w="11380"/>
          </w:cols>
          <w:pgMar w:left="240" w:top="131" w:right="279" w:bottom="0" w:gutter="0" w:footer="0" w:header="0"/>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10. LIMIT OF LIABILITY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11. OTHER INSURANCE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12. DEDUCTIBLE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shall be no deductible applicable to any loss under Insuring Agreement A sustained by any Investment Company named as Insured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SECTION 13. TERMINATION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Underwriter may terminate this bond as an entirety by furnishing written notice specifying the termination date which cannot be prior to 60 days after the receipt of such written notice by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Underwriter shall refund the unearned premium computed at short rates in accordance with the standard short rate cancellation tables if terminated by the Insured or pro rata if terminated for any other reason.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Bond shall terminate</w:t>
      </w:r>
    </w:p>
    <w:p>
      <w:pPr>
        <w:spacing w:after="0" w:line="90" w:lineRule="exact"/>
        <w:rPr>
          <w:sz w:val="20"/>
          <w:szCs w:val="20"/>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5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14. RIGHTS AFTER TERMINATION OR CANCELLATION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51" w:lineRule="exact"/>
        <w:rPr>
          <w:sz w:val="20"/>
          <w:szCs w:val="20"/>
          <w:color w:val="auto"/>
        </w:rPr>
      </w:pPr>
    </w:p>
    <w:p>
      <w:pPr>
        <w:ind w:left="900" w:right="3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4"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without the necessity of the Underwriter giving notice of such termination. In the event that such additional period of time is terminated, as provided above, the Underwriter shall refund any unearned premium.</w:t>
      </w:r>
    </w:p>
    <w:p>
      <w:pPr>
        <w:sectPr>
          <w:pgSz w:w="11900" w:h="16838" w:orient="portrait"/>
          <w:cols w:equalWidth="0" w:num="1">
            <w:col w:w="11420"/>
          </w:cols>
          <w:pgMar w:left="240" w:top="131" w:right="239" w:bottom="0" w:gutter="0" w:footer="0" w:header="0"/>
        </w:sectPr>
      </w:pPr>
    </w:p>
    <w:bookmarkStart w:id="8" w:name="page9"/>
    <w:bookmarkEnd w:id="8"/>
    <w:p>
      <w:pPr>
        <w:spacing w:after="0" w:line="7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SECTION 15. CENTRAL HANDLING OF SECURITIES</w:t>
      </w:r>
    </w:p>
    <w:p>
      <w:pPr>
        <w:spacing w:after="0" w:line="8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16. ADDITIONAL COMPANIES INCLUDED AS INSURED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more than one corporation, co-partnership or person or any combination of them be included as the Insured herein:</w:t>
      </w:r>
    </w:p>
    <w:p>
      <w:pPr>
        <w:spacing w:after="0" w:line="90" w:lineRule="exact"/>
        <w:rPr>
          <w:sz w:val="20"/>
          <w:szCs w:val="20"/>
          <w:color w:val="auto"/>
        </w:rPr>
      </w:pPr>
    </w:p>
    <w:p>
      <w:pPr>
        <w:ind w:left="900" w:right="1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5" w:lineRule="exact"/>
        <w:rPr>
          <w:sz w:val="20"/>
          <w:szCs w:val="20"/>
          <w:color w:val="auto"/>
        </w:rPr>
      </w:pPr>
    </w:p>
    <w:p>
      <w:pPr>
        <w:ind w:left="920" w:right="440"/>
        <w:spacing w:after="0" w:line="323" w:lineRule="auto"/>
        <w:rPr>
          <w:sz w:val="20"/>
          <w:szCs w:val="20"/>
          <w:color w:val="auto"/>
        </w:rPr>
      </w:pPr>
      <w:r>
        <w:rPr>
          <w:rFonts w:ascii="Arial" w:cs="Arial" w:eastAsia="Arial" w:hAnsi="Arial"/>
          <w:sz w:val="16"/>
          <w:szCs w:val="16"/>
          <w:color w:val="auto"/>
        </w:rPr>
        <w:t>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1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17. NOTICE AND CHANGE OF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Insured’s obtaining knowledge of a transfer of its outstanding voting securities which results in a change in control (as set forth in Section 2(a)</w:t>
      </w:r>
    </w:p>
    <w:p>
      <w:pPr>
        <w:spacing w:after="0" w:line="38" w:lineRule="exact"/>
        <w:rPr>
          <w:sz w:val="20"/>
          <w:szCs w:val="20"/>
          <w:color w:val="auto"/>
        </w:rPr>
      </w:pPr>
    </w:p>
    <w:p>
      <w:pPr>
        <w:ind w:right="300" w:firstLine="8"/>
        <w:spacing w:after="0" w:line="261"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the Investment Company Act of 1940) of the Insured, the Insured shall within thirty (30) days of such knowledge give written notice to the Underwriter setting forth:</w:t>
      </w:r>
    </w:p>
    <w:p>
      <w:pPr>
        <w:spacing w:after="0" w:line="56"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names of the transferors and transferees (or the names of the beneficial owners if the voting securities are requested in another name), and</w:t>
      </w:r>
    </w:p>
    <w:p>
      <w:pPr>
        <w:spacing w:after="0" w:line="113" w:lineRule="exact"/>
        <w:rPr>
          <w:rFonts w:ascii="Arial" w:cs="Arial" w:eastAsia="Arial" w:hAnsi="Arial"/>
          <w:sz w:val="16"/>
          <w:szCs w:val="16"/>
          <w:color w:val="auto"/>
        </w:rPr>
      </w:pPr>
    </w:p>
    <w:p>
      <w:pPr>
        <w:ind w:left="900" w:right="24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control means the power to exercise a controlling influence over the management or policies of the Insured.</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Failure to give the required notice shall result in termination of coverage of this bond, effective upon the date of stock transfer for any loss in which any transferee is concerned or implicated.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18. CHANGE OR MODIFICATION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w:t>
      </w:r>
    </w:p>
    <w:p>
      <w:pPr>
        <w:sectPr>
          <w:pgSz w:w="11900" w:h="16909" w:orient="portrait"/>
          <w:cols w:equalWidth="0" w:num="1">
            <w:col w:w="11420"/>
          </w:cols>
          <w:pgMar w:left="240" w:top="131" w:right="239" w:bottom="0" w:gutter="0" w:footer="0" w:header="0"/>
        </w:sectPr>
      </w:pPr>
    </w:p>
    <w:bookmarkStart w:id="9" w:name="page10"/>
    <w:bookmarkEnd w:id="9"/>
    <w:p>
      <w:pPr>
        <w:ind w:right="340"/>
        <w:spacing w:after="0" w:line="268" w:lineRule="auto"/>
        <w:rPr>
          <w:sz w:val="20"/>
          <w:szCs w:val="20"/>
          <w:color w:val="auto"/>
        </w:rPr>
      </w:pPr>
      <w:r>
        <w:rPr>
          <w:rFonts w:ascii="Arial" w:cs="Arial" w:eastAsia="Arial" w:hAnsi="Arial"/>
          <w:sz w:val="18"/>
          <w:szCs w:val="18"/>
          <w:color w:val="auto"/>
        </w:rPr>
        <w:t>Commission, Washington, D.C. not less than 60 days prior to the effective date of any change or modification which would adversely affect the rights of such Investment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Termination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attached bond is hereby amended by deleting Section 13., TERMINATION, in its entirety and substituting the following:</w:t>
      </w:r>
    </w:p>
    <w:p>
      <w:pPr>
        <w:spacing w:after="0" w:line="90"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The Underwriter may terminate this bond as an entirety by furnishing written notice specifying the termination date which cannot be prior to 90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90 days before the effective date of termination. The Underwriter shall notify all other Investment Companies named as Insured of the receipt of such termination notice and the termination cannot be effective prior to 90 days after receipt of written notice by all other Investment Companies. Premiums are earned until the termination date as set forth herein.</w:t>
      </w:r>
    </w:p>
    <w:p>
      <w:pPr>
        <w:spacing w:after="0" w:line="39" w:lineRule="exact"/>
        <w:rPr>
          <w:rFonts w:ascii="Arial" w:cs="Arial" w:eastAsia="Arial" w:hAnsi="Arial"/>
          <w:sz w:val="18"/>
          <w:szCs w:val="18"/>
          <w:color w:val="auto"/>
        </w:rPr>
      </w:pPr>
    </w:p>
    <w:p>
      <w:pPr>
        <w:ind w:left="460" w:right="140"/>
        <w:spacing w:after="0" w:line="298" w:lineRule="auto"/>
        <w:rPr>
          <w:rFonts w:ascii="Arial" w:cs="Arial" w:eastAsia="Arial" w:hAnsi="Arial"/>
          <w:sz w:val="18"/>
          <w:szCs w:val="18"/>
          <w:color w:val="auto"/>
        </w:rPr>
      </w:pPr>
      <w:r>
        <w:rPr>
          <w:rFonts w:ascii="Arial" w:cs="Arial" w:eastAsia="Arial" w:hAnsi="Arial"/>
          <w:sz w:val="16"/>
          <w:szCs w:val="16"/>
          <w:color w:val="auto"/>
        </w:rPr>
        <w:t>This bond will terminate as to any one Insured, (other than a registered management investment company),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31" w:lineRule="exact"/>
        <w:rPr>
          <w:rFonts w:ascii="Arial" w:cs="Arial" w:eastAsia="Arial" w:hAnsi="Arial"/>
          <w:sz w:val="18"/>
          <w:szCs w:val="18"/>
          <w:color w:val="auto"/>
        </w:rPr>
      </w:pPr>
    </w:p>
    <w:p>
      <w:pPr>
        <w:ind w:left="460" w:right="280"/>
        <w:spacing w:after="0" w:line="268" w:lineRule="auto"/>
        <w:rPr>
          <w:rFonts w:ascii="Arial" w:cs="Arial" w:eastAsia="Arial" w:hAnsi="Arial"/>
          <w:sz w:val="18"/>
          <w:szCs w:val="18"/>
          <w:color w:val="auto"/>
        </w:rPr>
      </w:pPr>
      <w:r>
        <w:rPr>
          <w:rFonts w:ascii="Arial" w:cs="Arial" w:eastAsia="Arial" w:hAnsi="Arial"/>
          <w:sz w:val="18"/>
          <w:szCs w:val="18"/>
          <w:color w:val="auto"/>
        </w:rPr>
        <w:t>This bond will terminate as to any registered management investment company upon the expiration of 90 days after written notice has been given to the Securities and Exchange Commission, Washington, DC.</w:t>
      </w:r>
    </w:p>
    <w:p>
      <w:pPr>
        <w:spacing w:after="0" w:line="50" w:lineRule="exact"/>
        <w:rPr>
          <w:rFonts w:ascii="Arial" w:cs="Arial" w:eastAsia="Arial" w:hAnsi="Arial"/>
          <w:sz w:val="18"/>
          <w:szCs w:val="18"/>
          <w:color w:val="auto"/>
        </w:rPr>
      </w:pPr>
    </w:p>
    <w:p>
      <w:pPr>
        <w:ind w:left="460" w:right="120"/>
        <w:spacing w:after="0" w:line="268" w:lineRule="auto"/>
        <w:rPr>
          <w:rFonts w:ascii="Arial" w:cs="Arial" w:eastAsia="Arial" w:hAnsi="Arial"/>
          <w:sz w:val="18"/>
          <w:szCs w:val="18"/>
          <w:color w:val="auto"/>
        </w:rPr>
      </w:pPr>
      <w:r>
        <w:rPr>
          <w:rFonts w:ascii="Arial" w:cs="Arial" w:eastAsia="Arial" w:hAnsi="Arial"/>
          <w:sz w:val="18"/>
          <w:szCs w:val="18"/>
          <w:color w:val="auto"/>
        </w:rPr>
        <w:t>The Underwriter shall refund the unearned premium computed at short rates in accordance with the standard short rate cancellation tables if terminated by the Insured or pro rata if terminated for any other reason.</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bond shall terminate:</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and upon the expiration of 90 days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RIDER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1</w:t>
      </w:r>
      <w:r>
        <w:rPr>
          <w:rFonts w:ascii="Arial" w:cs="Arial" w:eastAsia="Arial" w:hAnsi="Arial"/>
          <w:sz w:val="18"/>
          <w:szCs w:val="18"/>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w:t>
      </w:r>
      <w:r>
        <w:rPr>
          <w:rFonts w:ascii="Arial" w:cs="Arial" w:eastAsia="Arial" w:hAnsi="Arial"/>
          <w:sz w:val="18"/>
          <w:szCs w:val="18"/>
          <w:color w:val="auto"/>
        </w:rPr>
        <w:t xml:space="preserve">, </w:t>
      </w:r>
      <w:r>
        <w:rPr>
          <w:rFonts w:ascii="Arial" w:cs="Arial" w:eastAsia="Arial" w:hAnsi="Arial"/>
          <w:sz w:val="18"/>
          <w:szCs w:val="18"/>
          <w:i w:val="1"/>
          <w:iCs w:val="1"/>
          <w:color w:val="auto"/>
        </w:rPr>
        <w:t>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after written notice has been given to the Securities and Exchange Commission, Washington, DC (see Section 16(d)) and to the Insured Investment Company; or</w:t>
      </w:r>
    </w:p>
    <w:p>
      <w:pPr>
        <w:spacing w:after="0" w:line="51" w:lineRule="exact"/>
        <w:rPr>
          <w:sz w:val="20"/>
          <w:szCs w:val="20"/>
          <w:color w:val="auto"/>
        </w:rPr>
      </w:pPr>
    </w:p>
    <w:p>
      <w:pPr>
        <w:ind w:left="900" w:right="1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to any Employee 90 days after receipt by each Insured and by the Securities and Exchange Commission of a written notice from the Underwriter of its desire to terminate this bond as to such Employee; or</w:t>
      </w:r>
    </w:p>
    <w:p>
      <w:pPr>
        <w:spacing w:after="0" w:line="50" w:lineRule="exact"/>
        <w:rPr>
          <w:rFonts w:ascii="Arial" w:cs="Arial" w:eastAsia="Arial" w:hAnsi="Arial"/>
          <w:sz w:val="18"/>
          <w:szCs w:val="18"/>
          <w:color w:val="auto"/>
        </w:rPr>
      </w:pPr>
    </w:p>
    <w:p>
      <w:pPr>
        <w:ind w:left="900" w:right="80" w:hanging="446"/>
        <w:spacing w:after="0" w:line="294"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 and upon the expiration of 90 days after written notice has been given by the Underwriter to the Securities and Exchange Commission, Washington, DC and to the insured Investment Company.</w:t>
      </w:r>
    </w:p>
    <w:p>
      <w:pPr>
        <w:spacing w:after="0" w:line="3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38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RIDER 1</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 DEFINITION OF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DEFINITIONS, Section 1(a), Employee, is amended to include the following:</w:t>
      </w:r>
    </w:p>
    <w:p>
      <w:pPr>
        <w:sectPr>
          <w:pgSz w:w="11900" w:h="16838" w:orient="portrait"/>
          <w:cols w:equalWidth="0" w:num="1">
            <w:col w:w="11420"/>
          </w:cols>
          <w:pgMar w:left="240" w:top="131" w:right="239" w:bottom="0" w:gutter="0" w:footer="0" w:header="0"/>
        </w:sectPr>
      </w:pPr>
    </w:p>
    <w:bookmarkStart w:id="10" w:name="page11"/>
    <w:bookmarkEnd w:id="10"/>
    <w:p>
      <w:pPr>
        <w:ind w:left="900" w:hanging="446"/>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non-compensated directors and officers while performing duties coming within the scope of the usual duties of an Employee;</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38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RIDER 2</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Unauthorized Signatures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attached bond is amended by adding an Insuring Agreement as follows: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Unauthorized Signatures</w:t>
      </w:r>
    </w:p>
    <w:p>
      <w:pPr>
        <w:spacing w:after="0" w:line="177"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Loss resulting directly from the Insured having accepted, paid or cashed any original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signatures of all persons who are signatories on such account.</w:t>
      </w:r>
    </w:p>
    <w:p>
      <w:pPr>
        <w:spacing w:after="0" w:line="6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Limit of Liability under this coverage is $50,000. A $5,000 deductible shall apply to each and every loss.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172"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RIDER 3</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RIDER</w:t>
      </w:r>
      <w:r>
        <w:rPr>
          <w:rFonts w:ascii="Arial" w:cs="Arial" w:eastAsia="Arial" w:hAnsi="Arial"/>
          <w:sz w:val="18"/>
          <w:szCs w:val="18"/>
          <w:b w:val="1"/>
          <w:bCs w:val="1"/>
          <w:i w:val="1"/>
          <w:iCs w:val="1"/>
          <w:color w:val="auto"/>
        </w:rPr>
        <w:t># 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COMPUTER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COMPUTER SYSTEMS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of data elements or programs within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Computer System; provided the fraudulent entry or change causes</w:t>
      </w:r>
    </w:p>
    <w:p>
      <w:pPr>
        <w:spacing w:after="0" w:line="90" w:lineRule="exact"/>
        <w:rPr>
          <w:sz w:val="20"/>
          <w:szCs w:val="20"/>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voice instructions or advices having been transmitted to the Insured or its agent(s) by telephone; and provided further, the fraudulent entry or change is made or caused by an individual acting with the manifest intent to:</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and further provided such voice instructions or advices: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2"/>
        </w:numPr>
        <w:rPr>
          <w:rFonts w:ascii="Arial" w:cs="Arial" w:eastAsia="Arial" w:hAnsi="Arial"/>
          <w:sz w:val="16"/>
          <w:szCs w:val="16"/>
          <w:color w:val="auto"/>
        </w:rPr>
      </w:pPr>
      <w:r>
        <w:rPr>
          <w:rFonts w:ascii="Arial" w:cs="Arial" w:eastAsia="Arial" w:hAnsi="Arial"/>
          <w:sz w:val="16"/>
          <w:szCs w:val="16"/>
          <w:color w:val="auto"/>
        </w:rPr>
        <w:t>were made by a person who purported to represent an individual authorized to make such voice instructions or advices; and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42"/>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shall be a condition to recovery under the Computer Systems Rider that the Insured or its agent(s) shall to the best of their ability electronically record all voice instructions or advices received over telephone. The Insured or its agent(s) warrant that they shall make their best efforts to maintain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RIDER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4</w:t>
      </w:r>
      <w:r>
        <w:rPr>
          <w:rFonts w:ascii="Arial" w:cs="Arial" w:eastAsia="Arial" w:hAnsi="Arial"/>
          <w:sz w:val="18"/>
          <w:szCs w:val="18"/>
          <w:b w:val="1"/>
          <w:bCs w:val="1"/>
          <w:color w:val="auto"/>
        </w:rPr>
        <w:t xml:space="preserve"> (Continued)</w:t>
      </w:r>
    </w:p>
    <w:p>
      <w:pPr>
        <w:sectPr>
          <w:pgSz w:w="11900" w:h="16838" w:orient="portrait"/>
          <w:cols w:equalWidth="0" w:num="1">
            <w:col w:w="11400"/>
          </w:cols>
          <w:pgMar w:left="240" w:top="131" w:right="259" w:bottom="0" w:gutter="0" w:footer="0" w:header="0"/>
        </w:sectPr>
      </w:pPr>
    </w:p>
    <w:bookmarkStart w:id="11" w:name="page12"/>
    <w:bookmarkEnd w:id="11"/>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17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electronic recording system on a continuous basis. Nothing, however, in this Rider shall bar the Insured from recovery where no recording is available because of mechanical failure of the device used in making such recording, or because of failure of the media used to record a conversation from any cause, or error or omission of any Employee(s) or agent(s) of the Insured.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SYSTEMS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Insureds Proprietary System</w:t>
      </w:r>
    </w:p>
    <w:p>
      <w:pPr>
        <w:spacing w:after="0" w:line="9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9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 material or data; and</w:t>
      </w:r>
    </w:p>
    <w:p>
      <w:pPr>
        <w:spacing w:after="0" w:line="90" w:lineRule="exact"/>
        <w:rPr>
          <w:rFonts w:ascii="Arial" w:cs="Arial" w:eastAsia="Arial" w:hAnsi="Arial"/>
          <w:sz w:val="18"/>
          <w:szCs w:val="18"/>
          <w:color w:val="auto"/>
        </w:rPr>
      </w:pPr>
    </w:p>
    <w:p>
      <w:pPr>
        <w:ind w:left="900" w:right="100" w:hanging="446"/>
        <w:spacing w:after="0" w:line="306" w:lineRule="auto"/>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RIDER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4</w:t>
      </w:r>
      <w:r>
        <w:rPr>
          <w:rFonts w:ascii="Arial" w:cs="Arial" w:eastAsia="Arial" w:hAnsi="Arial"/>
          <w:sz w:val="18"/>
          <w:szCs w:val="18"/>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1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portions of the attached bond are not applicable to this Rider: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initial paragraph of the bond preceding the Insuring Agreements which reads “ at any time but discovered during the Bond Period,”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Section 9-NON-REDUCTION AND NON-ACCUMULATION OF LIABILITY AND TOTAL LIABILITY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Section 1 a-LIMIT OF LIABILITY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19"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$5,000,000</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hanging="452"/>
        <w:spacing w:after="0" w:line="27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Underwriter shall be liable hereunder for the amount by which one loss shall be in excess of </w:t>
      </w:r>
      <w:r>
        <w:rPr>
          <w:rFonts w:ascii="Arial" w:cs="Arial" w:eastAsia="Arial" w:hAnsi="Arial"/>
          <w:sz w:val="18"/>
          <w:szCs w:val="18"/>
          <w:b w:val="1"/>
          <w:bCs w:val="1"/>
          <w:color w:val="auto"/>
        </w:rPr>
        <w:t>$50,000</w:t>
      </w:r>
      <w:r>
        <w:rPr>
          <w:rFonts w:ascii="Arial" w:cs="Arial" w:eastAsia="Arial" w:hAnsi="Arial"/>
          <w:sz w:val="18"/>
          <w:szCs w:val="18"/>
          <w:color w:val="auto"/>
        </w:rPr>
        <w:t xml:space="preserve"> (herein called the Deductible Amount) but not in excess of the Limit of Liability stated above.</w:t>
      </w:r>
    </w:p>
    <w:p>
      <w:pPr>
        <w:spacing w:after="0" w:line="44"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loss is covered under this Insuring Agreement and any other Insuring Agreement or Coverage, the maximum amount payable for such loss shall not exceed the largest amount available under anyone Insuring Agreement or Coverage.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canceling the bond as an entirety: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90 days after receipt by the Insured of written notice from the Underwriter of its desire to terminate or cancel coverage under this Rider,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immediately upon receipt by the Underwriter of a written request from the Insured to terminate or cancel coverage under this Rider.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RIDER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4</w:t>
      </w:r>
      <w:r>
        <w:rPr>
          <w:rFonts w:ascii="Arial" w:cs="Arial" w:eastAsia="Arial" w:hAnsi="Arial"/>
          <w:sz w:val="18"/>
          <w:szCs w:val="18"/>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171"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5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Section 4-LOSS-NOTICE-PROOF-LEGAL PROCEEDING of the Conditions and Limitations of this bond is amended by adding the following sentence:</w:t>
      </w:r>
    </w:p>
    <w:p>
      <w:pPr>
        <w:spacing w:after="0" w:line="113" w:lineRule="exact"/>
        <w:rPr>
          <w:rFonts w:ascii="Arial" w:cs="Arial" w:eastAsia="Arial" w:hAnsi="Arial"/>
          <w:sz w:val="16"/>
          <w:szCs w:val="16"/>
          <w:color w:val="auto"/>
        </w:rPr>
      </w:pPr>
    </w:p>
    <w:p>
      <w:pPr>
        <w:ind w:left="460" w:right="440"/>
        <w:spacing w:after="0" w:line="268" w:lineRule="auto"/>
        <w:rPr>
          <w:rFonts w:ascii="Arial" w:cs="Arial" w:eastAsia="Arial" w:hAnsi="Arial"/>
          <w:sz w:val="16"/>
          <w:szCs w:val="16"/>
          <w:color w:val="auto"/>
        </w:rPr>
      </w:pPr>
      <w:r>
        <w:rPr>
          <w:rFonts w:ascii="Arial" w:cs="Arial" w:eastAsia="Arial" w:hAnsi="Arial"/>
          <w:sz w:val="18"/>
          <w:szCs w:val="18"/>
          <w:color w:val="auto"/>
        </w:rPr>
        <w:t>“Proof of Loss resulting from Voice Instructions or advices covered under this bond shall include Electronic Recordings of such Voice Instructions or advices.”</w:t>
      </w:r>
    </w:p>
    <w:p>
      <w:pPr>
        <w:spacing w:after="0" w:line="50" w:lineRule="exact"/>
        <w:rPr>
          <w:rFonts w:ascii="Arial" w:cs="Arial" w:eastAsia="Arial" w:hAnsi="Arial"/>
          <w:sz w:val="16"/>
          <w:szCs w:val="16"/>
          <w:color w:val="auto"/>
        </w:rPr>
      </w:pPr>
    </w:p>
    <w:p>
      <w:pPr>
        <w:ind w:left="460" w:right="420" w:hanging="452"/>
        <w:spacing w:after="0" w:line="30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ectPr>
          <w:pgSz w:w="11900" w:h="16904" w:orient="portrait"/>
          <w:cols w:equalWidth="0" w:num="1">
            <w:col w:w="11400"/>
          </w:cols>
          <w:pgMar w:left="240" w:top="131" w:right="259" w:bottom="0" w:gutter="0" w:footer="0" w:header="0"/>
        </w:sectPr>
      </w:pPr>
    </w:p>
    <w:bookmarkStart w:id="12" w:name="page13"/>
    <w:bookmarkEnd w:id="12"/>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RIDER 4</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attached bond is amended by adding an Insuring Agreement as follows: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the Computer System Fraud Insuring Agreement in reliance upon a fraudulent instruction received through a Telefacsimile Device, and which instruction</w:t>
      </w:r>
    </w:p>
    <w:p>
      <w:pPr>
        <w:spacing w:after="0" w:line="5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9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 and</w:t>
      </w:r>
    </w:p>
    <w:p>
      <w:pPr>
        <w:spacing w:after="0" w:line="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provided that, if the transfer was in excess of $ </w:t>
      </w:r>
      <w:r>
        <w:rPr>
          <w:rFonts w:ascii="Arial" w:cs="Arial" w:eastAsia="Arial" w:hAnsi="Arial"/>
          <w:sz w:val="18"/>
          <w:szCs w:val="18"/>
          <w:b w:val="1"/>
          <w:bCs w:val="1"/>
          <w:color w:val="auto"/>
        </w:rPr>
        <w:t>50,000</w:t>
      </w:r>
      <w:r>
        <w:rPr>
          <w:rFonts w:ascii="Arial" w:cs="Arial" w:eastAsia="Arial" w:hAnsi="Arial"/>
          <w:sz w:val="18"/>
          <w:szCs w:val="18"/>
          <w:color w:val="auto"/>
        </w:rPr>
        <w:t xml:space="preserve"> the instruction was verified by a call-back according to a prearranged procedure.</w:t>
      </w:r>
    </w:p>
    <w:p>
      <w:pPr>
        <w:spacing w:after="0" w:line="9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RIDER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5</w:t>
      </w:r>
      <w:r>
        <w:rPr>
          <w:rFonts w:ascii="Arial" w:cs="Arial" w:eastAsia="Arial" w:hAnsi="Arial"/>
          <w:sz w:val="18"/>
          <w:szCs w:val="18"/>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90" w:lineRule="exact"/>
        <w:rPr>
          <w:sz w:val="20"/>
          <w:szCs w:val="20"/>
          <w:color w:val="auto"/>
        </w:rPr>
      </w:pPr>
    </w:p>
    <w:p>
      <w:pPr>
        <w:ind w:lef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to the Conditions and Limitations in the bond and Computer Systems Fraud Insuring Agreement rider, the following provisions are applicable to the Telefacsimile Transfer Fraud Insuring Agreement:</w:t>
      </w:r>
    </w:p>
    <w:p>
      <w:pPr>
        <w:spacing w:after="0" w:line="50"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50"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This Insuring Agreement does not cover loss resulting directly or indirectly from the assumption of liability by the Insured by contract unless the liability arises from a loss covered by the Telefacsimile Transfer Fraud Insuring Agreement and would be imposed on the Insured regardless of the existence of the contract.</w:t>
      </w:r>
    </w:p>
    <w:p>
      <w:pPr>
        <w:spacing w:after="0" w:line="59" w:lineRule="exact"/>
        <w:rPr>
          <w:rFonts w:ascii="Arial" w:cs="Arial" w:eastAsia="Arial" w:hAnsi="Arial"/>
          <w:sz w:val="18"/>
          <w:szCs w:val="18"/>
          <w:color w:val="auto"/>
        </w:rPr>
      </w:pPr>
    </w:p>
    <w:p>
      <w:pPr>
        <w:ind w:left="460" w:right="220"/>
        <w:spacing w:after="0" w:line="268" w:lineRule="auto"/>
        <w:rPr>
          <w:rFonts w:ascii="Arial" w:cs="Arial" w:eastAsia="Arial" w:hAnsi="Arial"/>
          <w:sz w:val="18"/>
          <w:szCs w:val="18"/>
          <w:color w:val="auto"/>
        </w:rPr>
      </w:pPr>
      <w:r>
        <w:rPr>
          <w:rFonts w:ascii="Arial" w:cs="Arial" w:eastAsia="Arial" w:hAnsi="Arial"/>
          <w:sz w:val="18"/>
          <w:szCs w:val="18"/>
          <w:color w:val="auto"/>
        </w:rPr>
        <w:t>Proof of loss for claim under the Telefacsimile Transfer Fraud Insuring Agreement must include a copy of the document reproduced by the Telefacsimile Device.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38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RIDER 5</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endorsement,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COVERAGE TERRITORY ENDORSEMENT</w:t>
      </w:r>
    </w:p>
    <w:p>
      <w:pPr>
        <w:sectPr>
          <w:pgSz w:w="11900" w:h="16838" w:orient="portrait"/>
          <w:cols w:equalWidth="0" w:num="1">
            <w:col w:w="11420"/>
          </w:cols>
          <w:pgMar w:left="240" w:top="550" w:right="239" w:bottom="0" w:gutter="0" w:footer="0" w:header="0"/>
        </w:sectPr>
      </w:pPr>
    </w:p>
    <w:bookmarkStart w:id="13" w:name="page14"/>
    <w:bookmarkEnd w:id="13"/>
    <w:p>
      <w:pPr>
        <w:ind w:right="440"/>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397"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END 006</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1 of 1</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40" w:type="dxa"/>
            <w:vAlign w:val="bottom"/>
          </w:tcPr>
          <w:p>
            <w:pPr>
              <w:ind w:left="1100"/>
              <w:spacing w:after="0"/>
              <w:rPr>
                <w:sz w:val="20"/>
                <w:szCs w:val="20"/>
                <w:color w:val="auto"/>
              </w:rPr>
            </w:pPr>
            <w:r>
              <w:rPr>
                <w:rFonts w:ascii="Arial" w:cs="Arial" w:eastAsia="Arial" w:hAnsi="Arial"/>
                <w:sz w:val="18"/>
                <w:szCs w:val="18"/>
                <w:b w:val="1"/>
                <w:bCs w:val="1"/>
                <w:color w:val="auto"/>
              </w:rPr>
              <w:t>FORMS INDEX ENDORSEMENT</w:t>
            </w:r>
          </w:p>
        </w:tc>
      </w:tr>
      <w:tr>
        <w:trPr>
          <w:trHeight w:val="378"/>
        </w:trPr>
        <w:tc>
          <w:tcPr>
            <w:tcW w:w="11420" w:type="dxa"/>
            <w:vAlign w:val="bottom"/>
            <w:gridSpan w:val="5"/>
          </w:tcPr>
          <w:p>
            <w:pPr>
              <w:spacing w:after="0"/>
              <w:rPr>
                <w:sz w:val="20"/>
                <w:szCs w:val="20"/>
                <w:color w:val="auto"/>
              </w:rPr>
            </w:pPr>
            <w:r>
              <w:rPr>
                <w:rFonts w:ascii="Arial" w:cs="Arial" w:eastAsia="Arial" w:hAnsi="Arial"/>
                <w:sz w:val="18"/>
                <w:szCs w:val="18"/>
                <w:color w:val="auto"/>
              </w:rPr>
              <w:t>The contents of the Policy is comprised of the following forms:</w:t>
            </w:r>
          </w:p>
        </w:tc>
      </w:tr>
      <w:tr>
        <w:trPr>
          <w:trHeight w:val="373"/>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 NUMBER</w:t>
            </w:r>
          </w:p>
        </w:tc>
        <w:tc>
          <w:tcPr>
            <w:tcW w:w="5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w w:val="97"/>
              </w:rPr>
              <w:t>EDITION DATE</w:t>
            </w:r>
          </w:p>
        </w:tc>
        <w:tc>
          <w:tcPr>
            <w:tcW w:w="8680" w:type="dxa"/>
            <w:vAlign w:val="bottom"/>
            <w:gridSpan w:val="2"/>
          </w:tcPr>
          <w:p>
            <w:pPr>
              <w:ind w:left="540"/>
              <w:spacing w:after="0"/>
              <w:rPr>
                <w:sz w:val="20"/>
                <w:szCs w:val="20"/>
                <w:color w:val="auto"/>
              </w:rPr>
            </w:pPr>
            <w:r>
              <w:rPr>
                <w:rFonts w:ascii="Arial" w:cs="Arial" w:eastAsia="Arial" w:hAnsi="Arial"/>
                <w:sz w:val="14"/>
                <w:szCs w:val="14"/>
                <w:b w:val="1"/>
                <w:bCs w:val="1"/>
                <w:color w:val="auto"/>
              </w:rPr>
              <w:t>FORM TITLE</w:t>
            </w:r>
          </w:p>
        </w:tc>
      </w:tr>
      <w:tr>
        <w:trPr>
          <w:trHeight w:val="195"/>
        </w:trPr>
        <w:tc>
          <w:tcPr>
            <w:tcW w:w="1220" w:type="dxa"/>
            <w:vAlign w:val="bottom"/>
          </w:tcPr>
          <w:p>
            <w:pPr>
              <w:spacing w:after="0" w:line="195" w:lineRule="exact"/>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Investment Company Blanket Bond-NU DEC</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41206</w:t>
            </w: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09/84</w:t>
            </w: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Investment Company Blanket Bond-NU Guts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Amend Termination (SEC)</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Amended Definition Employee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Unauthorized Signatures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Computer Systems Fraud</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Telefacsimile Transfer Fraud</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87435</w:t>
            </w:r>
          </w:p>
        </w:tc>
        <w:tc>
          <w:tcPr>
            <w:tcW w:w="1520" w:type="dxa"/>
            <w:vAlign w:val="bottom"/>
            <w:gridSpan w:val="2"/>
          </w:tcPr>
          <w:p>
            <w:pPr>
              <w:ind w:left="540"/>
              <w:spacing w:after="0"/>
              <w:rPr>
                <w:sz w:val="20"/>
                <w:szCs w:val="20"/>
                <w:color w:val="auto"/>
              </w:rPr>
            </w:pPr>
            <w:r>
              <w:rPr>
                <w:rFonts w:ascii="Arial" w:cs="Arial" w:eastAsia="Arial" w:hAnsi="Arial"/>
                <w:sz w:val="18"/>
                <w:szCs w:val="18"/>
                <w:color w:val="auto"/>
              </w:rPr>
              <w:t>07/05</w:t>
            </w: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Coverage Territory Endorsement (OFAC)</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Mnscpt</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80" w:type="dxa"/>
            <w:vAlign w:val="bottom"/>
            <w:gridSpan w:val="2"/>
          </w:tcPr>
          <w:p>
            <w:pPr>
              <w:ind w:left="540"/>
              <w:spacing w:after="0"/>
              <w:rPr>
                <w:sz w:val="20"/>
                <w:szCs w:val="20"/>
                <w:color w:val="auto"/>
              </w:rPr>
            </w:pPr>
            <w:r>
              <w:rPr>
                <w:rFonts w:ascii="Arial" w:cs="Arial" w:eastAsia="Arial" w:hAnsi="Arial"/>
                <w:sz w:val="18"/>
                <w:szCs w:val="18"/>
                <w:color w:val="auto"/>
              </w:rPr>
              <w:t>Forms Index Endorsement</w:t>
            </w:r>
          </w:p>
        </w:tc>
      </w:tr>
    </w:tbl>
    <w:p>
      <w:pPr>
        <w:spacing w:after="0" w:line="200" w:lineRule="exact"/>
        <w:rPr>
          <w:sz w:val="20"/>
          <w:szCs w:val="20"/>
          <w:color w:val="auto"/>
        </w:rPr>
      </w:pPr>
    </w:p>
    <w:p>
      <w:pPr>
        <w:spacing w:after="0" w:line="212"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RIDER 7</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STATUTORY RIDER/ENDORSEMENT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Part (a) of the Section entitled “Termination or Cancelation” of this bond/policy is deleted.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Cancelation of this bond/policy by the Underwriter/Company is subject to the following provisions:</w:t>
      </w:r>
    </w:p>
    <w:p>
      <w:pPr>
        <w:spacing w:after="0" w:line="90" w:lineRule="exact"/>
        <w:rPr>
          <w:rFonts w:ascii="Arial" w:cs="Arial" w:eastAsia="Arial" w:hAnsi="Arial"/>
          <w:sz w:val="18"/>
          <w:szCs w:val="18"/>
          <w:color w:val="auto"/>
        </w:rPr>
      </w:pPr>
    </w:p>
    <w:p>
      <w:pPr>
        <w:ind w:left="460" w:right="160"/>
        <w:spacing w:after="0" w:line="306" w:lineRule="auto"/>
        <w:rPr>
          <w:rFonts w:ascii="Arial" w:cs="Arial" w:eastAsia="Arial" w:hAnsi="Arial"/>
          <w:sz w:val="18"/>
          <w:szCs w:val="18"/>
          <w:color w:val="auto"/>
        </w:rPr>
      </w:pPr>
      <w:r>
        <w:rPr>
          <w:rFonts w:ascii="Arial" w:cs="Arial" w:eastAsia="Arial" w:hAnsi="Arial"/>
          <w:sz w:val="16"/>
          <w:szCs w:val="16"/>
          <w:color w:val="auto"/>
        </w:rPr>
        <w:t>If the bond/policy has been in effect for 60 days or less, it may be cancelled by the Underwriter/Company for any reason. Such cancelation shall be effective 20 days after the Underwriter/Company mails a notice of cancelation to the first-named insured at the mailing address shown in the bond/policy. However, if the bond/policy has been in effect for more than 60 days or is a renewal, then cancelation must be based on one of the following grounds:</w:t>
      </w:r>
    </w:p>
    <w:p>
      <w:pPr>
        <w:spacing w:after="0" w:line="25"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non-payment of premium;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the bond/policy or in the presentation of claim thereunder;</w:t>
      </w:r>
    </w:p>
    <w:p>
      <w:pPr>
        <w:spacing w:after="0" w:line="90" w:lineRule="exact"/>
        <w:rPr>
          <w:rFonts w:ascii="Arial" w:cs="Arial" w:eastAsia="Arial" w:hAnsi="Arial"/>
          <w:sz w:val="18"/>
          <w:szCs w:val="18"/>
          <w:color w:val="auto"/>
        </w:rPr>
      </w:pPr>
    </w:p>
    <w:p>
      <w:pPr>
        <w:ind w:left="900" w:right="440" w:hanging="446"/>
        <w:spacing w:after="0" w:line="357" w:lineRule="auto"/>
        <w:tabs>
          <w:tab w:leader="none" w:pos="900" w:val="left"/>
        </w:tabs>
        <w:numPr>
          <w:ilvl w:val="1"/>
          <w:numId w:val="51"/>
        </w:numPr>
        <w:rPr>
          <w:rFonts w:ascii="Arial" w:cs="Arial" w:eastAsia="Arial" w:hAnsi="Arial"/>
          <w:sz w:val="15"/>
          <w:szCs w:val="15"/>
          <w:color w:val="auto"/>
        </w:rPr>
      </w:pPr>
      <w:r>
        <w:rPr>
          <w:rFonts w:ascii="Arial" w:cs="Arial" w:eastAsia="Arial" w:hAnsi="Arial"/>
          <w:sz w:val="15"/>
          <w:szCs w:val="15"/>
          <w:color w:val="auto"/>
        </w:rPr>
        <w:t>after issuance of the bond/policy or after the last renewal date, discovery of an act or omission, or a violation of any bond/policy condition that substantially and materially increases the hazard insured against, and which occurred subsequent to inception of the current bond/policy period;</w:t>
      </w:r>
    </w:p>
    <w:p>
      <w:pPr>
        <w:ind w:left="900" w:right="180" w:hanging="446"/>
        <w:spacing w:after="0" w:line="357" w:lineRule="auto"/>
        <w:tabs>
          <w:tab w:leader="none" w:pos="900" w:val="left"/>
        </w:tabs>
        <w:numPr>
          <w:ilvl w:val="1"/>
          <w:numId w:val="51"/>
        </w:numPr>
        <w:rPr>
          <w:rFonts w:ascii="Arial" w:cs="Arial" w:eastAsia="Arial" w:hAnsi="Arial"/>
          <w:sz w:val="15"/>
          <w:szCs w:val="15"/>
          <w:color w:val="auto"/>
        </w:rPr>
      </w:pPr>
      <w:r>
        <w:rPr>
          <w:rFonts w:ascii="Arial" w:cs="Arial" w:eastAsia="Arial" w:hAnsi="Arial"/>
          <w:sz w:val="15"/>
          <w:szCs w:val="15"/>
          <w:color w:val="auto"/>
        </w:rPr>
        <w:t>material change in the nature or extent of the risk, occurring after issuance or last annual renewal anniversary date of the bond/policy, which causes the risk of loss to be substantially and materially increased beyond that contemplated at the time the bond/policy was issued or last renewed;</w:t>
      </w:r>
    </w:p>
    <w:p>
      <w:pPr>
        <w:ind w:left="900" w:right="200" w:hanging="446"/>
        <w:spacing w:after="0" w:line="33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cancelation is required pursuant to a determination by the superintendent that continuation of the present premium volume of the insurer would jeopardize that insurer’s solvency or be hazardous to the interests of the insureds, the insurer’s creditors or the public;</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determination by the superintendent that the continuation of the bond/policy would violate, or would place the insurer in violation of, any provision of the New York State insurance laws.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where the insurer has reason to believe, in good faith and with sufficient cause, that there is a possible risk or danger that the insured property will be destroyed by the insured for the purpose of collecting the insurance proceeds, provided, however, that: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51"/>
        </w:numPr>
        <w:rPr>
          <w:rFonts w:ascii="Arial" w:cs="Arial" w:eastAsia="Arial" w:hAnsi="Arial"/>
          <w:sz w:val="16"/>
          <w:szCs w:val="16"/>
          <w:color w:val="auto"/>
        </w:rPr>
      </w:pPr>
      <w:r>
        <w:rPr>
          <w:rFonts w:ascii="Arial" w:cs="Arial" w:eastAsia="Arial" w:hAnsi="Arial"/>
          <w:sz w:val="16"/>
          <w:szCs w:val="16"/>
          <w:color w:val="auto"/>
        </w:rPr>
        <w:t>a notice of cancelation on this ground shall inform the insured in plain language that the insured must act within ten days if review by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END 008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RIDER # </w:t>
      </w:r>
      <w:r>
        <w:rPr>
          <w:rFonts w:ascii="Arial" w:cs="Arial" w:eastAsia="Arial" w:hAnsi="Arial"/>
          <w:sz w:val="18"/>
          <w:szCs w:val="18"/>
          <w:b w:val="1"/>
          <w:bCs w:val="1"/>
          <w:i w:val="1"/>
          <w:iCs w:val="1"/>
          <w:color w:val="auto"/>
        </w:rPr>
        <w:t>8</w:t>
      </w:r>
      <w:r>
        <w:rPr>
          <w:rFonts w:ascii="Arial" w:cs="Arial" w:eastAsia="Arial" w:hAnsi="Arial"/>
          <w:sz w:val="18"/>
          <w:szCs w:val="18"/>
          <w:b w:val="1"/>
          <w:bCs w:val="1"/>
          <w:color w:val="auto"/>
        </w:rPr>
        <w:t xml:space="preserve"> (Continued)</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Insurance Department of the State of New York of the ground for cancelation is desired, and</w:t>
      </w:r>
    </w:p>
    <w:p>
      <w:pPr>
        <w:spacing w:after="0" w:line="90"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notice of cancelation on this ground shall be provided simultaneously by the insurer to the Insurance Department of the State of New York.</w:t>
      </w:r>
    </w:p>
    <w:p>
      <w:pPr>
        <w:sectPr>
          <w:pgSz w:w="11900" w:h="16838" w:orient="portrait"/>
          <w:cols w:equalWidth="0" w:num="1">
            <w:col w:w="11420"/>
          </w:cols>
          <w:pgMar w:left="240" w:top="131" w:right="239" w:bottom="0" w:gutter="0" w:footer="0" w:header="0"/>
        </w:sectPr>
      </w:pPr>
    </w:p>
    <w:bookmarkStart w:id="14" w:name="page15"/>
    <w:bookmarkEnd w:id="14"/>
    <w:p>
      <w:pPr>
        <w:ind w:left="460" w:right="60"/>
        <w:spacing w:after="0" w:line="268" w:lineRule="auto"/>
        <w:rPr>
          <w:sz w:val="20"/>
          <w:szCs w:val="20"/>
          <w:color w:val="auto"/>
        </w:rPr>
      </w:pPr>
      <w:r>
        <w:rPr>
          <w:rFonts w:ascii="Arial" w:cs="Arial" w:eastAsia="Arial" w:hAnsi="Arial"/>
          <w:sz w:val="18"/>
          <w:szCs w:val="18"/>
          <w:color w:val="auto"/>
        </w:rPr>
        <w:t>Cancelation based on one of the above grounds shall be effective 15 days after the notice of cancellation is mailed or delivered to the named insured, at the address shown on the bond/policy, and to its authorized agent or broker.</w:t>
      </w:r>
    </w:p>
    <w:p>
      <w:pPr>
        <w:spacing w:after="0" w:line="51" w:lineRule="exact"/>
        <w:rPr>
          <w:sz w:val="20"/>
          <w:szCs w:val="20"/>
          <w:color w:val="auto"/>
        </w:rPr>
      </w:pPr>
    </w:p>
    <w:p>
      <w:pPr>
        <w:ind w:left="460" w:hanging="452"/>
        <w:spacing w:after="0" w:line="30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Underwriter/Company elects not to replace a bond/policy at the termination of the bond/policy period, it shall notify the insured not more than 120 days nor less than 60 days before termination. If such notice is given late, the bond/policy shall continue in effect for 60 days after such notice is given. The Aggregate Limit of Liability shall not be increased or reinstated. The notice not to replace shall be mailed to the insured and its broker or agent.</w:t>
      </w:r>
    </w:p>
    <w:p>
      <w:pPr>
        <w:spacing w:after="0" w:line="25" w:lineRule="exact"/>
        <w:rPr>
          <w:rFonts w:ascii="Arial" w:cs="Arial" w:eastAsia="Arial" w:hAnsi="Arial"/>
          <w:sz w:val="16"/>
          <w:szCs w:val="16"/>
          <w:color w:val="auto"/>
        </w:rPr>
      </w:pPr>
    </w:p>
    <w:p>
      <w:pPr>
        <w:ind w:left="460" w:right="8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Underwriter/Company elects to replace the bond/policy, but with a change of limits, reduced coverage, increased deductible, additional exclusion, or upon increased premiums in excess of ten percent (exclusive of any premium increase as a result of experience rating), the Underwriter must mail written notice to the insured and its agent or broker not more than 120 days nor less than 60 days before replacement. If such notice is given late, the replacement bond/policy shall be in effect with the same terms, conditions and rates as the terminated bond/policy for 60 days after such notice is given.</w:t>
      </w:r>
    </w:p>
    <w:p>
      <w:pPr>
        <w:spacing w:after="0" w:line="31" w:lineRule="exact"/>
        <w:rPr>
          <w:rFonts w:ascii="Arial" w:cs="Arial" w:eastAsia="Arial" w:hAnsi="Arial"/>
          <w:sz w:val="16"/>
          <w:szCs w:val="16"/>
          <w:color w:val="auto"/>
        </w:rPr>
      </w:pPr>
    </w:p>
    <w:p>
      <w:pPr>
        <w:ind w:left="460" w:right="420" w:hanging="452"/>
        <w:spacing w:after="0" w:line="25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Underwriter/Company may elect to simply notify the insured that the bond/policy will either be not renewed or renewed with different terms, conditions or rates. In this event, the Underwriter/Company will inform the insured that a second notice will be sent at a later date specifying the Underwriter’s/Company’s exact intention. The Underwriter shall inform the insured that, in the meantime, coverage shall continue on the same terms, conditions and rates as the expiring bond/policy until the expiration date of the bond/policy or 60 days after the second notice is mailed or delivered, whichever is later.</w:t>
      </w:r>
    </w:p>
    <w:p>
      <w:pPr>
        <w:spacing w:after="0" w:line="39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USE WITH FINANCIAL INSTITUTION BONDS, STANDARD FORMS NOS. 14, 15, 24, AND 25 AND EXCESS BANK EMPLOYEE DISHONESTY BONDS, STANDARD FORM NO. 28, AND COMPUTER CRIME POLICY FOR FINANCIAL INSTITUTIONS TO COMPLY WITH STATUTORY REQUIREMENTS.</w:t>
      </w:r>
    </w:p>
    <w:p>
      <w:pPr>
        <w:spacing w:after="0" w:line="127" w:lineRule="exact"/>
        <w:rPr>
          <w:sz w:val="20"/>
          <w:szCs w:val="20"/>
          <w:color w:val="auto"/>
        </w:rPr>
      </w:pPr>
    </w:p>
    <w:p>
      <w:pPr>
        <w:ind w:left="5380"/>
        <w:spacing w:after="0"/>
        <w:rPr>
          <w:sz w:val="20"/>
          <w:szCs w:val="20"/>
          <w:color w:val="auto"/>
        </w:rPr>
      </w:pPr>
      <w:r>
        <w:rPr>
          <w:rFonts w:ascii="Arial" w:cs="Arial" w:eastAsia="Arial" w:hAnsi="Arial"/>
          <w:sz w:val="18"/>
          <w:szCs w:val="18"/>
          <w:b w:val="1"/>
          <w:bCs w:val="1"/>
          <w:i w:val="1"/>
          <w:iCs w:val="1"/>
          <w:color w:val="auto"/>
        </w:rPr>
        <w:t>END 008</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ERISA RIDER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shall be included as Insured:</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of the Insured’s plans which may be required to be bonded under The Employee Retirement Income Security Act of 1974.</w:t>
      </w:r>
    </w:p>
    <w:p>
      <w:pPr>
        <w:spacing w:after="0" w:line="9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5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 Disclosure Act of 1958 to obtain under one or more bonds issued by one or more Insurers an amount of coverage for each such Plan at least equal to that which would be required if such Plans were bonded separately.</w:t>
      </w:r>
    </w:p>
    <w:p>
      <w:pPr>
        <w:spacing w:after="0" w:line="61"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of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61" w:lineRule="exact"/>
        <w:rPr>
          <w:rFonts w:ascii="Arial" w:cs="Arial" w:eastAsia="Arial" w:hAnsi="Arial"/>
          <w:sz w:val="18"/>
          <w:szCs w:val="18"/>
          <w:color w:val="auto"/>
        </w:rPr>
      </w:pPr>
    </w:p>
    <w:p>
      <w:pPr>
        <w:ind w:left="460" w:right="40" w:hanging="452"/>
        <w:spacing w:after="0" w:line="306"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RIDER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9</w:t>
      </w:r>
      <w:r>
        <w:rPr>
          <w:rFonts w:ascii="Arial" w:cs="Arial" w:eastAsia="Arial" w:hAnsi="Arial"/>
          <w:sz w:val="18"/>
          <w:szCs w:val="18"/>
          <w:b w:val="1"/>
          <w:bCs w:val="1"/>
          <w:color w:val="auto"/>
        </w:rPr>
        <w:t xml:space="preserve"> (Continued)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9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51" w:lineRule="exact"/>
        <w:rPr>
          <w:sz w:val="20"/>
          <w:szCs w:val="20"/>
          <w:color w:val="auto"/>
        </w:rPr>
      </w:pPr>
    </w:p>
    <w:p>
      <w:pPr>
        <w:ind w:left="460" w:right="12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38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RIDER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RIDER# </w:t>
      </w:r>
      <w:r>
        <w:rPr>
          <w:rFonts w:ascii="Arial" w:cs="Arial" w:eastAsia="Arial" w:hAnsi="Arial"/>
          <w:sz w:val="18"/>
          <w:szCs w:val="18"/>
          <w:b w:val="1"/>
          <w:bCs w:val="1"/>
          <w:i w:val="1"/>
          <w:iCs w:val="1"/>
          <w:color w:val="auto"/>
        </w:rPr>
        <w:t>10</w:t>
      </w:r>
    </w:p>
    <w:p>
      <w:pPr>
        <w:sectPr>
          <w:pgSz w:w="11900" w:h="16838" w:orient="portrait"/>
          <w:cols w:equalWidth="0" w:num="1">
            <w:col w:w="11400"/>
          </w:cols>
          <w:pgMar w:left="240" w:top="131"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This rider, effective </w:t>
      </w:r>
      <w:r>
        <w:rPr>
          <w:rFonts w:ascii="Arial" w:cs="Arial" w:eastAsia="Arial" w:hAnsi="Arial"/>
          <w:sz w:val="18"/>
          <w:szCs w:val="18"/>
          <w:i w:val="1"/>
          <w:iCs w:val="1"/>
          <w:color w:val="auto"/>
        </w:rPr>
        <w:t>12:01 am May 17, 2007</w:t>
      </w:r>
      <w:r>
        <w:rPr>
          <w:rFonts w:ascii="Arial" w:cs="Arial" w:eastAsia="Arial" w:hAnsi="Arial"/>
          <w:sz w:val="18"/>
          <w:szCs w:val="18"/>
          <w:color w:val="auto"/>
        </w:rPr>
        <w:t xml:space="preserve"> forms a part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i w:val="1"/>
          <w:iCs w:val="1"/>
          <w:color w:val="auto"/>
        </w:rPr>
        <w:t>742-18-68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issued to </w:t>
      </w:r>
      <w:r>
        <w:rPr>
          <w:rFonts w:ascii="Arial" w:cs="Arial" w:eastAsia="Arial" w:hAnsi="Arial"/>
          <w:sz w:val="18"/>
          <w:szCs w:val="18"/>
          <w:i w:val="1"/>
          <w:iCs w:val="1"/>
          <w:color w:val="auto"/>
        </w:rPr>
        <w:t>PENNANTPARK INVESTMENT CORPORATION</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National Union Fire Insurance Company of Pittsburgh, Pa.</w:t>
      </w: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NAMED INSURED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Item 1 of the Declarations page, Name of Insured (herein called Insured), is amended to include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Nothing contained herein shall be held to vary, alter, waive, or extend any of the terms, limitations, conditions or agreements of the attached policy other than as above stated.</w:t>
      </w:r>
    </w:p>
    <w:p>
      <w:pPr>
        <w:spacing w:after="0" w:line="389"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RIDER 10</w:t>
      </w:r>
    </w:p>
    <w:p>
      <w:pPr>
        <w:sectPr>
          <w:pgSz w:w="11900" w:h="16838" w:orient="portrait"/>
          <w:cols w:equalWidth="0" w:num="1">
            <w:col w:w="11180"/>
          </w:cols>
          <w:pgMar w:left="240" w:top="131" w:right="47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Exhibit B</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ENNANT</w:t>
      </w:r>
      <w:r>
        <w:rPr>
          <w:rFonts w:ascii="Arial" w:cs="Arial" w:eastAsia="Arial" w:hAnsi="Arial"/>
          <w:sz w:val="18"/>
          <w:szCs w:val="18"/>
          <w:b w:val="1"/>
          <w:bCs w:val="1"/>
          <w:color w:val="auto"/>
        </w:rPr>
        <w:t>P</w:t>
      </w:r>
      <w:r>
        <w:rPr>
          <w:rFonts w:ascii="Arial" w:cs="Arial" w:eastAsia="Arial" w:hAnsi="Arial"/>
          <w:sz w:val="14"/>
          <w:szCs w:val="14"/>
          <w:b w:val="1"/>
          <w:bCs w:val="1"/>
          <w:color w:val="auto"/>
        </w:rPr>
        <w:t>ARK</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Approval of Joint Fidelity Bond and Joint Fidelity Bond Agreement</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RESOLVED, that the Corporation, Adviser and Administrator shall be named as an insured under a joint fidelity bond having an aggregate coverage of $5 million issued by Aon, a reputable fidelity insurance company, against larceny and embezzlement and such other types of losses as are included in standard fidelity bonds, covering the officers and the other employees of the Corporation from time to time, containing such provisions as may be required by the rules promulgated under the 1940 Act;</w:t>
      </w:r>
    </w:p>
    <w:p>
      <w:pPr>
        <w:spacing w:after="0" w:line="143" w:lineRule="exact"/>
        <w:rPr>
          <w:sz w:val="20"/>
          <w:szCs w:val="20"/>
          <w:color w:val="auto"/>
        </w:rPr>
      </w:pPr>
    </w:p>
    <w:p>
      <w:pPr>
        <w:ind w:right="600" w:firstLine="456"/>
        <w:spacing w:after="0" w:line="298" w:lineRule="auto"/>
        <w:rPr>
          <w:sz w:val="20"/>
          <w:szCs w:val="20"/>
          <w:color w:val="auto"/>
        </w:rPr>
      </w:pPr>
      <w:r>
        <w:rPr>
          <w:rFonts w:ascii="Arial" w:cs="Arial" w:eastAsia="Arial" w:hAnsi="Arial"/>
          <w:sz w:val="16"/>
          <w:szCs w:val="16"/>
          <w:color w:val="auto"/>
        </w:rPr>
        <w:t>RESOLVED, that the proposed form and amount of the joint fidelity bond considered at the meeting be, and the same hereby are, approved after consideration of all factors deemed relevant by the Directors,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RESOLVED, that the share of the premium to be allocated to the Corporation, the Adviser and the Administrator for the bond, which is based upon their proportionate share of the sum of the premiums that would have been paid if such fidelity bond coverage had been purchased separately, be, and the same hereby is, approved, after the Directors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RESOLVED, that the officers of the Corporation be, and each of them hereby is, authorized to obtain said fidelity bond in substantially the form discussed at the meeting with the other named insureds under said bond providing that in the event that any recovery is received under the bond as a result of a loss sustained by the Corporation and also by the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RESOLVED, that the proposed Joint Fidelity Bond Agreement among the Corporation, the Adviser and the Administrator is approved, with such further changes therein as the officers of the Corporation may determine to be necessary or desirable and proper, with the advice of Corporation counsel, the execution of said Joint Fidelity Bond Agreement by such officers to be conclusive evidence of such determination; and</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RESOLVED, that the Secretary of the Corporation be, and hereby is, designated as the party responsible for making the necessary filings and giving the notices with respect to such bond required by paragraph (g) of Rule 17g-1 under the 1940 Act.</w:t>
      </w:r>
    </w:p>
    <w:p>
      <w:pPr>
        <w:sectPr>
          <w:pgSz w:w="11900" w:h="16838" w:orient="portrait"/>
          <w:cols w:equalWidth="0" w:num="1">
            <w:col w:w="11380"/>
          </w:cols>
          <w:pgMar w:left="240" w:top="131" w:right="27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FIDELITY BOND AGREEMENT</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JOINT FIDELITY BOND AGREEMENT is dated as of April 19, 2007 by and Between Pennant Investment Corporation (the “Corporation”), a Maryland corporation, Pennant Investment Advisers, LLC (the “Adviser”), a Delaware limited liability company, and Pennant Investment Administration, LLC (the “Administrator”), a Delaware limited liability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13" w:lineRule="exact"/>
        <w:rPr>
          <w:sz w:val="20"/>
          <w:szCs w:val="20"/>
          <w:color w:val="auto"/>
        </w:rPr>
      </w:pPr>
    </w:p>
    <w:p>
      <w:pPr>
        <w:ind w:left="460" w:firstLine="443"/>
        <w:spacing w:after="0" w:line="268"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50" w:lineRule="exact"/>
        <w:rPr>
          <w:rFonts w:ascii="Arial" w:cs="Arial" w:eastAsia="Arial" w:hAnsi="Arial"/>
          <w:sz w:val="18"/>
          <w:szCs w:val="18"/>
          <w:color w:val="auto"/>
        </w:rPr>
      </w:pPr>
    </w:p>
    <w:p>
      <w:pPr>
        <w:ind w:left="460" w:right="540" w:firstLine="443"/>
        <w:spacing w:after="0" w:line="306" w:lineRule="auto"/>
        <w:tabs>
          <w:tab w:leader="none" w:pos="1074"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25" w:lineRule="exact"/>
        <w:rPr>
          <w:rFonts w:ascii="Arial" w:cs="Arial" w:eastAsia="Arial" w:hAnsi="Arial"/>
          <w:sz w:val="16"/>
          <w:szCs w:val="16"/>
          <w:color w:val="auto"/>
        </w:rPr>
      </w:pPr>
    </w:p>
    <w:p>
      <w:pPr>
        <w:ind w:left="460" w:right="200" w:firstLine="443"/>
        <w:spacing w:after="0" w:line="259"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59" w:lineRule="exact"/>
        <w:rPr>
          <w:rFonts w:ascii="Arial" w:cs="Arial" w:eastAsia="Arial" w:hAnsi="Arial"/>
          <w:sz w:val="18"/>
          <w:szCs w:val="18"/>
          <w:color w:val="auto"/>
        </w:rPr>
      </w:pPr>
    </w:p>
    <w:p>
      <w:pPr>
        <w:ind w:left="1080" w:hanging="177"/>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13" w:lineRule="exact"/>
        <w:rPr>
          <w:rFonts w:ascii="Arial" w:cs="Arial" w:eastAsia="Arial" w:hAnsi="Arial"/>
          <w:sz w:val="16"/>
          <w:szCs w:val="16"/>
          <w:color w:val="auto"/>
        </w:rPr>
      </w:pPr>
    </w:p>
    <w:p>
      <w:pPr>
        <w:ind w:left="460" w:right="60" w:firstLine="443"/>
        <w:spacing w:after="0" w:line="268"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5"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by the parties as of the date first set forth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ADMINISTRATION,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upperLetter"/>
      <w:start w:val="1"/>
    </w:lvl>
  </w:abstractNum>
  <w:abstractNum w:abstractNumId="2">
    <w:nsid w:val="8138641"/>
    <w:multiLevelType w:val="hybridMultilevel"/>
    <w:lvl w:ilvl="0">
      <w:lvlJc w:val="left"/>
      <w:lvlText w:val="%1"/>
      <w:numFmt w:val="upperLetter"/>
      <w:start w:val="1"/>
    </w:lvl>
    <w:lvl w:ilvl="1">
      <w:lvlJc w:val="left"/>
      <w:lvlText w:val="(%2)"/>
      <w:numFmt w:val="lowerLetter"/>
      <w:start w:val="1"/>
    </w:lvl>
  </w:abstractNum>
  <w:abstractNum w:abstractNumId="3">
    <w:nsid w:val="1E7FF521"/>
    <w:multiLevelType w:val="hybridMultilevel"/>
    <w:lvl w:ilvl="0">
      <w:lvlJc w:val="left"/>
      <w:lvlText w:val="(%1)"/>
      <w:numFmt w:val="upperLetter"/>
      <w:start w:val="2"/>
    </w:lvl>
    <w:lvl w:ilvl="1">
      <w:lvlJc w:val="left"/>
      <w:lvlText w:val="%2"/>
      <w:numFmt w:val="lowerLetter"/>
      <w:start w:val="1"/>
    </w:lvl>
  </w:abstractNum>
  <w:abstractNum w:abstractNumId="4">
    <w:nsid w:val="7C3DBD3D"/>
    <w:multiLevelType w:val="hybridMultilevel"/>
    <w:lvl w:ilvl="0">
      <w:lvlJc w:val="left"/>
      <w:lvlText w:val="(%1)"/>
      <w:numFmt w:val="upperLetter"/>
      <w:start w:val="3"/>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upperLetter"/>
      <w:start w:val="4"/>
    </w:lvl>
  </w:abstractNum>
  <w:abstractNum w:abstractNumId="7">
    <w:nsid w:val="22221A70"/>
    <w:multiLevelType w:val="hybridMultilevel"/>
    <w:lvl w:ilvl="0">
      <w:lvlJc w:val="left"/>
      <w:lvlText w:val="(%1)"/>
      <w:numFmt w:val="upperLetter"/>
      <w:start w:val="5"/>
    </w:lvl>
  </w:abstractNum>
  <w:abstractNum w:abstractNumId="8">
    <w:nsid w:val="4516DDE9"/>
    <w:multiLevelType w:val="hybridMultilevel"/>
    <w:lvl w:ilvl="0">
      <w:lvlJc w:val="left"/>
      <w:lvlText w:val="(%1)"/>
      <w:numFmt w:val="upperLetter"/>
      <w:start w:val="6"/>
    </w:lvl>
  </w:abstractNum>
  <w:abstractNum w:abstractNumId="9">
    <w:nsid w:val="3006C83E"/>
    <w:multiLevelType w:val="hybridMultilevel"/>
    <w:lvl w:ilvl="0">
      <w:lvlJc w:val="left"/>
      <w:lvlText w:val="(%1)"/>
      <w:numFmt w:val="decimal"/>
      <w:start w:val="1"/>
    </w:lvl>
    <w:lvl w:ilvl="1">
      <w:lvlJc w:val="left"/>
      <w:lvlText w:val="(%2)"/>
      <w:numFmt w:val="lowerLetter"/>
      <w:start w:val="1"/>
    </w:lvl>
  </w:abstractNum>
  <w:abstractNum w:abstractNumId="10">
    <w:nsid w:val="614FD4A1"/>
    <w:multiLevelType w:val="hybridMultilevel"/>
    <w:lvl w:ilvl="0">
      <w:lvlJc w:val="left"/>
      <w:lvlText w:val="(%1)"/>
      <w:numFmt w:val="upperLetter"/>
      <w:start w:val="7"/>
    </w:lvl>
  </w:abstractNum>
  <w:abstractNum w:abstractNumId="11">
    <w:nsid w:val="419AC241"/>
    <w:multiLevelType w:val="hybridMultilevel"/>
    <w:lvl w:ilvl="0">
      <w:lvlJc w:val="left"/>
      <w:lvlText w:val="(%1)"/>
      <w:numFmt w:val="upperLetter"/>
      <w:start w:val="8"/>
    </w:lvl>
  </w:abstractNum>
  <w:abstractNum w:abstractNumId="12">
    <w:nsid w:val="5577F8E1"/>
    <w:multiLevelType w:val="hybridMultilevel"/>
    <w:lvl w:ilvl="0">
      <w:lvlJc w:val="left"/>
      <w:lvlText w:val="%1."/>
      <w:numFmt w:val="upperLetter"/>
      <w:start w:val="1"/>
    </w:lvl>
    <w:lvl w:ilvl="1">
      <w:lvlJc w:val="left"/>
      <w:lvlText w:val="%2."/>
      <w:numFmt w:val="decimal"/>
      <w:start w:val="1"/>
    </w:lvl>
  </w:abstractNum>
  <w:abstractNum w:abstractNumId="13">
    <w:nsid w:val="440BADFC"/>
    <w:multiLevelType w:val="hybridMultilevel"/>
    <w:lvl w:ilvl="0">
      <w:lvlJc w:val="left"/>
      <w:lvlText w:val="%1."/>
      <w:numFmt w:val="upperLetter"/>
      <w:start w:val="3"/>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upperLetter"/>
      <w:start w:val="4"/>
    </w:lvl>
  </w:abstractNum>
  <w:abstractNum w:abstractNumId="16">
    <w:nsid w:val="77465F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
    <w:nsid w:val="7724C67E"/>
    <w:multiLevelType w:val="hybridMultilevel"/>
    <w:lvl w:ilvl="0">
      <w:lvlJc w:val="left"/>
      <w:lvlText w:val="(%1)"/>
      <w:numFmt w:val="lowerLetter"/>
      <w:start w:val="2"/>
    </w:lvl>
  </w:abstractNum>
  <w:abstractNum w:abstractNumId="18">
    <w:nsid w:val="5C482A97"/>
    <w:multiLevelType w:val="hybridMultilevel"/>
    <w:lvl w:ilvl="0">
      <w:lvlJc w:val="left"/>
      <w:lvlText w:val="(%1)"/>
      <w:numFmt w:val="lowerLetter"/>
      <w:start w:val="5"/>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1">
    <w:nsid w:val="51EAD36B"/>
    <w:multiLevelType w:val="hybridMultilevel"/>
    <w:lvl w:ilvl="0">
      <w:lvlJc w:val="left"/>
      <w:lvlText w:val="(%1)"/>
      <w:numFmt w:val="lowerLetter"/>
      <w:start w:val="13"/>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2"/>
    </w:lvl>
  </w:abstractNum>
  <w:abstractNum w:abstractNumId="25">
    <w:nsid w:val="3855585C"/>
    <w:multiLevelType w:val="hybridMultilevel"/>
    <w:lvl w:ilvl="0">
      <w:lvlJc w:val="left"/>
      <w:lvlText w:val="(%1)"/>
      <w:numFmt w:val="lowerLetter"/>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decimal"/>
      <w:start w:val="9"/>
    </w:lvl>
    <w:lvl w:ilvl="1">
      <w:lvlJc w:val="left"/>
      <w:lvlText w:val="(%2)"/>
      <w:numFmt w:val="lowerLetter"/>
      <w:start w:val="1"/>
    </w:lvl>
  </w:abstractNum>
  <w:abstractNum w:abstractNumId="30">
    <w:nsid w:val="725A06FB"/>
    <w:multiLevelType w:val="hybridMultilevel"/>
    <w:lvl w:ilvl="0">
      <w:lvlJc w:val="left"/>
      <w:lvlText w:val="%1."/>
      <w:numFmt w:val="decimal"/>
      <w:start w:val="1"/>
    </w:lvl>
    <w:lvl w:ilvl="1">
      <w:lvlJc w:val="left"/>
      <w:lvlText w:val="%2."/>
      <w:numFmt w:val="lowerLetter"/>
      <w:start w:val="1"/>
    </w:lvl>
  </w:abstractNum>
  <w:abstractNum w:abstractNumId="31">
    <w:nsid w:val="2CD89A32"/>
    <w:multiLevelType w:val="hybridMultilevel"/>
    <w:lvl w:ilvl="0">
      <w:lvlJc w:val="left"/>
      <w:lvlText w:val="%1"/>
      <w:numFmt w:val="decimal"/>
      <w:start w:val="1"/>
    </w:lvl>
    <w:lvl w:ilvl="1">
      <w:lvlJc w:val="left"/>
      <w:lvlText w:val="%2."/>
      <w:numFmt w:val="lowerLetter"/>
      <w:start w:val="2"/>
    </w:lvl>
  </w:abstractNum>
  <w:abstractNum w:abstractNumId="32">
    <w:nsid w:val="57E4CCAF"/>
    <w:multiLevelType w:val="hybridMultilevel"/>
    <w:lvl w:ilvl="0">
      <w:lvlJc w:val="left"/>
      <w:lvlText w:val="%1."/>
      <w:numFmt w:val="decimal"/>
      <w:start w:val="2"/>
    </w:lvl>
    <w:lvl w:ilvl="1">
      <w:lvlJc w:val="left"/>
      <w:lvlText w:val="%2"/>
      <w:numFmt w:val="lowerLetter"/>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lvl w:ilvl="1">
      <w:lvlJc w:val="left"/>
      <w:lvlText w:val="(%2)"/>
      <w:numFmt w:val="decimal"/>
      <w:start w:val="10"/>
    </w:lvl>
  </w:abstractNum>
  <w:abstractNum w:abstractNumId="35">
    <w:nsid w:val="542289EC"/>
    <w:multiLevelType w:val="hybridMultilevel"/>
    <w:lvl w:ilvl="0">
      <w:lvlJc w:val="left"/>
      <w:lvlText w:val="%1."/>
      <w:numFmt w:val="decimal"/>
      <w:start w:val="2"/>
    </w:lvl>
    <w:lvl w:ilvl="1">
      <w:lvlJc w:val="left"/>
      <w:lvlText w:val="%2"/>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2"/>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
    <w:nsid w:val="749ABB43"/>
    <w:multiLevelType w:val="hybridMultilevel"/>
    <w:lvl w:ilvl="0">
      <w:lvlJc w:val="left"/>
      <w:lvlText w:val="%1."/>
      <w:numFmt w:val="decimal"/>
      <w:start w:val="2"/>
    </w:lvl>
    <w:lvl w:ilvl="1">
      <w:lvlJc w:val="left"/>
      <w:lvlText w:val="(%2)"/>
      <w:numFmt w:val="lowerLetter"/>
      <w:start w:val="1"/>
    </w:lvl>
  </w:abstractNum>
  <w:abstractNum w:abstractNumId="43">
    <w:nsid w:val="3DC240FB"/>
    <w:multiLevelType w:val="hybridMultilevel"/>
    <w:lvl w:ilvl="0">
      <w:lvlJc w:val="left"/>
      <w:lvlText w:val="%1."/>
      <w:numFmt w:val="decimal"/>
      <w:start w:val="3"/>
    </w:lvl>
    <w:lvl w:ilvl="1">
      <w:lvlJc w:val="left"/>
      <w:lvlText w:val="(%2)"/>
      <w:numFmt w:val="lowerLetter"/>
      <w:start w:val="1"/>
    </w:lvl>
  </w:abstractNum>
  <w:abstractNum w:abstractNumId="44">
    <w:nsid w:val="1BA026FA"/>
    <w:multiLevelType w:val="hybridMultilevel"/>
    <w:lvl w:ilvl="0">
      <w:lvlJc w:val="left"/>
      <w:lvlText w:val="%1."/>
      <w:numFmt w:val="decimal"/>
      <w:start w:val="4"/>
    </w:lvl>
    <w:lvl w:ilvl="1">
      <w:lvlJc w:val="left"/>
      <w:lvlText w:val="(%2)"/>
      <w:numFmt w:val="lowerLetter"/>
      <w:start w:val="1"/>
    </w:lvl>
  </w:abstractNum>
  <w:abstractNum w:abstractNumId="45">
    <w:nsid w:val="79A1DEAA"/>
    <w:multiLevelType w:val="hybridMultilevel"/>
    <w:lvl w:ilvl="0">
      <w:lvlJc w:val="left"/>
      <w:lvlText w:val="%1."/>
      <w:numFmt w:val="decimal"/>
      <w:start w:val="1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lvl w:ilvl="1">
      <w:lvlJc w:val="left"/>
      <w:lvlText w:val="(%2)"/>
      <w:numFmt w:val="lowerLetter"/>
      <w:start w:val="1"/>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decimal"/>
      <w:start w:val="2"/>
    </w:lvl>
  </w:abstractNum>
  <w:abstractNum w:abstractNumId="50">
    <w:nsid w:val="374A3FE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1">
    <w:nsid w:val="4F4EF005"/>
    <w:multiLevelType w:val="hybridMultilevel"/>
    <w:lvl w:ilvl="0">
      <w:lvlJc w:val="left"/>
      <w:lvlText w:val="(%1)"/>
      <w:numFmt w:val="lowerRoman"/>
      <w:start w:val="2"/>
    </w:lvl>
  </w:abstractNum>
  <w:abstractNum w:abstractNumId="52">
    <w:nsid w:val="23F9C13C"/>
    <w:multiLevelType w:val="hybridMultilevel"/>
    <w:lvl w:ilvl="0">
      <w:lvlJc w:val="left"/>
      <w:lvlText w:val="%1."/>
      <w:numFmt w:val="decimal"/>
      <w:start w:val="3"/>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7"/>
    </w:lvl>
  </w:abstractNum>
  <w:abstractNum w:abstractNumId="55">
    <w:nsid w:val="39386575"/>
    <w:multiLevelType w:val="hybridMultilevel"/>
    <w:lvl w:ilvl="0">
      <w:lvlJc w:val="left"/>
      <w:lvlText w:val="%1."/>
      <w:numFmt w:val="decimal"/>
      <w:start w:val="1"/>
    </w:lvl>
    <w:lvl w:ilvl="1">
      <w:lvlJc w:val="left"/>
      <w:lvlText w:val="%2."/>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2019-12-15T15:16:34Z</dcterms:created>
  <dcterms:modified xsi:type="dcterms:W3CDTF">2019-12-15T15:16:34Z</dcterms:modified>
</cp:coreProperties>
</file>