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November 21, 2016</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39" w:lineRule="exact"/>
        <w:rPr>
          <w:sz w:val="24"/>
          <w:szCs w:val="24"/>
          <w:color w:val="auto"/>
        </w:rPr>
      </w:pPr>
    </w:p>
    <w:p>
      <w:pPr>
        <w:ind w:left="40" w:right="20"/>
        <w:spacing w:after="0" w:line="238" w:lineRule="auto"/>
        <w:rPr>
          <w:sz w:val="20"/>
          <w:szCs w:val="20"/>
          <w:color w:val="auto"/>
        </w:rPr>
      </w:pPr>
      <w:r>
        <w:rPr>
          <w:rFonts w:ascii="Arial" w:cs="Arial" w:eastAsia="Arial" w:hAnsi="Arial"/>
          <w:sz w:val="22"/>
          <w:szCs w:val="22"/>
          <w:color w:val="auto"/>
        </w:rPr>
        <w:t>On November 21, 2016, PennantPark Investment Corporation issued a press release announcing its financial results for the fourth quarter and fiscal year ended September 30, 2016, an adjustment to its quarterly distribution for 2017 and extension of the previously announced fee waiver. A copy of the press release is furnished as Exhibit 99.1 to this report pursuant to Item 2.02 on Form 8-K and Regulation FD.</w:t>
      </w:r>
    </w:p>
    <w:p>
      <w:pPr>
        <w:spacing w:after="0" w:line="212" w:lineRule="exact"/>
        <w:rPr>
          <w:sz w:val="24"/>
          <w:szCs w:val="24"/>
          <w:color w:val="auto"/>
        </w:rPr>
      </w:pPr>
    </w:p>
    <w:p>
      <w:pPr>
        <w:ind w:left="40" w:right="20"/>
        <w:spacing w:after="0" w:line="249" w:lineRule="auto"/>
        <w:rPr>
          <w:sz w:val="20"/>
          <w:szCs w:val="20"/>
          <w:color w:val="auto"/>
        </w:rPr>
      </w:pPr>
      <w:r>
        <w:rPr>
          <w:rFonts w:ascii="Arial" w:cs="Arial" w:eastAsia="Arial" w:hAnsi="Arial"/>
          <w:sz w:val="21"/>
          <w:szCs w:val="21"/>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205"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20"/>
        <w:spacing w:after="0" w:line="274" w:lineRule="auto"/>
        <w:rPr>
          <w:sz w:val="20"/>
          <w:szCs w:val="20"/>
          <w:color w:val="auto"/>
        </w:rPr>
      </w:pPr>
      <w:r>
        <w:rPr>
          <w:rFonts w:ascii="Arial" w:cs="Arial" w:eastAsia="Arial" w:hAnsi="Arial"/>
          <w:sz w:val="19"/>
          <w:szCs w:val="19"/>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w:t>
      </w:r>
    </w:p>
    <w:p>
      <w:pPr>
        <w:sectPr>
          <w:pgSz w:w="11900" w:h="16887"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forward-looking statements as such statements speak only as of the date on which they are made.</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49"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November 21,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Exchange Act,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980" w:type="dxa"/>
            <w:vAlign w:val="bottom"/>
          </w:tcPr>
          <w:p>
            <w:pPr>
              <w:spacing w:after="0"/>
              <w:rPr>
                <w:sz w:val="20"/>
                <w:szCs w:val="20"/>
                <w:color w:val="auto"/>
              </w:rPr>
            </w:pPr>
            <w:r>
              <w:rPr>
                <w:rFonts w:ascii="Arial" w:cs="Arial" w:eastAsia="Arial" w:hAnsi="Arial"/>
                <w:sz w:val="22"/>
                <w:szCs w:val="22"/>
                <w:color w:val="auto"/>
              </w:rPr>
              <w:t>Dated: November 21, 2016</w:t>
            </w:r>
          </w:p>
        </w:tc>
        <w:tc>
          <w:tcPr>
            <w:tcW w:w="6460" w:type="dxa"/>
            <w:vAlign w:val="bottom"/>
            <w:gridSpan w:val="3"/>
          </w:tcPr>
          <w:p>
            <w:pPr>
              <w:ind w:left="164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9"/>
        </w:trPr>
        <w:tc>
          <w:tcPr>
            <w:tcW w:w="3980" w:type="dxa"/>
            <w:vAlign w:val="bottom"/>
          </w:tcPr>
          <w:p>
            <w:pPr>
              <w:spacing w:after="0"/>
              <w:rPr>
                <w:sz w:val="24"/>
                <w:szCs w:val="24"/>
                <w:color w:val="auto"/>
              </w:rPr>
            </w:pPr>
          </w:p>
        </w:tc>
        <w:tc>
          <w:tcPr>
            <w:tcW w:w="6460" w:type="dxa"/>
            <w:vAlign w:val="bottom"/>
            <w:gridSpan w:val="3"/>
          </w:tcPr>
          <w:p>
            <w:pPr>
              <w:ind w:left="1640"/>
              <w:spacing w:after="0"/>
              <w:rPr>
                <w:sz w:val="20"/>
                <w:szCs w:val="20"/>
                <w:color w:val="auto"/>
              </w:rPr>
            </w:pPr>
            <w:r>
              <w:rPr>
                <w:rFonts w:ascii="Arial" w:cs="Arial" w:eastAsia="Arial" w:hAnsi="Arial"/>
                <w:sz w:val="22"/>
                <w:szCs w:val="22"/>
                <w:color w:val="auto"/>
              </w:rPr>
              <w:t>By: /s/ Aviv Efrat</w:t>
            </w:r>
          </w:p>
        </w:tc>
      </w:tr>
      <w:tr>
        <w:trPr>
          <w:trHeight w:val="20"/>
        </w:trPr>
        <w:tc>
          <w:tcPr>
            <w:tcW w:w="3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6460" w:type="dxa"/>
            <w:vAlign w:val="bottom"/>
            <w:gridSpan w:val="3"/>
          </w:tcPr>
          <w:p>
            <w:pPr>
              <w:ind w:left="188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980" w:type="dxa"/>
            <w:vAlign w:val="bottom"/>
          </w:tcPr>
          <w:p>
            <w:pPr>
              <w:spacing w:after="0"/>
              <w:rPr>
                <w:sz w:val="23"/>
                <w:szCs w:val="23"/>
                <w:color w:val="auto"/>
              </w:rPr>
            </w:pPr>
          </w:p>
        </w:tc>
        <w:tc>
          <w:tcPr>
            <w:tcW w:w="6460" w:type="dxa"/>
            <w:vAlign w:val="bottom"/>
            <w:gridSpan w:val="3"/>
          </w:tcPr>
          <w:p>
            <w:pPr>
              <w:ind w:left="1900"/>
              <w:spacing w:after="0"/>
              <w:rPr>
                <w:sz w:val="20"/>
                <w:szCs w:val="20"/>
                <w:color w:val="auto"/>
              </w:rPr>
            </w:pPr>
            <w:r>
              <w:rPr>
                <w:rFonts w:ascii="Arial" w:cs="Arial" w:eastAsia="Arial" w:hAnsi="Arial"/>
                <w:sz w:val="22"/>
                <w:szCs w:val="22"/>
                <w:i w:val="1"/>
                <w:iCs w:val="1"/>
                <w:color w:val="auto"/>
              </w:rPr>
              <w:t>Chief Financial Officer and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9"/>
              </w:rPr>
              <w:t>November 21, 2016</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8" w:right="459" w:bottom="1440" w:gutter="0" w:footer="0" w:header="0"/>
        </w:sectPr>
      </w:pPr>
    </w:p>
    <w:bookmarkStart w:id="2" w:name="page3"/>
    <w:bookmarkEnd w:id="2"/>
    <w:p>
      <w:pPr>
        <w:ind w:right="660"/>
        <w:spacing w:after="0" w:line="257" w:lineRule="auto"/>
        <w:rPr>
          <w:sz w:val="20"/>
          <w:szCs w:val="20"/>
          <w:color w:val="auto"/>
        </w:rPr>
      </w:pPr>
      <w:r>
        <w:rPr>
          <w:rFonts w:ascii="Arial" w:cs="Arial" w:eastAsia="Arial" w:hAnsi="Arial"/>
          <w:sz w:val="22"/>
          <w:szCs w:val="22"/>
          <w:b w:val="1"/>
          <w:bCs w:val="1"/>
          <w:color w:val="auto"/>
        </w:rPr>
        <w:t>PennantPark Investment Corporation Announces Financial Results for the Fourth Quarter and Fiscal Year Ended September 30, 2016, Adjusts Quarterly Distribution for 2017, and Extends Fee Waiver</w:t>
      </w:r>
    </w:p>
    <w:p>
      <w:pPr>
        <w:spacing w:after="0" w:line="167"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NEW YORK, NY -- (Marketwired - November 21, 2016) - PennantPark Investment Corporation (NASDAQ: PNNT) announced today financial results for the fourth quarter and fiscal year ended September 30, 2016, an adjustment to its quarterly distribution for 2017 and extension of the previously announced fee waiver.</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Quarter ended September 30, 2016</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 in millions,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Assets and Liabilities:</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portfolio</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1,153.7</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643.4</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asset value per share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9.05</w:t>
            </w:r>
          </w:p>
        </w:tc>
      </w:tr>
      <w:tr>
        <w:trPr>
          <w:trHeight w:val="405"/>
        </w:trPr>
        <w:tc>
          <w:tcPr>
            <w:tcW w:w="47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Credit Facility</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39.6</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2019 Notes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254.2</w:t>
            </w:r>
          </w:p>
        </w:tc>
      </w:tr>
      <w:tr>
        <w:trPr>
          <w:trHeight w:val="203"/>
        </w:trPr>
        <w:tc>
          <w:tcPr>
            <w:tcW w:w="5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SBA</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debentures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193.2</w:t>
            </w:r>
          </w:p>
        </w:tc>
      </w:tr>
      <w:tr>
        <w:trPr>
          <w:trHeight w:val="203"/>
        </w:trPr>
        <w:tc>
          <w:tcPr>
            <w:tcW w:w="47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2025 Notes</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72.6</w:t>
            </w:r>
          </w:p>
        </w:tc>
      </w:tr>
      <w:tr>
        <w:trPr>
          <w:trHeight w:val="203"/>
        </w:trPr>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Yield</w:t>
            </w:r>
          </w:p>
        </w:tc>
        <w:tc>
          <w:tcPr>
            <w:tcW w:w="4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debt investments at quarter-end</w:t>
            </w:r>
          </w:p>
        </w:tc>
        <w:tc>
          <w:tcPr>
            <w:tcW w:w="84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Operating Results:</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80" w:type="dxa"/>
            <w:vAlign w:val="bottom"/>
            <w:gridSpan w:val="2"/>
          </w:tcPr>
          <w:p>
            <w:pPr>
              <w:jc w:val="center"/>
              <w:ind w:left="112"/>
              <w:spacing w:after="0"/>
              <w:rPr>
                <w:sz w:val="20"/>
                <w:szCs w:val="20"/>
                <w:color w:val="auto"/>
              </w:rPr>
            </w:pPr>
            <w:r>
              <w:rPr>
                <w:rFonts w:ascii="Courier New" w:cs="Courier New" w:eastAsia="Courier New" w:hAnsi="Courier New"/>
                <w:sz w:val="18"/>
                <w:szCs w:val="18"/>
                <w:color w:val="auto"/>
                <w:w w:val="97"/>
              </w:rPr>
              <w:t>Quarter</w:t>
            </w:r>
          </w:p>
        </w:tc>
      </w:tr>
      <w:tr>
        <w:trPr>
          <w:trHeight w:val="203"/>
        </w:trPr>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Year Ended</w:t>
            </w:r>
          </w:p>
        </w:tc>
        <w:tc>
          <w:tcPr>
            <w:tcW w:w="138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9"/>
              </w:rPr>
              <w:t>Ended</w:t>
            </w:r>
          </w:p>
        </w:tc>
      </w:tr>
      <w:tr>
        <w:trPr>
          <w:trHeight w:val="203"/>
        </w:trPr>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September</w:t>
            </w:r>
          </w:p>
        </w:tc>
        <w:tc>
          <w:tcPr>
            <w:tcW w:w="138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September</w:t>
            </w:r>
          </w:p>
        </w:tc>
      </w:tr>
      <w:tr>
        <w:trPr>
          <w:trHeight w:val="203"/>
        </w:trPr>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2016</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2016</w:t>
            </w:r>
          </w:p>
        </w:tc>
      </w:tr>
      <w:tr>
        <w:trPr>
          <w:trHeight w:val="203"/>
        </w:trPr>
        <w:tc>
          <w:tcPr>
            <w:tcW w:w="12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70.6</w:t>
            </w:r>
          </w:p>
        </w:tc>
        <w:tc>
          <w:tcPr>
            <w:tcW w:w="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 per share</w:t>
            </w:r>
          </w:p>
        </w:tc>
        <w:tc>
          <w:tcPr>
            <w:tcW w:w="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0.99</w:t>
            </w:r>
          </w:p>
        </w:tc>
        <w:tc>
          <w:tcPr>
            <w:tcW w:w="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0.21</w:t>
            </w:r>
          </w:p>
        </w:tc>
      </w:tr>
      <w:tr>
        <w:trPr>
          <w:trHeight w:val="203"/>
        </w:trPr>
        <w:tc>
          <w:tcPr>
            <w:tcW w:w="5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Distributions declared per share</w:t>
            </w:r>
          </w:p>
        </w:tc>
        <w:tc>
          <w:tcPr>
            <w:tcW w:w="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w:t>
            </w:r>
          </w:p>
        </w:tc>
        <w:tc>
          <w:tcPr>
            <w:tcW w:w="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0.28</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rPr>
              <w:t>Portfolio Activity:</w:t>
            </w: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Purchases</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investments</w:t>
            </w:r>
          </w:p>
        </w:tc>
        <w:tc>
          <w:tcPr>
            <w:tcW w:w="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330.6</w:t>
            </w:r>
          </w:p>
        </w:tc>
        <w:tc>
          <w:tcPr>
            <w:tcW w:w="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Sales and</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repayments of investments</w:t>
            </w:r>
          </w:p>
        </w:tc>
        <w:tc>
          <w:tcPr>
            <w:tcW w:w="6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439.7</w:t>
            </w:r>
          </w:p>
        </w:tc>
        <w:tc>
          <w:tcPr>
            <w:tcW w:w="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135.6</w:t>
            </w:r>
          </w:p>
        </w:tc>
      </w:tr>
      <w:tr>
        <w:trPr>
          <w:trHeight w:val="405"/>
        </w:trPr>
        <w:tc>
          <w:tcPr>
            <w:tcW w:w="122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4000" w:type="dxa"/>
            <w:vAlign w:val="bottom"/>
          </w:tcPr>
          <w:p>
            <w:pPr>
              <w:ind w:left="60"/>
              <w:spacing w:after="0"/>
              <w:rPr>
                <w:sz w:val="20"/>
                <w:szCs w:val="20"/>
                <w:color w:val="auto"/>
              </w:rPr>
            </w:pPr>
            <w:r>
              <w:rPr>
                <w:rFonts w:ascii="Courier New" w:cs="Courier New" w:eastAsia="Courier New" w:hAnsi="Courier New"/>
                <w:sz w:val="18"/>
                <w:szCs w:val="18"/>
                <w:color w:val="auto"/>
              </w:rPr>
              <w:t>new portfolio companies invested</w:t>
            </w:r>
          </w:p>
        </w:tc>
        <w:tc>
          <w:tcPr>
            <w:tcW w:w="64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w:t>
            </w:r>
          </w:p>
        </w:tc>
        <w:tc>
          <w:tcPr>
            <w:tcW w:w="6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existing portfolio companies invested</w:t>
            </w:r>
          </w:p>
        </w:tc>
        <w:tc>
          <w:tcPr>
            <w:tcW w:w="6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4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ending portfolio companies</w:t>
            </w:r>
          </w:p>
        </w:tc>
        <w:tc>
          <w:tcPr>
            <w:tcW w:w="64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c>
          <w:tcPr>
            <w:tcW w:w="680" w:type="dxa"/>
            <w:vAlign w:val="bottom"/>
          </w:tcPr>
          <w:p>
            <w:pPr>
              <w:spacing w:after="0"/>
              <w:rPr>
                <w:sz w:val="17"/>
                <w:szCs w:val="17"/>
                <w:color w:val="auto"/>
              </w:rPr>
            </w:pP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 AT 10:00 A.M. ET ON NOVEMBER 22, 2016</w:t>
      </w:r>
    </w:p>
    <w:p>
      <w:pPr>
        <w:spacing w:after="0" w:line="212" w:lineRule="exact"/>
        <w:rPr>
          <w:sz w:val="20"/>
          <w:szCs w:val="20"/>
          <w:color w:val="auto"/>
        </w:rPr>
      </w:pPr>
    </w:p>
    <w:p>
      <w:pPr>
        <w:ind w:right="20"/>
        <w:spacing w:after="0" w:line="235" w:lineRule="auto"/>
        <w:rPr>
          <w:sz w:val="20"/>
          <w:szCs w:val="20"/>
          <w:color w:val="auto"/>
        </w:rPr>
      </w:pPr>
      <w:r>
        <w:rPr>
          <w:rFonts w:ascii="Arial" w:cs="Arial" w:eastAsia="Arial" w:hAnsi="Arial"/>
          <w:sz w:val="22"/>
          <w:szCs w:val="22"/>
          <w:color w:val="auto"/>
        </w:rPr>
        <w:t>PennantPark Investment Corporation ("we," "our," "us" or "Company") will host a conference call at 10:00 a.m. (Eastern Time) on Tuesday, November 22, 2016 to discuss its financial results. All interested parties are welcome to participate. You can access the conference call by dialing (888) 204-4517 approximately 5-10 minutes prior to the call. International callers should dial (913) 312-0845. All callers should reference PennantPark Investment Corporation. An archived replay of the call will be available through December 6, 2016 by calling (888) 203-1112. International callers please dial (719) 457-0820. For all phone replays, please reference conference ID #5568872.</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 ADJUSTMENT AND FEE WAIVER</w:t>
      </w:r>
    </w:p>
    <w:p>
      <w:pPr>
        <w:spacing w:after="0" w:line="212" w:lineRule="exact"/>
        <w:rPr>
          <w:sz w:val="20"/>
          <w:szCs w:val="20"/>
          <w:color w:val="auto"/>
        </w:rPr>
      </w:pPr>
    </w:p>
    <w:p>
      <w:pPr>
        <w:ind w:right="40"/>
        <w:spacing w:after="0" w:line="234" w:lineRule="auto"/>
        <w:rPr>
          <w:sz w:val="20"/>
          <w:szCs w:val="20"/>
          <w:color w:val="auto"/>
        </w:rPr>
      </w:pPr>
      <w:r>
        <w:rPr>
          <w:rFonts w:ascii="Arial" w:cs="Arial" w:eastAsia="Arial" w:hAnsi="Arial"/>
          <w:sz w:val="22"/>
          <w:szCs w:val="22"/>
          <w:color w:val="auto"/>
        </w:rPr>
        <w:t>"Given the continued weakness in energy and overall yield compression in the market, we have concluded, in consultation with our board of directors, that it is prudent to pay our $0.28 per share distribution for the December 2016 quarter, and then reduce the distribution to $0.18 per share for the March 2017 quarter" said Arthur H. Penn, CEO. "This is the first distribution reduction in our nearly 10 year history and it should allow us to return to the environment where we expect to meet or exceed our distribution with net investment income. In addition, we have concluded, in consultation with our board of directors, to extend our 16% waiver of base and incentive fees through December 31, 2017 as the energy investments need more time to maximize recoveries. Going forward, we intend to focus on lower risk, primarily secured investments, thereby reducing the volatility of our earnings stream."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PORTFOLIO AND INVESTMENT ACTIVITY</w:t>
      </w:r>
    </w:p>
    <w:p>
      <w:pPr>
        <w:spacing w:after="0" w:line="212" w:lineRule="exact"/>
        <w:rPr>
          <w:sz w:val="20"/>
          <w:szCs w:val="20"/>
          <w:color w:val="auto"/>
        </w:rPr>
      </w:pPr>
    </w:p>
    <w:p>
      <w:pPr>
        <w:spacing w:after="0" w:line="245" w:lineRule="auto"/>
        <w:rPr>
          <w:sz w:val="20"/>
          <w:szCs w:val="20"/>
          <w:color w:val="auto"/>
        </w:rPr>
      </w:pPr>
      <w:r>
        <w:rPr>
          <w:rFonts w:ascii="Arial" w:cs="Arial" w:eastAsia="Arial" w:hAnsi="Arial"/>
          <w:sz w:val="21"/>
          <w:szCs w:val="21"/>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London Interbank Offered Rate, or LIBOR, or prime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ectPr>
          <w:pgSz w:w="11900" w:h="16838" w:orient="portrait"/>
          <w:cols w:equalWidth="0" w:num="1">
            <w:col w:w="11220"/>
          </w:cols>
          <w:pgMar w:left="320" w:top="111" w:right="359" w:bottom="32" w:gutter="0" w:footer="0" w:header="0"/>
        </w:sectPr>
      </w:pPr>
    </w:p>
    <w:bookmarkStart w:id="3" w:name="page4"/>
    <w:bookmarkEnd w:id="3"/>
    <w:p>
      <w:pPr>
        <w:spacing w:after="0" w:line="275" w:lineRule="auto"/>
        <w:rPr>
          <w:sz w:val="20"/>
          <w:szCs w:val="20"/>
          <w:color w:val="auto"/>
        </w:rPr>
      </w:pPr>
      <w:r>
        <w:rPr>
          <w:rFonts w:ascii="Arial" w:cs="Arial" w:eastAsia="Arial" w:hAnsi="Arial"/>
          <w:sz w:val="19"/>
          <w:szCs w:val="19"/>
          <w:color w:val="auto"/>
        </w:rPr>
        <w:t>As of September 30, 2015, our portfolio totaled $1,299.0 million and consisted of $399.2 million of senior secured debt, $612.5 million of second lien secured debt, $182.5 million of subordinated debt and $104.8 million of preferred and common equity. Our debt portfolio consisted of 71% variable-rate investments (including 65% with a LIBOR or prime floor) and 29% fixed-rate investments. As of September 30, 2015, we had four companies on non-accrual, representing 9.4% and 5.5% of our overall portfolio on a cost and fair value basis, respectively. Overall, the portfolio had net unrealized depreciation of $125.2 million as of September 30, 2015. Our overall portfolio consisted of 61 companies with an average investment size of $21.3 million, had a weighted average yield on interest bearing debt investments of 12.1% and was invested 31% in senior secured debt, 47% in second lien secured debt, 14% in subordinated debt and 8% in preferred and common equity.</w:t>
      </w:r>
    </w:p>
    <w:p>
      <w:pPr>
        <w:spacing w:after="0" w:line="158" w:lineRule="exact"/>
        <w:rPr>
          <w:sz w:val="20"/>
          <w:szCs w:val="20"/>
          <w:color w:val="auto"/>
        </w:rPr>
      </w:pPr>
    </w:p>
    <w:p>
      <w:pPr>
        <w:ind w:right="120"/>
        <w:spacing w:after="0" w:line="249" w:lineRule="auto"/>
        <w:rPr>
          <w:sz w:val="20"/>
          <w:szCs w:val="20"/>
          <w:color w:val="auto"/>
        </w:rPr>
      </w:pPr>
      <w:r>
        <w:rPr>
          <w:rFonts w:ascii="Arial" w:cs="Arial" w:eastAsia="Arial" w:hAnsi="Arial"/>
          <w:sz w:val="21"/>
          <w:szCs w:val="21"/>
          <w:color w:val="auto"/>
        </w:rPr>
        <w:t>For the three months ended September 30, 2016, we invested $23.3 million of investments in five existing portfolio companies with a weighted average yield on debt investments of 12.6%. Sales and repayments of investments for the same period totaled $135.6 million. This compares to the three months ended September 30, 2015, in which we invested $116.5 million in three new and eight existing portfolio companies with a weighted average yield on debt investments of 12.2%. Sales and repayments of investments for the same period totaled $100.9 million.</w:t>
      </w:r>
    </w:p>
    <w:p>
      <w:pPr>
        <w:spacing w:after="0" w:line="178" w:lineRule="exact"/>
        <w:rPr>
          <w:sz w:val="20"/>
          <w:szCs w:val="20"/>
          <w:color w:val="auto"/>
        </w:rPr>
      </w:pPr>
    </w:p>
    <w:p>
      <w:pPr>
        <w:spacing w:after="0" w:line="249" w:lineRule="auto"/>
        <w:rPr>
          <w:sz w:val="20"/>
          <w:szCs w:val="20"/>
          <w:color w:val="auto"/>
        </w:rPr>
      </w:pPr>
      <w:r>
        <w:rPr>
          <w:rFonts w:ascii="Arial" w:cs="Arial" w:eastAsia="Arial" w:hAnsi="Arial"/>
          <w:sz w:val="21"/>
          <w:szCs w:val="21"/>
          <w:color w:val="auto"/>
        </w:rPr>
        <w:t>For the fiscal year ended September 30, 2016, we invested $330.6 million of investments in four new and 25 existing portfolio companies with a weighted average yield on debt investments of 11.9%. Sales and repayments of investments for the same period totaled $439.7 million. This compares to the fiscal year ended September 30, 2015, in which we invested $461.3 million in 11 new and 30 existing portfolio companies with a weighted average yield on debt investments of 12.1%. Sales and repayments of investments for the same period totaled $390.5 million.</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Set forth below are the results of operations for the three month periods and fiscal years ended September 30, 2016 and 2015.</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 Income</w:t>
      </w:r>
    </w:p>
    <w:p>
      <w:pPr>
        <w:spacing w:after="0" w:line="212" w:lineRule="exact"/>
        <w:rPr>
          <w:sz w:val="20"/>
          <w:szCs w:val="20"/>
          <w:color w:val="auto"/>
        </w:rPr>
      </w:pPr>
    </w:p>
    <w:p>
      <w:pPr>
        <w:jc w:val="both"/>
        <w:ind w:right="60"/>
        <w:spacing w:after="0" w:line="238" w:lineRule="auto"/>
        <w:rPr>
          <w:sz w:val="20"/>
          <w:szCs w:val="20"/>
          <w:color w:val="auto"/>
        </w:rPr>
      </w:pPr>
      <w:r>
        <w:rPr>
          <w:rFonts w:ascii="Arial" w:cs="Arial" w:eastAsia="Arial" w:hAnsi="Arial"/>
          <w:sz w:val="22"/>
          <w:szCs w:val="22"/>
          <w:color w:val="auto"/>
        </w:rPr>
        <w:t>Investment income for the three months ended September 30, 2016 and 2015 was $32.2 million and $39.1 million, respectively, and was primarily attributable to $13.2 million and $11.8 million from senior secured debt, $14.4 million and $17.0 million from second lien secured debt, and $4.6 million and $6.3 million from subordinated debt and zero and $4.0 million from preferred and common equity, respectively.</w:t>
      </w:r>
    </w:p>
    <w:p>
      <w:pPr>
        <w:spacing w:after="0" w:line="185"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Investment income for the fiscal years ended September 30, 2016 and 2015 was $142.1 million and $161.6 million, respectively, and was attributable to $59.9 million and $54.3 million from senior secured debt, $60.5 million and $71.1 million from second lien secured debt, and $20.9 million and $29.8 million from subordinated debt and $0.8 million and $6.4 million from preferred and common equity, respectively. The decrease in investment income over the prior year was primarily due to a reduction of our portfolio at cost.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Expenses</w:t>
      </w:r>
    </w:p>
    <w:p>
      <w:pPr>
        <w:spacing w:after="0" w:line="212" w:lineRule="exact"/>
        <w:rPr>
          <w:sz w:val="20"/>
          <w:szCs w:val="20"/>
          <w:color w:val="auto"/>
        </w:rPr>
      </w:pPr>
    </w:p>
    <w:p>
      <w:pPr>
        <w:ind w:right="220"/>
        <w:spacing w:after="0" w:line="236" w:lineRule="auto"/>
        <w:rPr>
          <w:sz w:val="20"/>
          <w:szCs w:val="20"/>
          <w:color w:val="auto"/>
        </w:rPr>
      </w:pPr>
      <w:r>
        <w:rPr>
          <w:rFonts w:ascii="Arial" w:cs="Arial" w:eastAsia="Arial" w:hAnsi="Arial"/>
          <w:sz w:val="22"/>
          <w:szCs w:val="22"/>
          <w:color w:val="auto"/>
        </w:rPr>
        <w:t>Net expenses for the three months ended September 30, 2016 and 2015 totaled $17.0 million and $19.1 million, respectively. Base management fee totaled $5.0 million (after a base management fee waiver of $1.0 million) and $6.6 million, incentive fee totaled $2.9 million (after an incentive fee waiver of $0.5 million) and $5.0 million, debt related interest and expenses totaled $6.9 million and $6.7 million, general and administrative expenses totaled $1.8 million and $0.8 million and taxes totaled $0.4 million and zero, respectively, for the same periods.</w:t>
      </w:r>
    </w:p>
    <w:p>
      <w:pPr>
        <w:spacing w:after="0" w:line="187" w:lineRule="exact"/>
        <w:rPr>
          <w:sz w:val="20"/>
          <w:szCs w:val="20"/>
          <w:color w:val="auto"/>
        </w:rPr>
      </w:pPr>
    </w:p>
    <w:p>
      <w:pPr>
        <w:ind w:right="60"/>
        <w:spacing w:after="0" w:line="246" w:lineRule="auto"/>
        <w:rPr>
          <w:sz w:val="20"/>
          <w:szCs w:val="20"/>
          <w:color w:val="auto"/>
        </w:rPr>
      </w:pPr>
      <w:r>
        <w:rPr>
          <w:rFonts w:ascii="Arial" w:cs="Arial" w:eastAsia="Arial" w:hAnsi="Arial"/>
          <w:sz w:val="21"/>
          <w:szCs w:val="21"/>
          <w:color w:val="auto"/>
        </w:rPr>
        <w:t>Net expenses for the fiscal years ended September 30, 2016 and 2015 totaled $71.5 million and $79.4 million, respectively. Base management fee totaled $20.9 million (after a base management fee waiver of $4.0 million) and $26.7 million, incentive fee totaled $13.5 million (after an incentive fee waiver of $2.5 million) and $20.6 million, debt related interest and expenses totaled $27.6 million and $26.4 million, general and administrative expenses totaled $7.1 million and $5.7 million and taxes totaled $2.4 million and zero, respectively, for the same periods. The decrease in expenses over the prior year was primarily due to the base management and incentive fees, or collectively referred to as the Management Fees, waiver and a smaller portfolio size partially offset by higher taxes.</w:t>
      </w:r>
    </w:p>
    <w:p>
      <w:pPr>
        <w:spacing w:after="0" w:line="184" w:lineRule="exact"/>
        <w:rPr>
          <w:sz w:val="20"/>
          <w:szCs w:val="20"/>
          <w:color w:val="auto"/>
        </w:rPr>
      </w:pPr>
    </w:p>
    <w:p>
      <w:pPr>
        <w:ind w:right="260"/>
        <w:spacing w:after="0" w:line="287" w:lineRule="auto"/>
        <w:rPr>
          <w:sz w:val="20"/>
          <w:szCs w:val="20"/>
          <w:color w:val="auto"/>
        </w:rPr>
      </w:pPr>
      <w:r>
        <w:rPr>
          <w:rFonts w:ascii="Arial" w:cs="Arial" w:eastAsia="Arial" w:hAnsi="Arial"/>
          <w:sz w:val="19"/>
          <w:szCs w:val="19"/>
          <w:color w:val="auto"/>
        </w:rPr>
        <w:t>Through December 31, 2017, PennantPark Investment Advisers, LLC has voluntarily agreed, in consultation with the board of directors, to waive 16% of the Management Fees, correlated to our 16% energy exposure (oil &amp; gas and energy &amp; utilities industries) at cost as of December 31, 2015. For the fiscal year ended September 30, 2016, the Management Fees waiver was $6.5 million, or $0.09 per share. For the fiscal year ended September 30, 2015, there was no fee waiver.</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Investment Income</w:t>
      </w:r>
    </w:p>
    <w:p>
      <w:pPr>
        <w:spacing w:after="0" w:line="212" w:lineRule="exact"/>
        <w:rPr>
          <w:sz w:val="20"/>
          <w:szCs w:val="20"/>
          <w:color w:val="auto"/>
        </w:rPr>
      </w:pPr>
    </w:p>
    <w:p>
      <w:pPr>
        <w:ind w:right="760"/>
        <w:spacing w:after="0" w:line="250" w:lineRule="auto"/>
        <w:rPr>
          <w:sz w:val="20"/>
          <w:szCs w:val="20"/>
          <w:color w:val="auto"/>
        </w:rPr>
      </w:pPr>
      <w:r>
        <w:rPr>
          <w:rFonts w:ascii="Arial" w:cs="Arial" w:eastAsia="Arial" w:hAnsi="Arial"/>
          <w:sz w:val="22"/>
          <w:szCs w:val="22"/>
          <w:color w:val="auto"/>
        </w:rPr>
        <w:t>Net investment income totaled $15.2 million and $20.0 million, or $0.21 and $0.27 per share, for the three months ended September 30, 2016 and 2015, respectively.</w:t>
      </w:r>
    </w:p>
    <w:p>
      <w:pPr>
        <w:spacing w:after="0" w:line="175" w:lineRule="exact"/>
        <w:rPr>
          <w:sz w:val="20"/>
          <w:szCs w:val="20"/>
          <w:color w:val="auto"/>
        </w:rPr>
      </w:pPr>
    </w:p>
    <w:p>
      <w:pPr>
        <w:ind w:right="440"/>
        <w:spacing w:after="0"/>
        <w:rPr>
          <w:sz w:val="20"/>
          <w:szCs w:val="20"/>
          <w:color w:val="auto"/>
        </w:rPr>
      </w:pPr>
      <w:r>
        <w:rPr>
          <w:rFonts w:ascii="Arial" w:cs="Arial" w:eastAsia="Arial" w:hAnsi="Arial"/>
          <w:sz w:val="22"/>
          <w:szCs w:val="22"/>
          <w:color w:val="auto"/>
        </w:rPr>
        <w:t>Net investment income totaled $70.6 million and $82.3 million, or $0.99 and $1.10 per share, for the fiscal years ended September 30, 2016 and 2015, respectively. The decrease in net investment income per share compared to the prior year was primarily due to the repayments of higher yielding investments.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Realized Gains or Losses</w:t>
      </w:r>
    </w:p>
    <w:p>
      <w:pPr>
        <w:sectPr>
          <w:pgSz w:w="11900" w:h="16838" w:orient="portrait"/>
          <w:cols w:equalWidth="0" w:num="1">
            <w:col w:w="11220"/>
          </w:cols>
          <w:pgMar w:left="320" w:top="118" w:right="359" w:bottom="0" w:gutter="0" w:footer="0" w:header="0"/>
        </w:sectPr>
      </w:pPr>
    </w:p>
    <w:bookmarkStart w:id="4" w:name="page5"/>
    <w:bookmarkEnd w:id="4"/>
    <w:p>
      <w:pPr>
        <w:spacing w:after="0" w:line="169" w:lineRule="exact"/>
        <w:rPr>
          <w:sz w:val="20"/>
          <w:szCs w:val="20"/>
          <w:color w:val="auto"/>
        </w:rPr>
      </w:pPr>
    </w:p>
    <w:p>
      <w:pPr>
        <w:ind w:right="40"/>
        <w:spacing w:after="0" w:line="329" w:lineRule="auto"/>
        <w:rPr>
          <w:sz w:val="20"/>
          <w:szCs w:val="20"/>
          <w:color w:val="auto"/>
        </w:rPr>
      </w:pPr>
      <w:r>
        <w:rPr>
          <w:rFonts w:ascii="Arial" w:cs="Arial" w:eastAsia="Arial" w:hAnsi="Arial"/>
          <w:sz w:val="19"/>
          <w:szCs w:val="19"/>
          <w:color w:val="auto"/>
        </w:rPr>
        <w:t>Sales and repayments of investments for the three months ended September 30, 2016 and 2015 totaled $135.6 million and $100.9 million, respectively, and net realized gains (losses) totaled $1.6 million and $(1.8) million, respectively, for the same periods.</w:t>
      </w:r>
    </w:p>
    <w:p>
      <w:pPr>
        <w:spacing w:after="0" w:line="104" w:lineRule="exact"/>
        <w:rPr>
          <w:sz w:val="20"/>
          <w:szCs w:val="20"/>
          <w:color w:val="auto"/>
        </w:rPr>
      </w:pPr>
    </w:p>
    <w:p>
      <w:pPr>
        <w:ind w:right="120"/>
        <w:spacing w:after="0" w:line="238" w:lineRule="auto"/>
        <w:rPr>
          <w:sz w:val="20"/>
          <w:szCs w:val="20"/>
          <w:color w:val="auto"/>
        </w:rPr>
      </w:pPr>
      <w:r>
        <w:rPr>
          <w:rFonts w:ascii="Arial" w:cs="Arial" w:eastAsia="Arial" w:hAnsi="Arial"/>
          <w:sz w:val="22"/>
          <w:szCs w:val="22"/>
          <w:color w:val="auto"/>
        </w:rPr>
        <w:t>Sales and repayments of investments for the fiscal years ended September 30, 2016 and 2015 totaled $439.7 million and $390.5 million, respectively, and net realized (losses) gains totaled $(80.5) million and $30.1 million, respectively, for the same periods. The increase in realized losses compared to the prior year was primarily due to certain portfolio companies sales or restructurings.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Unrealized Appreciation or Depreciation on Investments, Credit Facility, 2019 Notes and 2025 Notes</w:t>
      </w:r>
    </w:p>
    <w:p>
      <w:pPr>
        <w:spacing w:after="0" w:line="212" w:lineRule="exact"/>
        <w:rPr>
          <w:sz w:val="20"/>
          <w:szCs w:val="20"/>
          <w:color w:val="auto"/>
        </w:rPr>
      </w:pPr>
    </w:p>
    <w:p>
      <w:pPr>
        <w:ind w:right="320"/>
        <w:spacing w:after="0" w:line="287" w:lineRule="auto"/>
        <w:rPr>
          <w:sz w:val="20"/>
          <w:szCs w:val="20"/>
          <w:color w:val="auto"/>
        </w:rPr>
      </w:pPr>
      <w:r>
        <w:rPr>
          <w:rFonts w:ascii="Arial" w:cs="Arial" w:eastAsia="Arial" w:hAnsi="Arial"/>
          <w:sz w:val="19"/>
          <w:szCs w:val="19"/>
          <w:color w:val="auto"/>
        </w:rPr>
        <w:t>For the three months ended September 30, 2016 and 2015, net unrealized appreciation (depreciation) on investments totaled $22.8 million and $(16.2) million, respectively. Net unrealized appreciation on our multi-currency, senior secured revolving credit facility, as amended and restated, or the Credit Facility, our 4.50% senior notes due 2019, or 2019 Notes, and our 6.25% senior notes due 2025, or 2025 Notes, totaled $11.8 million and $0.6 million, respectively, for the same periods.</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For the fiscal years ended September 30, 2016 and 2015, net unrealized appreciation (depreciation) on investments totaled $24.9 million and $(124.3) million, respectively. Net unrealized depreciation on our Credit Facility, 2019 Notes and 2025 Notes totaled $3.7 million and $1.7 million, respectively, for the same periods. The net change in unrealized appreciation (depreciation) on our investments compared to the prior year was driven primarily by changes in the capital market conditions, financial performance of certain portfolio companies, and the reversal of unrealized depreciation (appreciation) of investments sold or restructured. The change in unrealized (appreciation) depreciation on the Credit Facility and our 2019 and 2025 Notes compared to the prior year was due to the fluctuating interest rate environment.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Net Change in Net Assets Resulting from Operations</w:t>
      </w:r>
    </w:p>
    <w:p>
      <w:pPr>
        <w:spacing w:after="0" w:line="212"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Net change in net assets resulting from operations totaled $27.7 million and $1.4 million, or $0.39 and $0.02 per share, for the three months ended September 30, 2016 and 2015, respectively.</w:t>
      </w:r>
    </w:p>
    <w:p>
      <w:pPr>
        <w:spacing w:after="0" w:line="175"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Net change in net assets resulting from operations totaled $18.7 million and $(10.2) million, or $0.26 and $(0.14) per share, for the fiscal years ended September 30, 2016 and 2015, respectively. The increase in the net change in net assets from operations compared to the prior year was primarily due to the change in portfolio investment values offset by higher net investment income.</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9"/>
          <w:szCs w:val="19"/>
          <w:color w:val="auto"/>
        </w:rPr>
        <w:t>As of September 30, 2016 and 2015, there was $50.3 million and $136.9 million (including a temporary draw of $30.0 million), respectively, in outstanding borrowings under the Credit Facility. The Credit Facility had a weighted average interest rate at the time of 2.76% and 3.07%, respectively, exclusive of the fee on undrawn commitments, as of September 30, 2016 and 2015. The annualized weighted average cost of debt for the years ended September 30, 2016 and 2015, inclusive of the fee on the undrawn commitment on the Credit Facility and upfront fees on SBA debentures, was 4.35% and 4.54%, respectively. As of September 30, 2016 and 2015, we had $494.7 million and $408.1 million of unused borrowing capacity under our Credit Facility, respectively, subject to the regulatory restrictions that the 1940 Act imposes on us as a business development company.</w:t>
      </w:r>
    </w:p>
    <w:p>
      <w:pPr>
        <w:spacing w:after="0" w:line="152" w:lineRule="exact"/>
        <w:rPr>
          <w:sz w:val="20"/>
          <w:szCs w:val="20"/>
          <w:color w:val="auto"/>
        </w:rPr>
      </w:pPr>
    </w:p>
    <w:p>
      <w:pPr>
        <w:ind w:right="200"/>
        <w:spacing w:after="0" w:line="297" w:lineRule="auto"/>
        <w:rPr>
          <w:sz w:val="20"/>
          <w:szCs w:val="20"/>
          <w:color w:val="auto"/>
        </w:rPr>
      </w:pPr>
      <w:r>
        <w:rPr>
          <w:rFonts w:ascii="Arial" w:cs="Arial" w:eastAsia="Arial" w:hAnsi="Arial"/>
          <w:sz w:val="19"/>
          <w:szCs w:val="19"/>
          <w:color w:val="auto"/>
        </w:rPr>
        <w:t>As of September 30, 2016 and 2015, we had $250.0 million and $71.3 million in aggregate principal amount of 2019 Notes and 2025 Notes, respectively, with a fixed interest rate of 4.50% and 6.25% per year, respectively. As of September 30, 2016 and 2015, we had $225.0 million in SBA debt commitments, of which $197.5 million and $150.0 million was drawn,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At September 30, 2016 and 2015, we had cash and cash equivalents of $75.6 million and $49.6 million, respectively, available for investing and general corporate purposes. We believe our liquidity and capital resources are sufficient to take advantage of market opportunities.</w:t>
      </w:r>
    </w:p>
    <w:p>
      <w:pPr>
        <w:spacing w:after="0" w:line="18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Our operating activities provided cash of $157.7 million for the fiscal year ended September 30, 2016, and our financing activities used cash proceeds of $132.7 million for the same period. Our operating activities provided cash primarily from sales and repayments on our investments and our financing activities used cash primarily for net repayments on our Credit Facility and our stock repurchase program.</w:t>
      </w:r>
    </w:p>
    <w:p>
      <w:pPr>
        <w:spacing w:after="0" w:line="185" w:lineRule="exact"/>
        <w:rPr>
          <w:sz w:val="20"/>
          <w:szCs w:val="20"/>
          <w:color w:val="auto"/>
        </w:rPr>
      </w:pPr>
    </w:p>
    <w:p>
      <w:pPr>
        <w:ind w:right="200"/>
        <w:spacing w:after="0" w:line="238" w:lineRule="auto"/>
        <w:rPr>
          <w:sz w:val="20"/>
          <w:szCs w:val="20"/>
          <w:color w:val="auto"/>
        </w:rPr>
      </w:pPr>
      <w:r>
        <w:rPr>
          <w:rFonts w:ascii="Arial" w:cs="Arial" w:eastAsia="Arial" w:hAnsi="Arial"/>
          <w:sz w:val="22"/>
          <w:szCs w:val="22"/>
          <w:color w:val="auto"/>
        </w:rPr>
        <w:t>Our operating activities provided cash of $3.0 million for the fiscal year ended September 30, 2015, and our financing activities used cash proceeds of $20.1 million for the same period. Our operating activities provided cash primarily from sales and repayments on our investments and our financing activities used cash primarily for our stock repurchase program and to repay certain amounts under our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212" w:lineRule="exact"/>
        <w:rPr>
          <w:sz w:val="20"/>
          <w:szCs w:val="20"/>
          <w:color w:val="auto"/>
        </w:rPr>
      </w:pPr>
    </w:p>
    <w:p>
      <w:pPr>
        <w:ind w:right="540"/>
        <w:spacing w:after="0" w:line="328" w:lineRule="auto"/>
        <w:rPr>
          <w:sz w:val="20"/>
          <w:szCs w:val="20"/>
          <w:color w:val="auto"/>
        </w:rPr>
      </w:pPr>
      <w:r>
        <w:rPr>
          <w:rFonts w:ascii="Arial" w:cs="Arial" w:eastAsia="Arial" w:hAnsi="Arial"/>
          <w:sz w:val="19"/>
          <w:szCs w:val="19"/>
          <w:color w:val="auto"/>
        </w:rPr>
        <w:t>During the fiscal years ended September 30, 2016 and 2015, we declared distributions of $1.12 per share each year for total distributions of $79.8 million and $83.3 million, respectively. We monitor available net investment income to determine if a</w:t>
      </w:r>
    </w:p>
    <w:p>
      <w:pPr>
        <w:sectPr>
          <w:pgSz w:w="11900" w:h="17008" w:orient="portrait"/>
          <w:cols w:equalWidth="0" w:num="1">
            <w:col w:w="11240"/>
          </w:cols>
          <w:pgMar w:left="320" w:top="118" w:right="339" w:bottom="0" w:gutter="0" w:footer="0" w:header="0"/>
        </w:sectPr>
      </w:pPr>
    </w:p>
    <w:bookmarkStart w:id="5" w:name="page6"/>
    <w:bookmarkEnd w:id="5"/>
    <w:p>
      <w:pPr>
        <w:spacing w:after="0" w:line="236" w:lineRule="auto"/>
        <w:rPr>
          <w:sz w:val="20"/>
          <w:szCs w:val="20"/>
          <w:color w:val="auto"/>
        </w:rPr>
      </w:pPr>
      <w:r>
        <w:rPr>
          <w:rFonts w:ascii="Arial" w:cs="Arial" w:eastAsia="Arial" w:hAnsi="Arial"/>
          <w:sz w:val="22"/>
          <w:szCs w:val="22"/>
          <w:color w:val="auto"/>
        </w:rPr>
        <w:t>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Securities and Exchange Commission, or the SEC.</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AVAILABLE INFORMATION</w:t>
      </w:r>
    </w:p>
    <w:p>
      <w:pPr>
        <w:spacing w:after="0" w:line="212"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The Company makes available on its website its report on Form 10-K filed with the SEC and stockholders may find the report on our website at www.pennantpark.com.</w:t>
      </w:r>
    </w:p>
    <w:p>
      <w:pPr>
        <w:spacing w:after="0" w:line="3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20"/>
        <w:spacing w:after="0" w:line="238" w:lineRule="auto"/>
        <w:rPr>
          <w:sz w:val="20"/>
          <w:szCs w:val="20"/>
          <w:color w:val="auto"/>
        </w:rPr>
      </w:pPr>
      <w:r>
        <w:rPr>
          <w:rFonts w:ascii="Courier New" w:cs="Courier New" w:eastAsia="Courier New" w:hAnsi="Courier New"/>
          <w:sz w:val="18"/>
          <w:szCs w:val="18"/>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September 30,</w:t>
            </w:r>
          </w:p>
        </w:tc>
        <w:tc>
          <w:tcPr>
            <w:tcW w:w="160" w:type="dxa"/>
            <w:vAlign w:val="bottom"/>
          </w:tcPr>
          <w:p>
            <w:pPr>
              <w:spacing w:after="0"/>
              <w:rPr>
                <w:sz w:val="17"/>
                <w:szCs w:val="17"/>
                <w:color w:val="auto"/>
              </w:rPr>
            </w:pP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September 30,</w:t>
            </w:r>
          </w:p>
        </w:tc>
      </w:tr>
      <w:tr>
        <w:trPr>
          <w:trHeight w:val="203"/>
        </w:trPr>
        <w:tc>
          <w:tcPr>
            <w:tcW w:w="4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2016</w:t>
            </w:r>
          </w:p>
        </w:tc>
        <w:tc>
          <w:tcPr>
            <w:tcW w:w="160" w:type="dxa"/>
            <w:vAlign w:val="bottom"/>
          </w:tcPr>
          <w:p>
            <w:pPr>
              <w:spacing w:after="0"/>
              <w:rPr>
                <w:sz w:val="17"/>
                <w:szCs w:val="17"/>
                <w:color w:val="auto"/>
              </w:rPr>
            </w:pPr>
          </w:p>
        </w:tc>
        <w:tc>
          <w:tcPr>
            <w:tcW w:w="15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 at fair value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 (cost--$805,189,545 and</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$1,138,155,969, respectively)</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813,467,491</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$ 1,096,719,079</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affiliated investments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(cost--$262,476,906 and $133,693,295,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215,192,547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95,503,104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Controlled, affiliated investments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(cost--$186,290,695 and $152,387,898,</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125,019,637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106,825,650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of investments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$1,253,957,146 and $1,424,237,162,</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1,153,679,675</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1,299,047,833</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(cost--</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$75,617,133 and $49,637,415,</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75,608,113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49,619,256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receivable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7,032,858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7,590,197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Prepaid expenses and other 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2,615,232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8,790,944</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assets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1,238,935,878</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1,365,048,230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Distributions payable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19,897,034</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20,430,492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 for investments purchased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3,591,177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Credit Facility payable (cost--$50,339,700</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$136,864,300, 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39,551,187</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132,356,860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2019 Notes payable (par--$250,000,000)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254,175,000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253,102,500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SBA debentures payable (par--$197,500,000</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$150,000,000, respectively)</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193,244,534</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146,269,957</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2025 Notes payable (par--$71,250,000)</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72,618,000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71,136,000</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Base management fee payable, net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5,074,830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6,602,029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Performance-based incentive fee payable,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2,865,444</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5,007,792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payable on debt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7,520,113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7,638,514</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Accrued other expenses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622,880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2,322,367</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595,569,022</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648,457,688</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assets</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stock, 71,060,836 and 72,966,043</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shares issued and outstanding,</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respectively. Par value $0.001 per share</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100,000,000 shares authorized.</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71,061</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72,966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Paid-in capital in excess of par value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819,983,676</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834,711,229</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Undistributed (distributions in excess of)</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3,119,380</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(13,424,886)</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net realized (loss) gain on</w:t>
            </w: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2"/>
        </w:trPr>
        <w:tc>
          <w:tcPr>
            <w:tcW w:w="4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(84,771,820)</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18,919,305</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Net unrealized depreciation on investments</w:t>
            </w:r>
          </w:p>
        </w:tc>
        <w:tc>
          <w:tcPr>
            <w:tcW w:w="1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(100,280,954)</w:t>
            </w:r>
          </w:p>
        </w:tc>
        <w:tc>
          <w:tcPr>
            <w:tcW w:w="16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(125,207,012)</w:t>
            </w: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unrealized depreciation on debt</w:t>
            </w:r>
          </w:p>
        </w:tc>
        <w:tc>
          <w:tcPr>
            <w:tcW w:w="160" w:type="dxa"/>
            <w:vAlign w:val="bottom"/>
          </w:tcPr>
          <w:p>
            <w:pPr>
              <w:spacing w:after="0"/>
              <w:rPr>
                <w:sz w:val="17"/>
                <w:szCs w:val="17"/>
                <w:color w:val="auto"/>
              </w:rPr>
            </w:pP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5,245,513</w:t>
            </w:r>
          </w:p>
        </w:tc>
        <w:tc>
          <w:tcPr>
            <w:tcW w:w="160" w:type="dxa"/>
            <w:vAlign w:val="bottom"/>
          </w:tcPr>
          <w:p>
            <w:pPr>
              <w:spacing w:after="0"/>
              <w:rPr>
                <w:sz w:val="17"/>
                <w:szCs w:val="17"/>
                <w:color w:val="auto"/>
              </w:rPr>
            </w:pP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1,518,940</w:t>
            </w:r>
          </w:p>
        </w:tc>
      </w:tr>
      <w:tr>
        <w:trPr>
          <w:trHeight w:val="202"/>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net assets</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643,366,856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716,590,542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Total liabilities and net assets</w:t>
            </w: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$ 1,238,935,878</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$ 1,365,048,230</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2"/>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asset value per share</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9.82</w:t>
            </w:r>
          </w:p>
        </w:tc>
      </w:tr>
      <w:tr>
        <w:trPr>
          <w:trHeight w:val="203"/>
        </w:trPr>
        <w:tc>
          <w:tcPr>
            <w:tcW w:w="448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ectPr>
          <w:pgSz w:w="11900" w:h="16838" w:orient="portrait"/>
          <w:cols w:equalWidth="0" w:num="1">
            <w:col w:w="11240"/>
          </w:cols>
          <w:pgMar w:left="320" w:top="118" w:right="339" w:bottom="0" w:gutter="0" w:footer="0" w:header="0"/>
        </w:sectPr>
      </w:pPr>
    </w:p>
    <w:bookmarkStart w:id="6" w:name="page7"/>
    <w:bookmarkEnd w:id="6"/>
    <w:p>
      <w:pPr>
        <w:jc w:val="center"/>
        <w:ind w:right="3300"/>
        <w:spacing w:after="0"/>
        <w:rPr>
          <w:sz w:val="20"/>
          <w:szCs w:val="20"/>
          <w:color w:val="auto"/>
        </w:rPr>
      </w:pPr>
      <w:r>
        <w:rPr>
          <w:rFonts w:ascii="Courier New" w:cs="Courier New" w:eastAsia="Courier New" w:hAnsi="Courier New"/>
          <w:sz w:val="18"/>
          <w:szCs w:val="18"/>
          <w:color w:val="auto"/>
        </w:rPr>
        <w:t>PENNANTPARK INVESTMENT CORPORATION AND SUBSIDIARIES</w:t>
      </w:r>
    </w:p>
    <w:p>
      <w:pPr>
        <w:jc w:val="center"/>
        <w:ind w:right="330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20" w:type="dxa"/>
            <w:vAlign w:val="bottom"/>
            <w:gridSpan w:val="3"/>
          </w:tcPr>
          <w:p>
            <w:pPr>
              <w:jc w:val="right"/>
              <w:ind w:right="352"/>
              <w:spacing w:after="0"/>
              <w:rPr>
                <w:sz w:val="20"/>
                <w:szCs w:val="20"/>
                <w:color w:val="auto"/>
              </w:rPr>
            </w:pPr>
            <w:r>
              <w:rPr>
                <w:rFonts w:ascii="Courier New" w:cs="Courier New" w:eastAsia="Courier New" w:hAnsi="Courier New"/>
                <w:sz w:val="18"/>
                <w:szCs w:val="18"/>
                <w:color w:val="auto"/>
              </w:rPr>
              <w:t>Years Ended September 30,</w:t>
            </w:r>
          </w:p>
        </w:tc>
      </w:tr>
      <w:tr>
        <w:trPr>
          <w:trHeight w:val="203"/>
        </w:trPr>
        <w:tc>
          <w:tcPr>
            <w:tcW w:w="4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2016</w:t>
            </w:r>
          </w:p>
        </w:tc>
        <w:tc>
          <w:tcPr>
            <w:tcW w:w="260" w:type="dxa"/>
            <w:vAlign w:val="bottom"/>
          </w:tcPr>
          <w:p>
            <w:pPr>
              <w:spacing w:after="0"/>
              <w:rPr>
                <w:sz w:val="17"/>
                <w:szCs w:val="17"/>
                <w:color w:val="auto"/>
              </w:rPr>
            </w:pP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2015</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income: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non-affiliated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2"/>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104,508,016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130,647,588</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10,945,240</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9,644,816</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non-controlled, affiliated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13,055,367</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11,694,525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80,521</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175,937</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controlled, affiliated investments: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13,481,683</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5,366,425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income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4,100,000</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investment income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142,070,827</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161,629,291</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Base management fee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24,852,898</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26,695,653</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Performance-based incentive fee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16,018,790</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20,564,559</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 and expenses on debt</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27,601,242</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26,355,081</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 services expenses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3,566,667</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2,686,765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general and administrative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expenses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3,605,923</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3,069,144</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Expenses before Management Fees waiver,</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provision for taxes and debt issuance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costs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75,646,520</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79,371,202</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Fees wavier</w:t>
            </w:r>
          </w:p>
        </w:tc>
        <w:tc>
          <w:tcPr>
            <w:tcW w:w="3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(6,539,475)</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Provision for taxes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2,350,000</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expenses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71,456,045</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79,371,202</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investment income</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70,614,782</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82,258,089</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and unrealized (loss) gain 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investments, cash and debt:</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(loss) gain on investments</w:t>
            </w:r>
          </w:p>
        </w:tc>
        <w:tc>
          <w:tcPr>
            <w:tcW w:w="3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(80,530,707)</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30,111,694</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non-affiliated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investments</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48,052,466</w:t>
            </w: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(113,376,060)</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Non-controlled and controlled,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affiliated investments</w:t>
            </w:r>
          </w:p>
        </w:tc>
        <w:tc>
          <w:tcPr>
            <w:tcW w:w="3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(23,126,408)</w:t>
            </w: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(10,949,885)</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depreciation (appreciation)</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3,726,573</w:t>
            </w:r>
          </w:p>
        </w:tc>
        <w:tc>
          <w:tcPr>
            <w:tcW w:w="26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1,710,510</w:t>
            </w:r>
          </w:p>
        </w:tc>
      </w:tr>
      <w:tr>
        <w:trPr>
          <w:trHeight w:val="202"/>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change in unrealized appreciation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(depreciation) on investments and debt</w:t>
            </w:r>
          </w:p>
        </w:tc>
        <w:tc>
          <w:tcPr>
            <w:tcW w:w="360" w:type="dxa"/>
            <w:vAlign w:val="bottom"/>
          </w:tcPr>
          <w:p>
            <w:pPr>
              <w:spacing w:after="0"/>
              <w:rPr>
                <w:sz w:val="17"/>
                <w:szCs w:val="17"/>
                <w:color w:val="auto"/>
              </w:rPr>
            </w:pP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28,652,631</w:t>
            </w: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(122,615,435)</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realized and unrealized (loss) gain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from investments and debt</w:t>
            </w:r>
          </w:p>
        </w:tc>
        <w:tc>
          <w:tcPr>
            <w:tcW w:w="3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(51,878,076)</w:t>
            </w:r>
          </w:p>
        </w:tc>
        <w:tc>
          <w:tcPr>
            <w:tcW w:w="2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(92,503,741)</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18,736,706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(10,245,652)</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net assets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resulting from operations per common</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0.26</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(0.14)</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44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investment income per common share</w:t>
            </w:r>
          </w:p>
        </w:tc>
        <w:tc>
          <w:tcPr>
            <w:tcW w:w="3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0.99</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1.10</w:t>
            </w:r>
          </w:p>
        </w:tc>
      </w:tr>
      <w:tr>
        <w:trPr>
          <w:trHeight w:val="203"/>
        </w:trPr>
        <w:tc>
          <w:tcPr>
            <w:tcW w:w="444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ind w:right="120"/>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(2)(B) of the Securities Exchange Act of 1934, as amended, or the Exchange Act, the "safe harbor" provisions of the Private</w:t>
      </w:r>
    </w:p>
    <w:p>
      <w:pPr>
        <w:sectPr>
          <w:pgSz w:w="11900" w:h="16838" w:orient="portrait"/>
          <w:cols w:equalWidth="0" w:num="1">
            <w:col w:w="11220"/>
          </w:cols>
          <w:pgMar w:left="320" w:top="339" w:right="359" w:bottom="0" w:gutter="0" w:footer="0" w:header="0"/>
        </w:sectPr>
      </w:pPr>
    </w:p>
    <w:bookmarkStart w:id="7" w:name="page8"/>
    <w:bookmarkEnd w:id="7"/>
    <w:p>
      <w:pPr>
        <w:ind w:right="20"/>
        <w:spacing w:after="0" w:line="234" w:lineRule="auto"/>
        <w:rPr>
          <w:sz w:val="20"/>
          <w:szCs w:val="20"/>
          <w:color w:val="auto"/>
        </w:rPr>
      </w:pPr>
      <w:r>
        <w:rPr>
          <w:rFonts w:ascii="Arial" w:cs="Arial" w:eastAsia="Arial" w:hAnsi="Arial"/>
          <w:sz w:val="22"/>
          <w:szCs w:val="22"/>
          <w:color w:val="auto"/>
        </w:rPr>
        <w:t>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91"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rPr>
          <w:sz w:val="20"/>
          <w:szCs w:val="20"/>
          <w:color w:val="auto"/>
        </w:rPr>
      </w:pPr>
      <w:r>
        <w:rPr>
          <w:rFonts w:ascii="Courier New" w:cs="Courier New" w:eastAsia="Courier New" w:hAnsi="Courier New"/>
          <w:sz w:val="18"/>
          <w:szCs w:val="18"/>
          <w:color w:val="auto"/>
        </w:rPr>
        <w:t>Reception: (212) 905-1000</w:t>
      </w:r>
    </w:p>
    <w:p>
      <w:pPr>
        <w:spacing w:after="0" w:line="237" w:lineRule="auto"/>
        <w:rPr>
          <w:sz w:val="20"/>
          <w:szCs w:val="20"/>
          <w:color w:val="auto"/>
        </w:rPr>
      </w:pPr>
      <w:r>
        <w:rPr>
          <w:rFonts w:ascii="Courier New" w:cs="Courier New" w:eastAsia="Courier New" w:hAnsi="Courier New"/>
          <w:sz w:val="18"/>
          <w:szCs w:val="18"/>
          <w:color w:val="auto"/>
        </w:rPr>
        <w:t>www.pennantpark.com</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2020-05-05T15:07:32Z</dcterms:created>
  <dcterms:modified xsi:type="dcterms:W3CDTF">2020-05-05T15:07:32Z</dcterms:modified>
</cp:coreProperties>
</file>